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177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779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Worthington Mark</w:t>
              </w:r>
            </w:hyperlink>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Athira 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ATHA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40" w:type="dxa"/>
            <w:vAlign w:val="bottom"/>
            <w:tcBorders>
              <w:top w:val="single" w:sz="8" w:color="0000EE"/>
            </w:tcBorders>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ATHIRA PHARMA, INC.</w:t>
            </w:r>
          </w:p>
        </w:tc>
        <w:tc>
          <w:tcPr>
            <w:tcW w:w="1340" w:type="dxa"/>
            <w:vAlign w:val="bottom"/>
          </w:tcPr>
          <w:p>
            <w:pPr>
              <w:spacing w:after="0"/>
              <w:rPr>
                <w:sz w:val="19"/>
                <w:szCs w:val="19"/>
                <w:color w:val="auto"/>
              </w:rPr>
            </w:pP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12/31/2025</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80" w:type="dxa"/>
            <w:vAlign w:val="bottom"/>
            <w:gridSpan w:val="3"/>
            <w:vMerge w:val="continue"/>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674"/>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02"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98011</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3,667</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14,854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01/02/2026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876</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6.88</w:t>
            </w:r>
            <w:r>
              <w:rPr>
                <w:rFonts w:ascii="Times New Roman" w:cs="Times New Roman" w:eastAsia="Times New Roman" w:hAnsi="Times New Roman"/>
                <w:sz w:val="21"/>
                <w:szCs w:val="21"/>
                <w:color w:val="008000"/>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13,978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3,667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12/31/2025</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3,667</w:t>
            </w:r>
          </w:p>
        </w:tc>
        <w:tc>
          <w:tcPr>
            <w:tcW w:w="760" w:type="dxa"/>
            <w:vAlign w:val="bottom"/>
            <w:gridSpan w:val="2"/>
          </w:tcPr>
          <w:p>
            <w:pPr>
              <w:jc w:val="center"/>
              <w:ind w:right="21"/>
              <w:spacing w:after="0"/>
              <w:rPr>
                <w:sz w:val="20"/>
                <w:szCs w:val="20"/>
                <w:color w:val="auto"/>
              </w:rPr>
            </w:pPr>
            <w:r>
              <w:rPr>
                <w:rFonts w:ascii="Times New Roman" w:cs="Times New Roman" w:eastAsia="Times New Roman" w:hAnsi="Times New Roman"/>
                <w:sz w:val="11"/>
                <w:szCs w:val="11"/>
                <w:color w:val="008000"/>
                <w:w w:val="93"/>
              </w:rPr>
              <w:t>(6)</w:t>
            </w: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(4)</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number of shares in this Form 4 has been adjusted to reflect the impact of the Issuer's 10-for-1 reverse stock split completed on September 17, 2025 (the "Reverse Stock Split").</w:t>
      </w:r>
    </w:p>
    <w:p>
      <w:pPr>
        <w:spacing w:after="0" w:line="45" w:lineRule="exact"/>
        <w:rPr>
          <w:rFonts w:ascii="Times New Roman" w:cs="Times New Roman" w:eastAsia="Times New Roman" w:hAnsi="Times New Roman"/>
          <w:sz w:val="13"/>
          <w:szCs w:val="13"/>
          <w:color w:val="008000"/>
        </w:rPr>
      </w:pPr>
    </w:p>
    <w:p>
      <w:pPr>
        <w:ind w:left="40" w:right="14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restricted stock units ("RSU") pursuant to mandatory "sell to cover" policies maintained by the issuer and provisions contained in the reporting person's applicable RSU agreement, and does not represent a discretionary sale by the reporting person. No additional shares of common stock were sold by the reporting person and the shares of Common Stock received upon settlement of the RSUs are subject to a lock-up agreement with Cantor Fitzgerald &amp; Co. entered into in connection with the Issuer's private placement in December 2025.</w:t>
      </w:r>
    </w:p>
    <w:p>
      <w:pPr>
        <w:spacing w:after="0" w:line="28"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$6.60 to $7.56,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Issuer's common stock.</w:t>
      </w:r>
    </w:p>
    <w:p>
      <w:pPr>
        <w:spacing w:after="0" w:line="4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 2024, the reporting person was granted 11,000 RSUs. One-third (1/3rd) of the RSUs vest on each of December 31, 2024, June 30, 2025 and December 31, 2025, subject to the reporting person continuing to be a Service Provider (as defined in the Issuer's 2020 Equity Incentive Plan (the "Plan")) through the applicable vesting dates.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Mark Worthington</w:t>
            </w:r>
          </w:p>
        </w:tc>
        <w:tc>
          <w:tcPr>
            <w:tcW w:w="7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01/05/2026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1464"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2026-01-05T19:51:24Z</dcterms:created>
  <dcterms:modified xsi:type="dcterms:W3CDTF">2026-01-05T19:51:24Z</dcterms:modified>
</cp:coreProperties>
</file>