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412115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426720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jc w:val="center"/>
        <w:ind w:right="-239"/>
        <w:spacing w:after="0" w:line="195"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111125</wp:posOffset>
            </wp:positionV>
            <wp:extent cx="23882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6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153035</wp:posOffset>
            </wp:positionV>
            <wp:extent cx="23882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37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144780</wp:posOffset>
            </wp:positionV>
            <wp:extent cx="23882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30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8"/>
          <w:szCs w:val="38"/>
          <w:b w:val="1"/>
          <w:bCs w:val="1"/>
          <w:color w:val="auto"/>
        </w:rPr>
        <w:t>Athira Pharma, Inc.</w:t>
      </w:r>
    </w:p>
    <w:p>
      <w:pPr>
        <w:spacing w:after="0" w:line="2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126365</wp:posOffset>
            </wp:positionV>
            <wp:extent cx="23882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386" w:lineRule="exact"/>
        <w:rPr>
          <w:sz w:val="24"/>
          <w:szCs w:val="24"/>
          <w:color w:val="auto"/>
        </w:rPr>
      </w:pPr>
    </w:p>
    <w:tbl>
      <w:tblPr>
        <w:tblLayout w:type="fixed"/>
        <w:tblInd w:w="1160" w:type="dxa"/>
        <w:tblCellMar>
          <w:top w:w="0" w:type="dxa"/>
          <w:left w:w="0" w:type="dxa"/>
          <w:bottom w:w="0" w:type="dxa"/>
          <w:right w:w="0" w:type="dxa"/>
        </w:tblCellMar>
      </w:tblPr>
      <w:tr>
        <w:trPr>
          <w:trHeight w:val="208"/>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001-39503</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w w:val="98"/>
              </w:rPr>
              <w:t>45-3368487</w:t>
            </w:r>
          </w:p>
        </w:tc>
      </w:tr>
      <w:tr>
        <w:trPr>
          <w:trHeight w:val="190"/>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405"/>
        </w:trPr>
        <w:tc>
          <w:tcPr>
            <w:tcW w:w="212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18706 North Creek Parkway, Suite 104</w:t>
            </w:r>
          </w:p>
        </w:tc>
        <w:tc>
          <w:tcPr>
            <w:tcW w:w="1800" w:type="dxa"/>
            <w:vAlign w:val="bottom"/>
          </w:tcPr>
          <w:p>
            <w:pPr>
              <w:spacing w:after="0"/>
              <w:rPr>
                <w:sz w:val="24"/>
                <w:szCs w:val="24"/>
                <w:color w:val="auto"/>
              </w:rPr>
            </w:pPr>
          </w:p>
        </w:tc>
      </w:tr>
      <w:tr>
        <w:trPr>
          <w:trHeight w:val="186"/>
        </w:trPr>
        <w:tc>
          <w:tcPr>
            <w:tcW w:w="2120" w:type="dxa"/>
            <w:vAlign w:val="bottom"/>
          </w:tcPr>
          <w:p>
            <w:pPr>
              <w:spacing w:after="0"/>
              <w:rPr>
                <w:sz w:val="16"/>
                <w:szCs w:val="16"/>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6"/>
              </w:rPr>
              <w:t>Bothell, WA 98011</w:t>
            </w:r>
          </w:p>
        </w:tc>
        <w:tc>
          <w:tcPr>
            <w:tcW w:w="1800" w:type="dxa"/>
            <w:vAlign w:val="bottom"/>
          </w:tcPr>
          <w:p>
            <w:pPr>
              <w:spacing w:after="0"/>
              <w:rPr>
                <w:sz w:val="16"/>
                <w:szCs w:val="16"/>
                <w:color w:val="auto"/>
              </w:rPr>
            </w:pPr>
          </w:p>
        </w:tc>
      </w:tr>
      <w:tr>
        <w:trPr>
          <w:trHeight w:val="166"/>
        </w:trPr>
        <w:tc>
          <w:tcPr>
            <w:tcW w:w="2120" w:type="dxa"/>
            <w:vAlign w:val="bottom"/>
          </w:tcPr>
          <w:p>
            <w:pPr>
              <w:spacing w:after="0"/>
              <w:rPr>
                <w:sz w:val="14"/>
                <w:szCs w:val="14"/>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800" w:type="dxa"/>
            <w:vAlign w:val="bottom"/>
          </w:tcPr>
          <w:p>
            <w:pPr>
              <w:spacing w:after="0"/>
              <w:rPr>
                <w:sz w:val="14"/>
                <w:szCs w:val="14"/>
                <w:color w:val="auto"/>
              </w:rPr>
            </w:pPr>
          </w:p>
        </w:tc>
      </w:tr>
      <w:tr>
        <w:trPr>
          <w:trHeight w:val="354"/>
        </w:trPr>
        <w:tc>
          <w:tcPr>
            <w:tcW w:w="212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7"/>
              </w:rPr>
              <w:t>(425) 620-8501</w:t>
            </w:r>
          </w:p>
        </w:tc>
        <w:tc>
          <w:tcPr>
            <w:tcW w:w="180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800" w:type="dxa"/>
            <w:vAlign w:val="bottom"/>
          </w:tcPr>
          <w:p>
            <w:pPr>
              <w:spacing w:after="0"/>
              <w:rPr>
                <w:sz w:val="14"/>
                <w:szCs w:val="14"/>
                <w:color w:val="auto"/>
              </w:rPr>
            </w:pPr>
          </w:p>
        </w:tc>
      </w:tr>
      <w:tr>
        <w:trPr>
          <w:trHeight w:val="331"/>
        </w:trPr>
        <w:tc>
          <w:tcPr>
            <w:tcW w:w="212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156210</wp:posOffset>
            </wp:positionV>
            <wp:extent cx="23882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w:t>
      </w: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3" w:lineRule="exact"/>
        <w:rPr>
          <w:sz w:val="24"/>
          <w:szCs w:val="24"/>
          <w:color w:val="auto"/>
        </w:rPr>
      </w:pPr>
    </w:p>
    <w:p>
      <w:pPr>
        <w:ind w:left="440" w:hanging="39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440" w:hanging="39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440" w:hanging="39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440" w:hanging="39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20"/>
          </w:cols>
          <w:pgMar w:left="320" w:top="783" w:right="559" w:bottom="1440" w:gutter="0" w:footer="0" w:header="0"/>
        </w:sectPr>
      </w:pPr>
    </w:p>
    <w:p>
      <w:pPr>
        <w:spacing w:after="0" w:line="8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22" w:lineRule="exact"/>
        <w:rPr>
          <w:sz w:val="24"/>
          <w:szCs w:val="24"/>
          <w:color w:val="auto"/>
        </w:rPr>
      </w:pPr>
    </w:p>
    <w:p>
      <w:pPr>
        <w:sectPr>
          <w:pgSz w:w="11900" w:h="16838" w:orient="portrait"/>
          <w:cols w:equalWidth="0" w:num="3">
            <w:col w:w="4400" w:space="720"/>
            <w:col w:w="2280" w:space="720"/>
            <w:col w:w="2900"/>
          </w:cols>
          <w:pgMar w:left="320" w:top="783" w:right="559" w:bottom="1440" w:gutter="0" w:footer="0" w:header="0"/>
          <w:type w:val="continuous"/>
        </w:sectPr>
      </w:pPr>
    </w:p>
    <w:p>
      <w:pPr>
        <w:spacing w:after="0" w:line="6"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ATHA</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50" w:lineRule="exact"/>
        <w:rPr>
          <w:sz w:val="24"/>
          <w:szCs w:val="24"/>
          <w:color w:val="auto"/>
        </w:rPr>
      </w:pPr>
    </w:p>
    <w:p>
      <w:pPr>
        <w:sectPr>
          <w:pgSz w:w="11900" w:h="16838" w:orient="portrait"/>
          <w:cols w:equalWidth="0" w:num="3">
            <w:col w:w="4720" w:space="720"/>
            <w:col w:w="2120" w:space="720"/>
            <w:col w:w="2740"/>
          </w:cols>
          <w:pgMar w:left="320" w:top="783" w:right="559" w:bottom="1440" w:gutter="0" w:footer="0" w:header="0"/>
          <w:type w:val="continuous"/>
        </w:sectPr>
      </w:pPr>
    </w:p>
    <w:p>
      <w:pPr>
        <w:spacing w:after="0" w:line="22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0"/>
        <w:spacing w:after="0" w:line="211" w:lineRule="exact"/>
        <w:tabs>
          <w:tab w:leader="none" w:pos="284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21"/>
          <w:szCs w:val="21"/>
          <w:color w:val="auto"/>
          <w:highlight w:val="black"/>
          <w:vertAlign w:val="superscript"/>
        </w:rPr>
        <w:t>☒</w:t>
      </w:r>
    </w:p>
    <w:p>
      <w:pPr>
        <w:spacing w:after="0" w:line="116" w:lineRule="exact"/>
        <w:rPr>
          <w:sz w:val="24"/>
          <w:szCs w:val="24"/>
          <w:color w:val="auto"/>
        </w:rPr>
      </w:pPr>
    </w:p>
    <w:p>
      <w:pPr>
        <w:ind w:right="80"/>
        <w:spacing w:after="0" w:line="17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118110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563245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20"/>
          </w:cols>
          <w:pgMar w:left="320" w:top="783"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37" w:lineRule="exact"/>
        <w:rPr>
          <w:sz w:val="20"/>
          <w:szCs w:val="20"/>
          <w:color w:val="auto"/>
        </w:rPr>
      </w:pPr>
    </w:p>
    <w:p>
      <w:pPr>
        <w:jc w:val="both"/>
        <w:ind w:right="160" w:firstLine="751"/>
        <w:spacing w:after="0" w:line="343" w:lineRule="auto"/>
        <w:rPr>
          <w:sz w:val="20"/>
          <w:szCs w:val="20"/>
          <w:color w:val="auto"/>
        </w:rPr>
      </w:pPr>
      <w:r>
        <w:rPr>
          <w:rFonts w:ascii="Times New Roman" w:cs="Times New Roman" w:eastAsia="Times New Roman" w:hAnsi="Times New Roman"/>
          <w:sz w:val="15"/>
          <w:szCs w:val="15"/>
          <w:color w:val="auto"/>
        </w:rPr>
        <w:t>On October 17, 2022, Athira Pharma, Inc. (the “Company”) issued a press release announcing that, following an unblinded interim efficacy and futility analysis, an independent data monitoring committee recommended continuation of the LIFT-AD study of fosgonimeton (ATH-1017) in patients with mild-to-moderate Alzheimer’s disease.</w:t>
      </w:r>
    </w:p>
    <w:p>
      <w:pPr>
        <w:spacing w:after="0" w:line="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 copy of the Company’s press release is attached hereto as Exhibit 99.1 and is incorporated herein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26" w:lineRule="exact"/>
        <w:rPr>
          <w:sz w:val="20"/>
          <w:szCs w:val="20"/>
          <w:color w:val="auto"/>
        </w:rPr>
      </w:pPr>
    </w:p>
    <w:p>
      <w:pPr>
        <w:ind w:right="140" w:firstLine="751"/>
        <w:spacing w:after="0" w:line="300" w:lineRule="auto"/>
        <w:rPr>
          <w:sz w:val="20"/>
          <w:szCs w:val="20"/>
          <w:color w:val="auto"/>
        </w:rPr>
      </w:pPr>
      <w:r>
        <w:rPr>
          <w:rFonts w:ascii="Times New Roman" w:cs="Times New Roman" w:eastAsia="Times New Roman" w:hAnsi="Times New Roman"/>
          <w:sz w:val="16"/>
          <w:szCs w:val="16"/>
          <w:color w:val="auto"/>
        </w:rPr>
        <w:t>The Company will host a live webcast to discuss the LIFT-AD interim analysis in greater detail at 8:30 a.m. ET today, Monday, October 17, 2022. To access the live webcast, please visit the “Events and Presentations" page within the Investors section of the Athira website: https://investors.athira.com/news-and-events/events-and-presentations. As part of the webcast, the Company will present certain slides relating to the LIFT-AD interim analysis, which slides are attached as Exhibit 99.2 hereto.</w:t>
      </w:r>
    </w:p>
    <w:p>
      <w:pPr>
        <w:spacing w:after="0" w:line="67" w:lineRule="exact"/>
        <w:rPr>
          <w:sz w:val="20"/>
          <w:szCs w:val="20"/>
          <w:color w:val="auto"/>
        </w:rPr>
      </w:pPr>
    </w:p>
    <w:p>
      <w:pPr>
        <w:ind w:right="220" w:firstLine="751"/>
        <w:spacing w:after="0" w:line="288"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including the slides to be used during the webcast and attached as Exhibit 99.2 hereto, are being furnished and not filed pursuant to Item 7.01 of Form 8-K. Such information shall not be deemed to be “filed” for purposes of Section 18 of the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4"/>
        </w:trPr>
        <w:tc>
          <w:tcPr>
            <w:tcW w:w="102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60" w:type="dxa"/>
            <w:vAlign w:val="bottom"/>
            <w:gridSpan w:val="3"/>
          </w:tcPr>
          <w:p>
            <w:pPr>
              <w:spacing w:after="0" w:line="154" w:lineRule="exact"/>
              <w:rPr>
                <w:sz w:val="20"/>
                <w:szCs w:val="20"/>
                <w:color w:val="auto"/>
              </w:rPr>
            </w:pPr>
            <w:r>
              <w:rPr>
                <w:rFonts w:ascii="Times New Roman" w:cs="Times New Roman" w:eastAsia="Times New Roman" w:hAnsi="Times New Roman"/>
                <w:sz w:val="16"/>
                <w:szCs w:val="16"/>
                <w:color w:val="0000FF"/>
              </w:rPr>
              <w:t>Athira Pharma, Inc. press release dated October 17, 2022.</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69"/>
        </w:trPr>
        <w:tc>
          <w:tcPr>
            <w:tcW w:w="1020" w:type="dxa"/>
            <w:vAlign w:val="bottom"/>
          </w:tcPr>
          <w:p>
            <w:pPr>
              <w:ind w:left="40"/>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6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Athira Pharma, Inc. presentation slides.</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32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713"/>
        </w:trPr>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2" w:lineRule="exact"/>
        <w:rPr>
          <w:sz w:val="20"/>
          <w:szCs w:val="20"/>
          <w:color w:val="auto"/>
        </w:rPr>
      </w:pPr>
    </w:p>
    <w:p>
      <w:pPr>
        <w:ind w:right="120" w:firstLine="751"/>
        <w:spacing w:after="0" w:line="30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Athira Pharma, Inc.</w:t>
            </w:r>
          </w:p>
        </w:tc>
      </w:tr>
      <w:tr>
        <w:trPr>
          <w:trHeight w:val="378"/>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Date: October 17, 2022</w:t>
            </w:r>
          </w:p>
        </w:tc>
        <w:tc>
          <w:tcPr>
            <w:tcW w:w="25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Mark Litton</w:t>
            </w:r>
          </w:p>
        </w:tc>
      </w:tr>
      <w:tr>
        <w:trPr>
          <w:trHeight w:val="165"/>
        </w:trPr>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06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Mark Litton</w:t>
            </w:r>
          </w:p>
        </w:tc>
      </w:tr>
      <w:tr>
        <w:trPr>
          <w:trHeight w:val="206"/>
        </w:trPr>
        <w:tc>
          <w:tcPr>
            <w:tcW w:w="3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79"/>
        </w:trPr>
        <w:tc>
          <w:tcPr>
            <w:tcW w:w="37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5715</wp:posOffset>
            </wp:positionV>
            <wp:extent cx="1389380" cy="570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9380"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line="266" w:lineRule="auto"/>
        <w:rPr>
          <w:sz w:val="20"/>
          <w:szCs w:val="20"/>
          <w:color w:val="auto"/>
        </w:rPr>
      </w:pPr>
      <w:r>
        <w:rPr>
          <w:rFonts w:ascii="Calibri" w:cs="Calibri" w:eastAsia="Calibri" w:hAnsi="Calibri"/>
          <w:sz w:val="20"/>
          <w:szCs w:val="20"/>
          <w:b w:val="1"/>
          <w:bCs w:val="1"/>
          <w:color w:val="auto"/>
        </w:rPr>
        <w:t>Athira Pharma Advances Phase 2/3 LIFT-AD Clinical Study of Fosgonimeton in Mild-to-Moderate Alzheimer’s Patents Following Independent, Unblinded Interim Analysis</w:t>
      </w:r>
    </w:p>
    <w:p>
      <w:pPr>
        <w:spacing w:after="0" w:line="212"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i w:val="1"/>
          <w:iCs w:val="1"/>
          <w:color w:val="auto"/>
        </w:rPr>
        <w:t>Results support potental clinically meaningful actvity of fosgonimeton without background therapy and mitgate program risk</w:t>
      </w:r>
    </w:p>
    <w:p>
      <w:pPr>
        <w:spacing w:after="0" w:line="223" w:lineRule="exact"/>
        <w:rPr>
          <w:sz w:val="20"/>
          <w:szCs w:val="20"/>
          <w:color w:val="auto"/>
        </w:rPr>
      </w:pPr>
    </w:p>
    <w:p>
      <w:pPr>
        <w:jc w:val="center"/>
        <w:ind w:right="60"/>
        <w:spacing w:after="0" w:line="474" w:lineRule="auto"/>
        <w:rPr>
          <w:sz w:val="20"/>
          <w:szCs w:val="20"/>
          <w:color w:val="auto"/>
        </w:rPr>
      </w:pPr>
      <w:r>
        <w:rPr>
          <w:rFonts w:ascii="Calibri" w:cs="Calibri" w:eastAsia="Calibri" w:hAnsi="Calibri"/>
          <w:sz w:val="19"/>
          <w:szCs w:val="19"/>
          <w:i w:val="1"/>
          <w:iCs w:val="1"/>
          <w:color w:val="auto"/>
        </w:rPr>
        <w:t>Updated study well powered for primary endpoint with additon of fewer than 150 patents Company targets completon of enrollment in mid-2023 and topline results in early 2024 Company to host live webcast today at 8:30 a.m. Eastern</w:t>
      </w:r>
    </w:p>
    <w:p>
      <w:pPr>
        <w:spacing w:after="0" w:line="2" w:lineRule="exact"/>
        <w:rPr>
          <w:sz w:val="20"/>
          <w:szCs w:val="20"/>
          <w:color w:val="auto"/>
        </w:rPr>
      </w:pPr>
    </w:p>
    <w:p>
      <w:pPr>
        <w:ind w:right="100"/>
        <w:spacing w:after="0" w:line="248" w:lineRule="auto"/>
        <w:rPr>
          <w:sz w:val="20"/>
          <w:szCs w:val="20"/>
          <w:color w:val="auto"/>
        </w:rPr>
      </w:pPr>
      <w:r>
        <w:rPr>
          <w:rFonts w:ascii="Calibri" w:cs="Calibri" w:eastAsia="Calibri" w:hAnsi="Calibri"/>
          <w:sz w:val="17"/>
          <w:szCs w:val="17"/>
          <w:b w:val="1"/>
          <w:bCs w:val="1"/>
          <w:color w:val="auto"/>
        </w:rPr>
        <w:t xml:space="preserve">BOTHELL, Wash., Oct. 17, 2022 </w:t>
      </w:r>
      <w:r>
        <w:rPr>
          <w:rFonts w:ascii="Calibri" w:cs="Calibri" w:eastAsia="Calibri" w:hAnsi="Calibri"/>
          <w:sz w:val="17"/>
          <w:szCs w:val="17"/>
          <w:color w:val="auto"/>
        </w:rPr>
        <w:t>— Athira Pharma, Inc. (NASDAQ: ATHA), a late clinical-stage biopharmaceutcal company focused on developing small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molecules to restore neuronal health and slow neurodegeneraton, today announced that following an unblinded interim efcacy and futlity analysis, an independent data monitoring commitee recommended contnuaton of the LIFT-AD study of fosgonimeton (ATH-1017) in patents with mild-to-moderate Alzheimer’s disease (AD). The commitee also determined that, with the additonal enrollment of fewer than 150 patents for a total enrollment of less than 300 patents without background therapy (acetylcholinesterase inhibitors), the study will be well powered for the primary endpoint given the preliminary efect size observed. The primary endpoint of LIFT-AD is the Global Statstcal Test, an unweighted composite score comprising measures of cogniton (Alzheimer's Disease Assessment Scale-Cognitve Subscale [ADAS-Cog11]) and functon (Alzheimer’s Disease Cooperatve Study-Actvites of Daily Living [ADCS-ADL23]).</w:t>
      </w:r>
    </w:p>
    <w:p>
      <w:pPr>
        <w:spacing w:after="0" w:line="344" w:lineRule="exact"/>
        <w:rPr>
          <w:sz w:val="20"/>
          <w:szCs w:val="20"/>
          <w:color w:val="auto"/>
        </w:rPr>
      </w:pPr>
    </w:p>
    <w:p>
      <w:pPr>
        <w:ind w:right="40"/>
        <w:spacing w:after="0" w:line="249" w:lineRule="auto"/>
        <w:rPr>
          <w:sz w:val="20"/>
          <w:szCs w:val="20"/>
          <w:color w:val="auto"/>
        </w:rPr>
      </w:pPr>
      <w:r>
        <w:rPr>
          <w:rFonts w:ascii="Calibri" w:cs="Calibri" w:eastAsia="Calibri" w:hAnsi="Calibri"/>
          <w:sz w:val="17"/>
          <w:szCs w:val="17"/>
          <w:color w:val="auto"/>
        </w:rPr>
        <w:t>Results from the completed exploratory ACT-AD Phase 2 study showed a favorable safety profle and suggested positve efects on measures of cogniton (ADAS-Cog11), functon (ADCS-ADL23) and neurodegeneraton (plasma neuroflament light chain or NfL) in patents taking fosgonimeton without background therapy. Guided by these results, the Company proactvely amended LIFT-AD to focus on patents not on background therapy. The unblinded interim analysis was then conducted in approximately 100 patents not on background therapy to corroborate observatons from ACT-AD and ensure LIFT-AD is well powered to determine the efect of fosgonimeton on clinically meaningful and commercially relevant endpoints.</w:t>
      </w:r>
    </w:p>
    <w:p>
      <w:pPr>
        <w:spacing w:after="0" w:line="142" w:lineRule="exact"/>
        <w:rPr>
          <w:sz w:val="20"/>
          <w:szCs w:val="20"/>
          <w:color w:val="auto"/>
        </w:rPr>
      </w:pPr>
    </w:p>
    <w:p>
      <w:pPr>
        <w:ind w:right="400"/>
        <w:spacing w:after="0" w:line="263" w:lineRule="auto"/>
        <w:rPr>
          <w:sz w:val="20"/>
          <w:szCs w:val="20"/>
          <w:color w:val="auto"/>
        </w:rPr>
      </w:pPr>
      <w:r>
        <w:rPr>
          <w:rFonts w:ascii="Calibri" w:cs="Calibri" w:eastAsia="Calibri" w:hAnsi="Calibri"/>
          <w:sz w:val="17"/>
          <w:szCs w:val="17"/>
          <w:color w:val="auto"/>
        </w:rPr>
        <w:t>“The results from the data monitoring commitee’s unblinded analysis give us confdence in a potentally positve outcome for LIFT-AD, as stringent evaluaton criteria were applied based on validated and clinically meaningful cognitve and functonal outcomes,” said Hans Moebius, M.D., Ph.D., Chief Medical Ofcer of Athira. “This analysis supports the potental clinical benefts of fosgonimeton treatment and underscores the ratonale for contnued development of this promising new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302260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 w:name="page5"/>
    <w:bookmarkEnd w:id="4"/>
    <w:p>
      <w:pPr>
        <w:ind w:right="120"/>
        <w:spacing w:after="0" w:line="249" w:lineRule="auto"/>
        <w:rPr>
          <w:sz w:val="20"/>
          <w:szCs w:val="20"/>
          <w:color w:val="auto"/>
        </w:rPr>
      </w:pPr>
      <w:r>
        <w:rPr>
          <w:rFonts w:ascii="Calibri" w:cs="Calibri" w:eastAsia="Calibri" w:hAnsi="Calibri"/>
          <w:sz w:val="17"/>
          <w:szCs w:val="17"/>
          <w:color w:val="auto"/>
        </w:rPr>
        <w:t>“We are very excited by the results of this independent review as we believe they mitgate the risk of the fosgonimeton development plan, support the potental clinical beneft of fosgonimeton and inform the sample size needed to achieve success with LIFT-AD,” said Mark Liton, Ph.D., President and Chief Executve Ofcer of Athira. “We are now targetng to complete enrollment in mid-2023 and report topline data in early 2024. Importantly, we have a strong balance sheet to execute our plans through key data readouts and beyond. Moving forward, we remain keenly focused on advancing this novel investgatonal therapy with the hope of positvely impactng the lives of millions of Alzheimer’s patents.</w:t>
      </w:r>
    </w:p>
    <w:p>
      <w:pPr>
        <w:spacing w:after="0" w:line="106" w:lineRule="exact"/>
        <w:rPr>
          <w:sz w:val="20"/>
          <w:szCs w:val="20"/>
          <w:color w:val="auto"/>
        </w:rPr>
      </w:pPr>
    </w:p>
    <w:p>
      <w:pPr>
        <w:ind w:right="240"/>
        <w:spacing w:after="0" w:line="234" w:lineRule="auto"/>
        <w:rPr>
          <w:sz w:val="20"/>
          <w:szCs w:val="20"/>
          <w:color w:val="auto"/>
        </w:rPr>
      </w:pPr>
      <w:r>
        <w:rPr>
          <w:rFonts w:ascii="Calibri" w:cs="Calibri" w:eastAsia="Calibri" w:hAnsi="Calibri"/>
          <w:sz w:val="17"/>
          <w:szCs w:val="17"/>
          <w:color w:val="auto"/>
        </w:rPr>
        <w:t>“Our goal with fosgonimeton is to demonstrate its ability to improve cogniton and functon and to ultmately provide neuroprotecton. The ACT-AD study suggested these benefts, and the results of the LIFT-AD interim analysis corroborate those fndings,” added Dr. Liton. “We believe any drug that can demonstrate neuroprotecton could become a treatment of choice for mild-to-moderate Alzheimer’s patents.”</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Live Webcast</w:t>
      </w:r>
    </w:p>
    <w:p>
      <w:pPr>
        <w:spacing w:after="0" w:line="30" w:lineRule="exact"/>
        <w:rPr>
          <w:sz w:val="20"/>
          <w:szCs w:val="20"/>
          <w:color w:val="auto"/>
        </w:rPr>
      </w:pPr>
    </w:p>
    <w:p>
      <w:pPr>
        <w:ind w:right="120"/>
        <w:spacing w:after="0" w:line="263" w:lineRule="auto"/>
        <w:rPr>
          <w:sz w:val="20"/>
          <w:szCs w:val="20"/>
          <w:color w:val="auto"/>
        </w:rPr>
      </w:pPr>
      <w:r>
        <w:rPr>
          <w:rFonts w:ascii="Calibri" w:cs="Calibri" w:eastAsia="Calibri" w:hAnsi="Calibri"/>
          <w:sz w:val="17"/>
          <w:szCs w:val="17"/>
          <w:color w:val="auto"/>
        </w:rPr>
        <w:t>Athira will host a live webcast to discuss the LIFT-AD interim analysis in greater detail at 8:30 a.m. Eastern Time today, Monday, Oct. 17, 2022. To access the live webcast, please visit htps://us02web.zoom.us/webinar/register/WN_AtJ3jgG1RtmRRlcU_cYb-Q or the "Events and Presentatons" page within the Investors secton of the Athira website: htps://investors.athira.com/news-and-events/events-and-presentatons-investor. An archived replay will also be available on the website for at least 90 days following the event.</w:t>
      </w:r>
    </w:p>
    <w:p>
      <w:pPr>
        <w:spacing w:after="0" w:line="15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About the LIFT-AD Clinical Study</w:t>
      </w:r>
    </w:p>
    <w:p>
      <w:pPr>
        <w:spacing w:after="0" w:line="19" w:lineRule="exact"/>
        <w:rPr>
          <w:sz w:val="20"/>
          <w:szCs w:val="20"/>
          <w:color w:val="auto"/>
        </w:rPr>
      </w:pPr>
    </w:p>
    <w:p>
      <w:pPr>
        <w:ind w:right="180"/>
        <w:spacing w:after="0" w:line="266" w:lineRule="auto"/>
        <w:rPr>
          <w:sz w:val="20"/>
          <w:szCs w:val="20"/>
          <w:color w:val="auto"/>
        </w:rPr>
      </w:pPr>
      <w:r>
        <w:rPr>
          <w:rFonts w:ascii="Calibri" w:cs="Calibri" w:eastAsia="Calibri" w:hAnsi="Calibri"/>
          <w:sz w:val="17"/>
          <w:szCs w:val="17"/>
          <w:color w:val="auto"/>
        </w:rPr>
        <w:t>LIFT-AD is a randomized, double-blind, placebo-controlled, parallel-group study of fosgonimeton for patents with mild-to-moderate Alzheimer’s disease. Patents are randomized across two dose groups and one placebo group on a 1:1:1 basis to receive a subcutaneous injecton of fosgonimeton or placebo once daily over a treatment course of 26 weeks. The primary endpoint for LIFT-AD is the Global Statstcal Test, an unweighted composite score comprising measures of cogniton (Alzheimer's Disease Assessment Scale-Cognitve Subscale [ADAS-Cog11]) and functon (Alzheimer’s Disease Cooperatve Study-Actvites of Daily Living [ADCS-ADL23]). Additonal informaton on the LIFT-AD study can be found at: NCT04488419.</w:t>
      </w:r>
    </w:p>
    <w:p>
      <w:pPr>
        <w:spacing w:after="0" w:line="18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About Fosgonimeton</w:t>
      </w:r>
    </w:p>
    <w:p>
      <w:pPr>
        <w:spacing w:after="0" w:line="19" w:lineRule="exact"/>
        <w:rPr>
          <w:sz w:val="20"/>
          <w:szCs w:val="20"/>
          <w:color w:val="auto"/>
        </w:rPr>
      </w:pPr>
    </w:p>
    <w:p>
      <w:pPr>
        <w:ind w:right="40"/>
        <w:spacing w:after="0" w:line="263" w:lineRule="auto"/>
        <w:rPr>
          <w:sz w:val="20"/>
          <w:szCs w:val="20"/>
          <w:color w:val="auto"/>
        </w:rPr>
      </w:pPr>
      <w:r>
        <w:rPr>
          <w:rFonts w:ascii="Calibri" w:cs="Calibri" w:eastAsia="Calibri" w:hAnsi="Calibri"/>
          <w:sz w:val="17"/>
          <w:szCs w:val="17"/>
          <w:color w:val="auto"/>
        </w:rPr>
        <w:t>Fosgonimeton is a small molecule designed to enhance the actvity of hepatocyte growth factor (HGF) and its receptor, MET, to impact neurodegeneraton and regenerate brain tssue. The functon of the HGF/MET receptor system may be impaired in the brain under conditons of neurodegeneraton. In additon to Alzheimer’s disease, fosgonimeton has the potental to address the broader dementa populaton, including Parkinson’s disease dementa and Dementa with Lewy bodies, as the mode of acton focuses on network recovery and synaptc signal transmission in the brain.</w:t>
      </w:r>
    </w:p>
    <w:p>
      <w:pPr>
        <w:spacing w:after="0" w:line="214" w:lineRule="exact"/>
        <w:rPr>
          <w:sz w:val="20"/>
          <w:szCs w:val="20"/>
          <w:color w:val="auto"/>
        </w:rPr>
      </w:pPr>
    </w:p>
    <w:p>
      <w:pPr>
        <w:spacing w:after="0" w:line="265" w:lineRule="auto"/>
        <w:rPr>
          <w:sz w:val="20"/>
          <w:szCs w:val="20"/>
          <w:color w:val="auto"/>
        </w:rPr>
      </w:pPr>
      <w:r>
        <w:rPr>
          <w:rFonts w:ascii="Calibri" w:cs="Calibri" w:eastAsia="Calibri" w:hAnsi="Calibri"/>
          <w:sz w:val="17"/>
          <w:szCs w:val="17"/>
          <w:color w:val="auto"/>
        </w:rPr>
        <w:t>The ACT-AD trial was supported by a grant from the Natonal Insttute on Aging of the Natonal Insttutes of Health under Award Number R01AG06268. The informaton presented in this press release is solely the responsibility of Athira and does not necessarily represent the ofcial views of the Natonal Insttutes of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165735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 w:name="page6"/>
    <w:bookmarkEnd w:id="5"/>
    <w:p>
      <w:pPr>
        <w:spacing w:after="0"/>
        <w:rPr>
          <w:sz w:val="20"/>
          <w:szCs w:val="20"/>
          <w:color w:val="auto"/>
        </w:rPr>
      </w:pPr>
      <w:r>
        <w:rPr>
          <w:rFonts w:ascii="Calibri" w:cs="Calibri" w:eastAsia="Calibri" w:hAnsi="Calibri"/>
          <w:sz w:val="17"/>
          <w:szCs w:val="17"/>
          <w:b w:val="1"/>
          <w:bCs w:val="1"/>
          <w:color w:val="231F20"/>
        </w:rPr>
        <w:t>About Athira Pharma, Inc.</w:t>
      </w:r>
    </w:p>
    <w:p>
      <w:pPr>
        <w:spacing w:after="0" w:line="30" w:lineRule="exact"/>
        <w:rPr>
          <w:sz w:val="20"/>
          <w:szCs w:val="20"/>
          <w:color w:val="auto"/>
        </w:rPr>
      </w:pPr>
    </w:p>
    <w:p>
      <w:pPr>
        <w:ind w:right="40"/>
        <w:spacing w:after="0" w:line="262" w:lineRule="auto"/>
        <w:rPr>
          <w:sz w:val="20"/>
          <w:szCs w:val="20"/>
          <w:color w:val="auto"/>
        </w:rPr>
      </w:pPr>
      <w:r>
        <w:rPr>
          <w:rFonts w:ascii="Calibri" w:cs="Calibri" w:eastAsia="Calibri" w:hAnsi="Calibri"/>
          <w:sz w:val="17"/>
          <w:szCs w:val="17"/>
          <w:color w:val="231F20"/>
        </w:rPr>
        <w:t xml:space="preserve">Athira Pharma, Inc., headquartered in the Seatle, Washington area, is a late clinical-stage biopharmaceutcal company focused on developing small molecules to restore neuronal health and slow neurodegeneraton. Athira aims to provide rapid cognitve improvement and alter the course of neurological diseases with its novel mechanism of acton. Athira is currently advancing its pipeline of therapeutc candidates targetng the HGF/MET neurotrophic system for Alzheimer’s and Parkinson’s disease dementa, Dementa with Lewy bodies and neuropsychiatric indicatons. For more informaton, visit </w:t>
      </w:r>
      <w:r>
        <w:rPr>
          <w:rFonts w:ascii="Calibri" w:cs="Calibri" w:eastAsia="Calibri" w:hAnsi="Calibri"/>
          <w:sz w:val="17"/>
          <w:szCs w:val="17"/>
          <w:color w:val="000000"/>
        </w:rPr>
        <w:t>www.athira.com</w:t>
      </w:r>
      <w:r>
        <w:rPr>
          <w:rFonts w:ascii="Calibri" w:cs="Calibri" w:eastAsia="Calibri" w:hAnsi="Calibri"/>
          <w:sz w:val="17"/>
          <w:szCs w:val="17"/>
          <w:color w:val="231F20"/>
        </w:rPr>
        <w:t>. You can also follow Athira on</w:t>
      </w:r>
      <w:r>
        <w:rPr>
          <w:rFonts w:ascii="Calibri" w:cs="Calibri" w:eastAsia="Calibri" w:hAnsi="Calibri"/>
          <w:sz w:val="17"/>
          <w:szCs w:val="17"/>
          <w:color w:val="000000"/>
        </w:rPr>
        <w:t xml:space="preserve"> Facebook</w:t>
      </w:r>
      <w:r>
        <w:rPr>
          <w:rFonts w:ascii="Calibri" w:cs="Calibri" w:eastAsia="Calibri" w:hAnsi="Calibri"/>
          <w:sz w:val="17"/>
          <w:szCs w:val="17"/>
          <w:color w:val="231F20"/>
        </w:rPr>
        <w:t>,</w:t>
      </w:r>
      <w:r>
        <w:rPr>
          <w:rFonts w:ascii="Calibri" w:cs="Calibri" w:eastAsia="Calibri" w:hAnsi="Calibri"/>
          <w:sz w:val="17"/>
          <w:szCs w:val="17"/>
          <w:color w:val="000000"/>
        </w:rPr>
        <w:t xml:space="preserve"> LinkedIn </w:t>
      </w:r>
      <w:r>
        <w:rPr>
          <w:rFonts w:ascii="Calibri" w:cs="Calibri" w:eastAsia="Calibri" w:hAnsi="Calibri"/>
          <w:sz w:val="17"/>
          <w:szCs w:val="17"/>
          <w:color w:val="231F20"/>
        </w:rPr>
        <w:t>and @athirapharma on</w:t>
      </w:r>
      <w:r>
        <w:rPr>
          <w:rFonts w:ascii="Calibri" w:cs="Calibri" w:eastAsia="Calibri" w:hAnsi="Calibri"/>
          <w:sz w:val="17"/>
          <w:szCs w:val="17"/>
          <w:color w:val="000000"/>
        </w:rPr>
        <w:t xml:space="preserve"> Twiter </w:t>
      </w:r>
      <w:r>
        <w:rPr>
          <w:rFonts w:ascii="Calibri" w:cs="Calibri" w:eastAsia="Calibri" w:hAnsi="Calibri"/>
          <w:sz w:val="17"/>
          <w:szCs w:val="17"/>
          <w:color w:val="231F20"/>
        </w:rPr>
        <w:t>and</w:t>
      </w:r>
      <w:r>
        <w:rPr>
          <w:rFonts w:ascii="Calibri" w:cs="Calibri" w:eastAsia="Calibri" w:hAnsi="Calibri"/>
          <w:sz w:val="17"/>
          <w:szCs w:val="17"/>
          <w:color w:val="000000"/>
        </w:rPr>
        <w:t xml:space="preserve"> Instagram</w:t>
      </w:r>
      <w:r>
        <w:rPr>
          <w:rFonts w:ascii="Calibri" w:cs="Calibri" w:eastAsia="Calibri" w:hAnsi="Calibri"/>
          <w:sz w:val="17"/>
          <w:szCs w:val="17"/>
          <w:color w:val="231F20"/>
        </w:rPr>
        <w:t>.</w:t>
      </w:r>
    </w:p>
    <w:p>
      <w:pPr>
        <w:spacing w:after="0" w:line="21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231F20"/>
        </w:rPr>
        <w:t>Forward-Looking Statements</w:t>
      </w:r>
    </w:p>
    <w:p>
      <w:pPr>
        <w:spacing w:after="0" w:line="30" w:lineRule="exact"/>
        <w:rPr>
          <w:sz w:val="20"/>
          <w:szCs w:val="20"/>
          <w:color w:val="auto"/>
        </w:rPr>
      </w:pPr>
    </w:p>
    <w:p>
      <w:pPr>
        <w:spacing w:after="0" w:line="264" w:lineRule="auto"/>
        <w:rPr>
          <w:sz w:val="20"/>
          <w:szCs w:val="20"/>
          <w:color w:val="auto"/>
        </w:rPr>
      </w:pPr>
      <w:r>
        <w:rPr>
          <w:rFonts w:ascii="Calibri" w:cs="Calibri" w:eastAsia="Calibri" w:hAnsi="Calibri"/>
          <w:sz w:val="17"/>
          <w:szCs w:val="17"/>
          <w:color w:val="231F20"/>
        </w:rPr>
        <w:t xml:space="preserve">This communicaton contains “forward-looking statements” within the meaning of Secton 27A of the Securites Act of 1933, Secton 21E of the Securites Exchange Act of 1934 and the Private Securites Litgaton Reform Act of 1995. These forward-looking statements are not based on historical fact and include statements regarding fosgonimeton as a potental treatment for Alzheimer’s disease, Parkinson’s disease dementa, Dementa with Lewy bodies, and other dementas; Athira’s platorm technology and potental therapies; future development plans; clinical and regulatory objectves and the tming thereof; expectatons regarding the potental efcacy and commercial potental of Athira’s product candidates; the antcipated reportng of data; the potental learnings from the ACT-AD trial and LIFT-AD </w:t>
      </w:r>
      <w:r>
        <w:rPr>
          <w:rFonts w:ascii="Calibri" w:cs="Calibri" w:eastAsia="Calibri" w:hAnsi="Calibri"/>
          <w:sz w:val="17"/>
          <w:szCs w:val="17"/>
          <w:color w:val="000000"/>
        </w:rPr>
        <w:t>unblinded interim efcacy and futlity analysis</w:t>
      </w:r>
      <w:r>
        <w:rPr>
          <w:rFonts w:ascii="Calibri" w:cs="Calibri" w:eastAsia="Calibri" w:hAnsi="Calibri"/>
          <w:sz w:val="17"/>
          <w:szCs w:val="17"/>
          <w:color w:val="231F20"/>
        </w:rPr>
        <w:t xml:space="preserve"> and their ability to inform and improve future clinical development plans; and Athira’s ability to advance its product candidates into later stages of development. Forward-looking statements generally include statements that are predictve in nature and depend upon or refer to future events or conditons, and include words such as “may,” “will,” “should,” “on track,” “would,” “expect,” “plan,” “believe,” “intend,” “pursue,” “contnue,” and other similar expressions, among others.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data for our product candidates from or preclinical and clinical trials will not support the safety, efcacy and tolerability of our product candidates; cessaton or delay of any of the ongoing clinical trials and/or Athira’s development of fosgonimeton and other product candidates may occur; regulatory authorites could object to protocols, amendments and other submissions, future potental regulatory milestones of fosgonimeton and other product candidates, including those related to current and planned clinical studies, may be insufcient to support regulatory submissions or approval; the impact of the COVID-19 pandemic on Athira’s business, research and clinical development plans and tmelines, and the regulatory process for Athira product candidates; Athira may not be able to recruit sufcient patents for its clinical trials; the outcome of legal proceedings that have been or may in the future be insttuted against us and certain of our directors and ofcers; clinical trials may not demonstrate safety and efcacy of any of Athira’s product candidates; possible negatve interactons of Athira's product candidates with other treatments; Athira’s assumptons regarding the sufciency of its cash, cash equivalents and investments to fund its planned operatons may be incorrect; adverse conditons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326390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6" w:name="page7"/>
    <w:bookmarkEnd w:id="6"/>
    <w:p>
      <w:pPr>
        <w:spacing w:after="0" w:line="265" w:lineRule="auto"/>
        <w:rPr>
          <w:sz w:val="20"/>
          <w:szCs w:val="20"/>
          <w:color w:val="auto"/>
        </w:rPr>
      </w:pPr>
      <w:r>
        <w:rPr>
          <w:rFonts w:ascii="Calibri" w:cs="Calibri" w:eastAsia="Calibri" w:hAnsi="Calibri"/>
          <w:sz w:val="17"/>
          <w:szCs w:val="17"/>
          <w:color w:val="231F20"/>
        </w:rPr>
        <w:t>general domestc and global economic markets; the impact of competton; regulatory agencies may be delayed in reviewing, commentng on or approving any of Athira’s clinical development plans as a result of the COVID-19 pandemic, which could further delay development tmelines; the impact of expanded product development and clinical actvites on operatng expenses; the impact of new or changing laws and regulatons; as well as the other risks detailed in Athira’s flings with the Securites and Exchange Commission. These forward-looking statements speak only as of the date hereof and Athira undertakes no obligaton to update forward-looking statements. Athira may not actually achieve the plans, intentons, or expectatons disclosed in its forward-looking statements, and you should not place undue reliance on the forward-looking statements.</w:t>
      </w:r>
    </w:p>
    <w:p>
      <w:pPr>
        <w:spacing w:after="0" w:line="20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231F20"/>
        </w:rPr>
        <w:t>Investor &amp; Media Contact:</w:t>
      </w:r>
    </w:p>
    <w:p>
      <w:pPr>
        <w:spacing w:after="0" w:line="230" w:lineRule="exact"/>
        <w:rPr>
          <w:sz w:val="20"/>
          <w:szCs w:val="20"/>
          <w:color w:val="auto"/>
        </w:rPr>
      </w:pPr>
    </w:p>
    <w:p>
      <w:pPr>
        <w:spacing w:after="0"/>
        <w:rPr>
          <w:sz w:val="20"/>
          <w:szCs w:val="20"/>
          <w:color w:val="auto"/>
        </w:rPr>
      </w:pPr>
      <w:r>
        <w:rPr>
          <w:rFonts w:ascii="Calibri" w:cs="Calibri" w:eastAsia="Calibri" w:hAnsi="Calibri"/>
          <w:sz w:val="17"/>
          <w:szCs w:val="17"/>
          <w:color w:val="231F20"/>
        </w:rPr>
        <w:t>Julie Rathbun</w:t>
      </w:r>
    </w:p>
    <w:p>
      <w:pPr>
        <w:spacing w:after="0" w:line="17" w:lineRule="exact"/>
        <w:rPr>
          <w:sz w:val="20"/>
          <w:szCs w:val="20"/>
          <w:color w:val="auto"/>
        </w:rPr>
      </w:pPr>
    </w:p>
    <w:p>
      <w:pPr>
        <w:spacing w:after="0"/>
        <w:rPr>
          <w:sz w:val="20"/>
          <w:szCs w:val="20"/>
          <w:color w:val="auto"/>
        </w:rPr>
      </w:pPr>
      <w:r>
        <w:rPr>
          <w:rFonts w:ascii="Calibri" w:cs="Calibri" w:eastAsia="Calibri" w:hAnsi="Calibri"/>
          <w:sz w:val="17"/>
          <w:szCs w:val="17"/>
          <w:color w:val="231F20"/>
        </w:rPr>
        <w:t>Athira Pharma</w:t>
      </w:r>
    </w:p>
    <w:p>
      <w:pPr>
        <w:spacing w:after="0" w:line="17" w:lineRule="exact"/>
        <w:rPr>
          <w:sz w:val="20"/>
          <w:szCs w:val="20"/>
          <w:color w:val="auto"/>
        </w:rPr>
      </w:pPr>
    </w:p>
    <w:p>
      <w:pPr>
        <w:spacing w:after="0"/>
        <w:rPr>
          <w:sz w:val="20"/>
          <w:szCs w:val="20"/>
          <w:color w:val="auto"/>
        </w:rPr>
      </w:pPr>
      <w:r>
        <w:rPr>
          <w:rFonts w:ascii="Calibri" w:cs="Calibri" w:eastAsia="Calibri" w:hAnsi="Calibri"/>
          <w:sz w:val="17"/>
          <w:szCs w:val="17"/>
          <w:color w:val="auto"/>
        </w:rPr>
        <w:t>Julie.rathbun@athira.com</w:t>
      </w:r>
    </w:p>
    <w:p>
      <w:pPr>
        <w:spacing w:after="0" w:line="29" w:lineRule="exact"/>
        <w:rPr>
          <w:sz w:val="20"/>
          <w:szCs w:val="20"/>
          <w:color w:val="auto"/>
        </w:rPr>
      </w:pPr>
    </w:p>
    <w:p>
      <w:pPr>
        <w:spacing w:after="0"/>
        <w:rPr>
          <w:sz w:val="20"/>
          <w:szCs w:val="20"/>
          <w:color w:val="auto"/>
        </w:rPr>
      </w:pPr>
      <w:r>
        <w:rPr>
          <w:rFonts w:ascii="Calibri" w:cs="Calibri" w:eastAsia="Calibri" w:hAnsi="Calibri"/>
          <w:sz w:val="17"/>
          <w:szCs w:val="17"/>
          <w:color w:val="231F20"/>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186055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2022-10-17T07:34:03Z</dcterms:created>
  <dcterms:modified xsi:type="dcterms:W3CDTF">2022-10-17T07:34:03Z</dcterms:modified>
</cp:coreProperties>
</file>