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LeonaBio,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Alexander Rakitin</w:t>
              <w:br/>
              <w:t>Perceptive Advisors LLC, 51 Astor Place, 10th Floor</w:t>
              <w:br/>
              <w:t>New York, NY, 10003</w:t>
              <w:br/>
              <w:t>(646) 205-5345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1,882,370.00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1,882,370.00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1,882,370.00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Joseph Edelman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1,882,370.00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1,882,370.00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1,882,370.00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Life Sciences Master Fund,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1,552,614.00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1,552,614.00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1,552,614.00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Xontogeny Venture Fund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352,804.00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352,804.00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352,804.00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LeonaBio, Inc.</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18706 North Creek Parkway, Suite 104, Bothell, WASHINGTON , 98011.</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 xml:space="preserve">Item 4 of the Schedule 13D is amended and supplemented as follows: On May 5, 2026, Fred Callori was appointed to serve on the Issuer's board of directors. Mr. Callori is a Partner and Managing Director at Perceptive Advisors. </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Item 5 of the Schedule 13D is amended and supplemented as follows: The information set forth in rows 11 and 13 of the cover pages to this Schedule 13D is incorporated by reference. The percentages set forth in row 13 are based on an aggregate of 9,393,514 shares of Common Stock outstanding, as disclosed by the Issuer in its Annual Report on Form 10-K filed with the SEC on March 31, 2026, and give effect to the exercise of warrants held by the Reporting Persons for an aggregate of 23,048 shares of Common Stock.</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The information set forth in rows 7 through 10 of the cover pages to this Schedule 13D is incorporated by reference. Mr. Edelman holds vested stock options to purchase shares of Common Stock in connection with his service as a director of the Issuer; however, such options are not included in the number of shares beneficially owned by Mr. Edelman or the other Reporting Persons because Mr. Edelman agreed on January 13, 2026 that such options cannot be exercised by Mr. Edelman without providing notice to the Issuer of at least 61 days to the extent that such exercise would result in Mr. Edelman or the other Reporting Persons beneficially owning more than 19.99% of the outstanding shares of Common Stock of the Issuer. In addition, pursuant to the terms of the warrants and pre-funded warrants held by the Master Fund and PXV II, the Reporting Persons may not exercise such warrants or pre-funded warrants to the extent that such exercise would result in beneficial ownership in excess of 19.99% of the outstanding shares of Common Stock of the Issuer. As of the date hereof, the Beneficial Ownership Limitation permits the Master Fund or PXV II to exercise warrants and pre-funded warrants for an aggregate of 23,048 shares of Common Stock.</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None of the Reporting Persons has effected any transaction in shares of Common Stock in the past sixty days.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Perceptive Xontogeny Venture Fund II,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Joseph Edelman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Joseph Edelman, Managing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1224</Words>
  <Characters>6252</Characters>
  <CharactersWithSpaces>7372</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