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97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Litton Mark James</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97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970" w:orient="portrait"/>
          <w:cols w:equalWidth="0" w:num="3">
            <w:col w:w="4277" w:space="720"/>
            <w:col w:w="3003" w:space="269"/>
            <w:col w:w="2671"/>
          </w:cols>
          <w:pgMar w:left="480" w:top="230" w:right="479" w:bottom="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50,440</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48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3"/>
                <w:szCs w:val="13"/>
                <w:color w:val="auto"/>
              </w:rPr>
            </w:pPr>
          </w:p>
        </w:tc>
        <w:tc>
          <w:tcPr>
            <w:tcW w:w="980" w:type="dxa"/>
            <w:vAlign w:val="bottom"/>
            <w:gridSpan w:val="2"/>
          </w:tcPr>
          <w:p>
            <w:pPr>
              <w:ind w:left="20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r>
              <w:rPr>
                <w:rFonts w:ascii="Times New Roman" w:cs="Times New Roman" w:eastAsia="Times New Roman" w:hAnsi="Times New Roman"/>
                <w:sz w:val="25"/>
                <w:szCs w:val="25"/>
                <w:color w:val="008000"/>
                <w:vertAlign w:val="superscript"/>
              </w:rPr>
              <w:t>(1)</w:t>
            </w:r>
          </w:p>
        </w:tc>
        <w:tc>
          <w:tcPr>
            <w:tcW w:w="122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4"/>
              </w:rPr>
              <w:t>13,126</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B-1 Preferred Stock</w:t>
            </w:r>
            <w:r>
              <w:rPr>
                <w:rFonts w:ascii="Times New Roman" w:cs="Times New Roman" w:eastAsia="Times New Roman" w:hAnsi="Times New Roman"/>
                <w:sz w:val="25"/>
                <w:szCs w:val="25"/>
                <w:color w:val="008000"/>
                <w:vertAlign w:val="superscript"/>
              </w:rPr>
              <w:t>(1)</w:t>
            </w:r>
          </w:p>
        </w:tc>
        <w:tc>
          <w:tcPr>
            <w:tcW w:w="12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vMerge w:val="restart"/>
          </w:tcPr>
          <w:p>
            <w:pPr>
              <w:jc w:val="center"/>
              <w:ind w:left="32"/>
              <w:spacing w:after="0"/>
              <w:rPr>
                <w:sz w:val="20"/>
                <w:szCs w:val="20"/>
                <w:color w:val="auto"/>
              </w:rPr>
            </w:pPr>
            <w:r>
              <w:rPr>
                <w:rFonts w:ascii="Times New Roman" w:cs="Times New Roman" w:eastAsia="Times New Roman" w:hAnsi="Times New Roman"/>
                <w:sz w:val="20"/>
                <w:szCs w:val="20"/>
                <w:color w:val="0000FF"/>
                <w:w w:val="97"/>
              </w:rPr>
              <w:t>6,563</w:t>
            </w:r>
          </w:p>
        </w:tc>
        <w:tc>
          <w:tcPr>
            <w:tcW w:w="6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Irrevocable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Trust of OSL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B-1 Preferred Stock</w:t>
            </w:r>
            <w:r>
              <w:rPr>
                <w:rFonts w:ascii="Times New Roman" w:cs="Times New Roman" w:eastAsia="Times New Roman" w:hAnsi="Times New Roman"/>
                <w:sz w:val="25"/>
                <w:szCs w:val="25"/>
                <w:color w:val="008000"/>
                <w:vertAlign w:val="superscript"/>
              </w:rPr>
              <w:t>(1)</w:t>
            </w:r>
          </w:p>
        </w:tc>
        <w:tc>
          <w:tcPr>
            <w:tcW w:w="12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vMerge w:val="restart"/>
          </w:tcPr>
          <w:p>
            <w:pPr>
              <w:jc w:val="center"/>
              <w:ind w:left="32"/>
              <w:spacing w:after="0"/>
              <w:rPr>
                <w:sz w:val="20"/>
                <w:szCs w:val="20"/>
                <w:color w:val="auto"/>
              </w:rPr>
            </w:pPr>
            <w:r>
              <w:rPr>
                <w:rFonts w:ascii="Times New Roman" w:cs="Times New Roman" w:eastAsia="Times New Roman" w:hAnsi="Times New Roman"/>
                <w:sz w:val="20"/>
                <w:szCs w:val="20"/>
                <w:color w:val="0000FF"/>
                <w:w w:val="97"/>
              </w:rPr>
              <w:t>6,563</w:t>
            </w:r>
          </w:p>
        </w:tc>
        <w:tc>
          <w:tcPr>
            <w:tcW w:w="6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Irrevocable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Trust of SWL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B-1 Preferred Stock</w:t>
            </w:r>
            <w:r>
              <w:rPr>
                <w:rFonts w:ascii="Times New Roman" w:cs="Times New Roman" w:eastAsia="Times New Roman" w:hAnsi="Times New Roman"/>
                <w:sz w:val="25"/>
                <w:szCs w:val="25"/>
                <w:color w:val="008000"/>
                <w:vertAlign w:val="superscript"/>
              </w:rPr>
              <w:t>(1)</w:t>
            </w:r>
          </w:p>
        </w:tc>
        <w:tc>
          <w:tcPr>
            <w:tcW w:w="12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vMerge w:val="restart"/>
          </w:tcPr>
          <w:p>
            <w:pPr>
              <w:jc w:val="center"/>
              <w:ind w:left="32"/>
              <w:spacing w:after="0"/>
              <w:rPr>
                <w:sz w:val="20"/>
                <w:szCs w:val="20"/>
                <w:color w:val="auto"/>
              </w:rPr>
            </w:pPr>
            <w:r>
              <w:rPr>
                <w:rFonts w:ascii="Times New Roman" w:cs="Times New Roman" w:eastAsia="Times New Roman" w:hAnsi="Times New Roman"/>
                <w:sz w:val="20"/>
                <w:szCs w:val="20"/>
                <w:color w:val="0000FF"/>
                <w:w w:val="97"/>
              </w:rPr>
              <w:t>6,563</w:t>
            </w:r>
          </w:p>
        </w:tc>
        <w:tc>
          <w:tcPr>
            <w:tcW w:w="6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Irrevocable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Trust of WGL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2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08/14/2029</w:t>
            </w:r>
          </w:p>
        </w:tc>
        <w:tc>
          <w:tcPr>
            <w:tcW w:w="1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8"/>
              </w:rPr>
              <w:t>151,320</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2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09/16/2030</w:t>
            </w:r>
          </w:p>
        </w:tc>
        <w:tc>
          <w:tcPr>
            <w:tcW w:w="1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4"/>
              </w:rPr>
              <w:t>46,657</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9"/>
              </w:rPr>
              <w:t>17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-3522345</wp:posOffset>
            </wp:positionV>
            <wp:extent cx="6946900" cy="3373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37312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 Preferred Stock will automatically convert to shares of the Issuers Common Stock upon the closing of the Issuers initial public offering on a 1-for-1 basis.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has no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B-1 Preferred Stock will automatically convert to shares of the Issuers Common Stock upon the closing of the Issuers initial public offering on a 1-for-1 basis.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vested on July 1, 2020 and one-fourth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will vest on August 26, 2021 and one-fourth of the shares subject to the option vest on each year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Glenna Mileson,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09/17/2020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 fact for Mark Litton</w:t>
            </w:r>
          </w:p>
        </w:tc>
        <w:tc>
          <w:tcPr>
            <w:tcW w:w="4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bottom w:val="single" w:sz="8" w:color="auto"/>
            </w:tcBorders>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96"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970" w:orient="portrait"/>
          <w:cols w:equalWidth="0" w:num="1">
            <w:col w:w="10940"/>
          </w:cols>
          <w:pgMar w:left="480" w:top="230" w:right="479" w:bottom="0" w:gutter="0" w:footer="0" w:header="0"/>
          <w:type w:val="continuous"/>
        </w:sectPr>
      </w:pPr>
    </w:p>
    <w:bookmarkStart w:id="1" w:name="page2"/>
    <w:bookmarkEnd w:id="1"/>
    <w:p>
      <w:pPr>
        <w:spacing w:after="0" w:line="28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8"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21,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Mark Litton</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Mark Litton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04834"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2020-09-17T19:33:58Z</dcterms:created>
  <dcterms:modified xsi:type="dcterms:W3CDTF">2020-09-17T19:33:58Z</dcterms:modified>
</cp:coreProperties>
</file>