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Worthington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2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76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01/08/2024</w:t>
            </w:r>
          </w:p>
        </w:tc>
        <w:tc>
          <w:tcPr>
            <w:tcW w:w="206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7"/>
              </w:rPr>
              <w:t>05/18/2023</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7,767</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2.41</w:t>
            </w:r>
            <w:r>
              <w:rPr>
                <w:rFonts w:ascii="Times New Roman" w:cs="Times New Roman" w:eastAsia="Times New Roman" w:hAnsi="Times New Roman"/>
                <w:sz w:val="22"/>
                <w:szCs w:val="22"/>
                <w:color w:val="008000"/>
                <w:w w:val="92"/>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26,864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7"/>
              </w:rPr>
              <w:t>01/04/2024</w:t>
            </w:r>
            <w:r>
              <w:rPr>
                <w:rFonts w:ascii="Times New Roman" w:cs="Times New Roman" w:eastAsia="Times New Roman" w:hAnsi="Times New Roman"/>
                <w:sz w:val="22"/>
                <w:szCs w:val="22"/>
                <w:color w:val="008000"/>
                <w:w w:val="97"/>
                <w:vertAlign w:val="superscript"/>
              </w:rPr>
              <w:t>(4)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10,000</w:t>
            </w:r>
            <w:r>
              <w:rPr>
                <w:rFonts w:ascii="Times New Roman" w:cs="Times New Roman" w:eastAsia="Times New Roman" w:hAnsi="Times New Roman"/>
                <w:sz w:val="22"/>
                <w:szCs w:val="22"/>
                <w:color w:val="008000"/>
                <w:w w:val="93"/>
                <w:vertAlign w:val="superscript"/>
              </w:rPr>
              <w:t>(5)</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36,864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rPr>
              <w:t>01/05/2024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(6)</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2,412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2.91</w:t>
            </w:r>
            <w:r>
              <w:rPr>
                <w:rFonts w:ascii="Times New Roman" w:cs="Times New Roman" w:eastAsia="Times New Roman" w:hAnsi="Times New Roman"/>
                <w:sz w:val="22"/>
                <w:szCs w:val="22"/>
                <w:color w:val="008000"/>
                <w:w w:val="92"/>
                <w:vertAlign w:val="superscript"/>
              </w:rPr>
              <w:t>(7)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34,452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18, 2022 through May 18, 2023.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18, 2023 and is the Purchase Period comprising the Offering Period (as defined in the ESPP) that began November 18,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18, 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2024, the Committee determined that enrollment of the Company's LIFT-AD Phase 2/3 clinical trial had been completed and 10,000 RSUs vested and settled on such date. The original Form 4 incorrectly reported the determination date as January 4, 2023.</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$2.84 to $3.01,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Worthington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02/16/2024</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146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2024-02-16T15:47:32Z</dcterms:created>
  <dcterms:modified xsi:type="dcterms:W3CDTF">2024-02-16T15:47:32Z</dcterms:modified>
</cp:coreProperties>
</file>