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62024_080456.xml.htm"/>
      <w:bookmarkStart w:id="1" w:name="ksform404162024_0804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San Martin Javier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ATHIRA PHARMA,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18706 NORTH CREEK PARKWAY, SUITE 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BOTHELL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Athira 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ATHA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Twenty-five percent (25%) of the shares subject to the option will vest on the one (1) year anniversary of the date of grant, and one forty-eighth (1/48th) of the shares subject to the option will vest each month thereafter, subject to the optionee continuing to be a Service Provider (as defined in the Issuer's 2024 Inducement Equity Incentive Plan) through the applicable vesting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Worthington, Attorney-in-Fact for Javier San Martin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4629" TargetMode="External"/><Relationship Id="rId4" Type="http://schemas.openxmlformats.org/officeDocument/2006/relationships/hyperlink" Target="http://www.sec.gov/cgi-bin/browse-edgar?action=getcompany&amp;CIK=000162046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3462</Characters>
  <CharactersWithSpaces>4037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