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FLUKE JOHN M JR</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5"/>
          </w:tcPr>
          <w:p>
            <w:pPr>
              <w:ind w:left="8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u w:val="single" w:color="auto"/>
                  <w:color w:val="0000EE"/>
                </w:rPr>
                <w:t>Athira Pharma, Inc.</w:t>
              </w:r>
              <w:r>
                <w:rPr>
                  <w:rFonts w:ascii="Times New Roman" w:cs="Times New Roman" w:eastAsia="Times New Roman" w:hAnsi="Times New Roman"/>
                  <w:sz w:val="11"/>
                  <w:szCs w:val="11"/>
                  <w:color w:val="0000EE"/>
                </w:rPr>
                <w:t xml:space="preserve">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ATHA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8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5"/>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680" w:type="dxa"/>
            <w:vAlign w:val="bottom"/>
            <w:gridSpan w:val="2"/>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60" w:type="dxa"/>
            <w:vAlign w:val="bottom"/>
          </w:tcPr>
          <w:p>
            <w:pPr>
              <w:spacing w:after="0"/>
              <w:rPr>
                <w:sz w:val="7"/>
                <w:szCs w:val="7"/>
                <w:color w:val="auto"/>
              </w:rPr>
            </w:pPr>
          </w:p>
        </w:tc>
        <w:tc>
          <w:tcPr>
            <w:tcW w:w="1260" w:type="dxa"/>
            <w:vAlign w:val="bottom"/>
            <w:gridSpan w:val="5"/>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5"/>
            <w:vMerge w:val="continue"/>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ind w:left="280"/>
              <w:spacing w:after="0"/>
              <w:rPr>
                <w:sz w:val="20"/>
                <w:szCs w:val="20"/>
                <w:color w:val="auto"/>
              </w:rPr>
            </w:pPr>
            <w:r>
              <w:rPr>
                <w:rFonts w:ascii="Arial" w:cs="Arial" w:eastAsia="Arial" w:hAnsi="Arial"/>
                <w:sz w:val="13"/>
                <w:szCs w:val="13"/>
                <w:color w:val="auto"/>
              </w:rPr>
              <w:t>below)</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100" w:type="dxa"/>
            <w:vAlign w:val="bottom"/>
          </w:tcPr>
          <w:p>
            <w:pPr>
              <w:spacing w:after="0"/>
              <w:rPr>
                <w:sz w:val="18"/>
                <w:szCs w:val="18"/>
                <w:color w:val="auto"/>
              </w:rPr>
            </w:pPr>
          </w:p>
        </w:tc>
        <w:tc>
          <w:tcPr>
            <w:tcW w:w="154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02/03/2021</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gridSpan w:val="5"/>
          </w:tcPr>
          <w:p>
            <w:pPr>
              <w:ind w:left="2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98011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00" w:type="dxa"/>
            <w:vAlign w:val="bottom"/>
            <w:gridSpan w:val="8"/>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8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40" w:type="dxa"/>
            <w:vAlign w:val="bottom"/>
            <w:tcBorders>
              <w:bottom w:val="single" w:sz="8" w:color="2C2C2C"/>
            </w:tcBorders>
            <w:gridSpan w:val="8"/>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4"/>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10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6. Ownership</w:t>
            </w:r>
          </w:p>
        </w:tc>
        <w:tc>
          <w:tcPr>
            <w:tcW w:w="1260" w:type="dxa"/>
            <w:vAlign w:val="bottom"/>
            <w:gridSpan w:val="5"/>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54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80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Securities</w:t>
            </w:r>
          </w:p>
        </w:tc>
        <w:tc>
          <w:tcPr>
            <w:tcW w:w="1100" w:type="dxa"/>
            <w:vAlign w:val="bottom"/>
            <w:gridSpan w:val="2"/>
          </w:tcPr>
          <w:p>
            <w:pPr>
              <w:ind w:left="340"/>
              <w:spacing w:after="0" w:line="124" w:lineRule="exact"/>
              <w:rPr>
                <w:sz w:val="20"/>
                <w:szCs w:val="20"/>
                <w:color w:val="auto"/>
              </w:rPr>
            </w:pPr>
            <w:r>
              <w:rPr>
                <w:rFonts w:ascii="Arial" w:cs="Arial" w:eastAsia="Arial" w:hAnsi="Arial"/>
                <w:sz w:val="12"/>
                <w:szCs w:val="12"/>
                <w:b w:val="1"/>
                <w:bCs w:val="1"/>
                <w:color w:val="auto"/>
              </w:rPr>
              <w:t>Form: Direct</w:t>
            </w:r>
          </w:p>
        </w:tc>
        <w:tc>
          <w:tcPr>
            <w:tcW w:w="580" w:type="dxa"/>
            <w:vAlign w:val="bottom"/>
          </w:tcPr>
          <w:p>
            <w:pPr>
              <w:ind w:left="160"/>
              <w:spacing w:after="0" w:line="124" w:lineRule="exact"/>
              <w:rPr>
                <w:sz w:val="20"/>
                <w:szCs w:val="20"/>
                <w:color w:val="auto"/>
              </w:rPr>
            </w:pPr>
            <w:r>
              <w:rPr>
                <w:rFonts w:ascii="Arial" w:cs="Arial" w:eastAsia="Arial" w:hAnsi="Arial"/>
                <w:sz w:val="12"/>
                <w:szCs w:val="12"/>
                <w:b w:val="1"/>
                <w:bCs w:val="1"/>
                <w:color w:val="auto"/>
                <w:w w:val="92"/>
              </w:rPr>
              <w:t>Indirect</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4"/>
          </w:tcPr>
          <w:p>
            <w:pPr>
              <w:ind w:left="5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1100" w:type="dxa"/>
            <w:vAlign w:val="bottom"/>
            <w:gridSpan w:val="2"/>
          </w:tcPr>
          <w:p>
            <w:pPr>
              <w:jc w:val="center"/>
              <w:ind w:left="277"/>
              <w:spacing w:after="0" w:line="129" w:lineRule="exact"/>
              <w:rPr>
                <w:sz w:val="20"/>
                <w:szCs w:val="20"/>
                <w:color w:val="auto"/>
              </w:rPr>
            </w:pPr>
            <w:r>
              <w:rPr>
                <w:rFonts w:ascii="Arial" w:cs="Arial" w:eastAsia="Arial" w:hAnsi="Arial"/>
                <w:sz w:val="12"/>
                <w:szCs w:val="12"/>
                <w:b w:val="1"/>
                <w:bCs w:val="1"/>
                <w:color w:val="auto"/>
                <w:w w:val="96"/>
              </w:rPr>
              <w:t>(D) or Indirect</w:t>
            </w:r>
          </w:p>
        </w:tc>
        <w:tc>
          <w:tcPr>
            <w:tcW w:w="1260" w:type="dxa"/>
            <w:vAlign w:val="bottom"/>
            <w:gridSpan w:val="5"/>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60" w:type="dxa"/>
            <w:vAlign w:val="bottom"/>
          </w:tcPr>
          <w:p>
            <w:pPr>
              <w:spacing w:after="0"/>
              <w:rPr>
                <w:sz w:val="11"/>
                <w:szCs w:val="11"/>
                <w:color w:val="auto"/>
              </w:rPr>
            </w:pPr>
          </w:p>
        </w:tc>
        <w:tc>
          <w:tcPr>
            <w:tcW w:w="1260" w:type="dxa"/>
            <w:vAlign w:val="bottom"/>
            <w:gridSpan w:val="5"/>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gridSpan w:val="5"/>
            <w:vMerge w:val="restart"/>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6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4"/>
            <w:vMerge w:val="continue"/>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5"/>
              </w:rPr>
              <w:t>(Instr. 3 and 4)</w:t>
            </w: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02/03/2021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25,220</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w:t>
            </w: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53"/>
              <w:spacing w:after="0"/>
              <w:rPr>
                <w:sz w:val="20"/>
                <w:szCs w:val="20"/>
                <w:color w:val="auto"/>
              </w:rPr>
            </w:pPr>
            <w:r>
              <w:rPr>
                <w:rFonts w:ascii="Times New Roman" w:cs="Times New Roman" w:eastAsia="Times New Roman" w:hAnsi="Times New Roman"/>
                <w:sz w:val="17"/>
                <w:szCs w:val="17"/>
                <w:color w:val="0000FF"/>
                <w:w w:val="97"/>
              </w:rPr>
              <w:t>140,101</w:t>
            </w:r>
          </w:p>
        </w:tc>
        <w:tc>
          <w:tcPr>
            <w:tcW w:w="940" w:type="dxa"/>
            <w:vAlign w:val="bottom"/>
            <w:tcBorders>
              <w:bottom w:val="single" w:sz="8" w:color="2C2C2C"/>
            </w:tcBorders>
          </w:tcPr>
          <w:p>
            <w:pPr>
              <w:jc w:val="center"/>
              <w:ind w:left="437"/>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02/03/2021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3,783</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53"/>
              <w:spacing w:after="0"/>
              <w:rPr>
                <w:sz w:val="20"/>
                <w:szCs w:val="20"/>
                <w:color w:val="auto"/>
              </w:rPr>
            </w:pPr>
            <w:r>
              <w:rPr>
                <w:rFonts w:ascii="Times New Roman" w:cs="Times New Roman" w:eastAsia="Times New Roman" w:hAnsi="Times New Roman"/>
                <w:sz w:val="17"/>
                <w:szCs w:val="17"/>
                <w:color w:val="0000FF"/>
                <w:w w:val="97"/>
              </w:rPr>
              <w:t>143,884</w:t>
            </w:r>
          </w:p>
        </w:tc>
        <w:tc>
          <w:tcPr>
            <w:tcW w:w="940" w:type="dxa"/>
            <w:vAlign w:val="bottom"/>
            <w:tcBorders>
              <w:bottom w:val="single" w:sz="8" w:color="2C2C2C"/>
            </w:tcBorders>
          </w:tcPr>
          <w:p>
            <w:pPr>
              <w:jc w:val="center"/>
              <w:ind w:left="437"/>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By Fluke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vMerge w:val="restart"/>
          </w:tcPr>
          <w:p>
            <w:pPr>
              <w:jc w:val="center"/>
              <w:ind w:left="153"/>
              <w:spacing w:after="0"/>
              <w:rPr>
                <w:sz w:val="20"/>
                <w:szCs w:val="20"/>
                <w:color w:val="auto"/>
              </w:rPr>
            </w:pPr>
            <w:r>
              <w:rPr>
                <w:rFonts w:ascii="Times New Roman" w:cs="Times New Roman" w:eastAsia="Times New Roman" w:hAnsi="Times New Roman"/>
                <w:sz w:val="17"/>
                <w:szCs w:val="17"/>
                <w:color w:val="0000FF"/>
                <w:w w:val="99"/>
              </w:rPr>
              <w:t>6,731</w:t>
            </w:r>
          </w:p>
        </w:tc>
        <w:tc>
          <w:tcPr>
            <w:tcW w:w="940" w:type="dxa"/>
            <w:vAlign w:val="bottom"/>
            <w:vMerge w:val="restart"/>
          </w:tcPr>
          <w:p>
            <w:pPr>
              <w:jc w:val="center"/>
              <w:ind w:left="457"/>
              <w:spacing w:after="0"/>
              <w:rPr>
                <w:sz w:val="20"/>
                <w:szCs w:val="20"/>
                <w:color w:val="auto"/>
              </w:rPr>
            </w:pPr>
            <w:r>
              <w:rPr>
                <w:rFonts w:ascii="Times New Roman" w:cs="Times New Roman" w:eastAsia="Times New Roman" w:hAnsi="Times New Roman"/>
                <w:sz w:val="17"/>
                <w:szCs w:val="17"/>
                <w:color w:val="0000FF"/>
              </w:rPr>
              <w:t>I</w:t>
            </w:r>
          </w:p>
        </w:tc>
        <w:tc>
          <w:tcPr>
            <w:tcW w:w="160" w:type="dxa"/>
            <w:vAlign w:val="bottom"/>
          </w:tcPr>
          <w:p>
            <w:pPr>
              <w:spacing w:after="0"/>
              <w:rPr>
                <w:sz w:val="17"/>
                <w:szCs w:val="17"/>
                <w:color w:val="auto"/>
              </w:rPr>
            </w:pPr>
          </w:p>
        </w:tc>
        <w:tc>
          <w:tcPr>
            <w:tcW w:w="12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L.P.</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380" w:type="dxa"/>
            <w:vAlign w:val="bottom"/>
            <w:tcBorders>
              <w:bottom w:val="single" w:sz="8" w:color="2C2C2C"/>
            </w:tcBorders>
            <w:gridSpan w:val="13"/>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6"/>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5"/>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20"/>
                <w:szCs w:val="20"/>
                <w:color w:val="auto"/>
              </w:rPr>
            </w:pPr>
            <w:r>
              <w:rPr>
                <w:rFonts w:ascii="Arial" w:cs="Arial" w:eastAsia="Arial" w:hAnsi="Arial"/>
                <w:sz w:val="12"/>
                <w:szCs w:val="12"/>
                <w:b w:val="1"/>
                <w:bCs w:val="1"/>
                <w:color w:val="auto"/>
                <w:w w:val="83"/>
              </w:rPr>
              <w:t>10.</w:t>
            </w:r>
          </w:p>
        </w:tc>
        <w:tc>
          <w:tcPr>
            <w:tcW w:w="58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6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w:t>
            </w:r>
          </w:p>
        </w:tc>
        <w:tc>
          <w:tcPr>
            <w:tcW w:w="6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Direct (D)</w:t>
            </w:r>
          </w:p>
        </w:tc>
        <w:tc>
          <w:tcPr>
            <w:tcW w:w="6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 Indirect</w:t>
            </w:r>
          </w:p>
        </w:tc>
        <w:tc>
          <w:tcPr>
            <w:tcW w:w="6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1"/>
                <w:szCs w:val="11"/>
                <w:color w:val="auto"/>
              </w:rPr>
            </w:pPr>
          </w:p>
        </w:tc>
        <w:tc>
          <w:tcPr>
            <w:tcW w:w="5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1.19</w:t>
            </w:r>
          </w:p>
        </w:tc>
        <w:tc>
          <w:tcPr>
            <w:tcW w:w="140" w:type="dxa"/>
            <w:vAlign w:val="bottom"/>
          </w:tcPr>
          <w:p>
            <w:pPr>
              <w:spacing w:after="0"/>
              <w:rPr>
                <w:sz w:val="16"/>
                <w:szCs w:val="16"/>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0000FF"/>
              </w:rPr>
              <w:t>02/03/2021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25,220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12/12/2027</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7"/>
                <w:szCs w:val="17"/>
                <w:color w:val="0000FF"/>
              </w:rPr>
              <w:t>25,220</w:t>
            </w:r>
          </w:p>
        </w:tc>
        <w:tc>
          <w:tcPr>
            <w:tcW w:w="8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1.35</w:t>
            </w:r>
          </w:p>
        </w:tc>
        <w:tc>
          <w:tcPr>
            <w:tcW w:w="140" w:type="dxa"/>
            <w:vAlign w:val="bottom"/>
          </w:tcPr>
          <w:p>
            <w:pPr>
              <w:spacing w:after="0"/>
              <w:rPr>
                <w:sz w:val="12"/>
                <w:szCs w:val="12"/>
                <w:color w:val="auto"/>
              </w:rPr>
            </w:pPr>
          </w:p>
        </w:tc>
        <w:tc>
          <w:tcPr>
            <w:tcW w:w="108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color w:val="0000FF"/>
              </w:rPr>
              <w:t>02/03/2021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3,783</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01/28/2030</w:t>
            </w:r>
          </w:p>
        </w:tc>
        <w:tc>
          <w:tcPr>
            <w:tcW w:w="5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3,783</w:t>
            </w:r>
          </w:p>
        </w:tc>
        <w:tc>
          <w:tcPr>
            <w:tcW w:w="80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16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-4307205</wp:posOffset>
            </wp:positionV>
            <wp:extent cx="7033895" cy="4446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444627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filing relates to the exercise of stock options. No shares of Common Stock were sold by Mr. Fluke, and the shares of Common Stock received upon exercise of the stock options are subject to lock-up agreements with Goldman Sachs &amp; Co. LLC and Jefferies LLC.</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fully vested on December 13, 2020.</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fully vested on December 13, 2019.</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Glenna Mileson,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38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fact on behalf of John M.</w:t>
      </w:r>
      <w:r>
        <w:rPr>
          <w:sz w:val="20"/>
          <w:szCs w:val="20"/>
          <w:color w:val="auto"/>
        </w:rPr>
        <w:tab/>
      </w:r>
      <w:r>
        <w:rPr>
          <w:rFonts w:ascii="Times New Roman" w:cs="Times New Roman" w:eastAsia="Times New Roman" w:hAnsi="Times New Roman"/>
          <w:sz w:val="16"/>
          <w:szCs w:val="16"/>
          <w:color w:val="0000FF"/>
        </w:rPr>
        <w:t>02/04/2021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Fluke,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1906"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2021-02-04T19:20:37Z</dcterms:created>
  <dcterms:modified xsi:type="dcterms:W3CDTF">2021-02-04T19:20:37Z</dcterms:modified>
</cp:coreProperties>
</file>