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12" w:lineRule="exact"/>
        <w:rPr>
          <w:sz w:val="24"/>
          <w:szCs w:val="24"/>
          <w:color w:val="auto"/>
        </w:rPr>
      </w:pPr>
    </w:p>
    <w:p>
      <w:pPr>
        <w:jc w:val="both"/>
        <w:ind w:left="320" w:right="340" w:hanging="246"/>
        <w:spacing w:after="0" w:line="183" w:lineRule="auto"/>
        <w:tabs>
          <w:tab w:leader="none" w:pos="320" w:val="left"/>
        </w:tabs>
        <w:numPr>
          <w:ilvl w:val="0"/>
          <w:numId w:val="1"/>
        </w:numPr>
        <w:rPr>
          <w:rFonts w:ascii="Times New Roman" w:cs="Times New Roman" w:eastAsia="Times New Roman" w:hAnsi="Times New Roman"/>
          <w:sz w:val="24"/>
          <w:szCs w:val="24"/>
          <w:color w:val="0000FF"/>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-243205</wp:posOffset>
            </wp:positionV>
            <wp:extent cx="110490" cy="158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490" cy="1581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20" w:type="dxa"/>
            <w:vAlign w:val="bottom"/>
          </w:tcPr>
          <w:p>
            <w:pPr>
              <w:jc w:val="center"/>
              <w:ind w:right="29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9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2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5256530</wp:posOffset>
            </wp:positionH>
            <wp:positionV relativeFrom="paragraph">
              <wp:posOffset>-584200</wp:posOffset>
            </wp:positionV>
            <wp:extent cx="7620" cy="584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83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-592455</wp:posOffset>
            </wp:positionV>
            <wp:extent cx="762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-568325</wp:posOffset>
            </wp:positionV>
            <wp:extent cx="1272540" cy="54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2540" cy="5454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38735</wp:posOffset>
            </wp:positionV>
            <wp:extent cx="6972935" cy="1557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557655"/>
                    </a:xfrm>
                    <a:prstGeom prst="rect">
                      <a:avLst/>
                    </a:prstGeom>
                    <a:noFill/>
                  </pic:spPr>
                </pic:pic>
              </a:graphicData>
            </a:graphic>
          </wp:anchor>
        </w:drawing>
      </w:r>
    </w:p>
    <w:p>
      <w:pPr>
        <w:spacing w:after="0" w:line="114" w:lineRule="exact"/>
        <w:rPr>
          <w:sz w:val="24"/>
          <w:szCs w:val="24"/>
          <w:color w:val="auto"/>
        </w:rPr>
      </w:pPr>
    </w:p>
    <w:p>
      <w:pPr>
        <w:sectPr>
          <w:pgSz w:w="11900" w:h="16876" w:orient="portrait"/>
          <w:cols w:equalWidth="0" w:num="2">
            <w:col w:w="2160" w:space="480"/>
            <w:col w:w="844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RTW INVESTMENTS, LP</w:t>
        </w:r>
      </w:hyperlink>
    </w:p>
    <w:p>
      <w:pPr>
        <w:spacing w:after="0" w:line="27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40 10TH AVENUE, FLOOR 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Athira Pharma,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ATHA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09/18/2020</w:t>
      </w:r>
    </w:p>
    <w:p>
      <w:pPr>
        <w:spacing w:after="0" w:line="20" w:lineRule="exact"/>
        <w:rPr>
          <w:sz w:val="24"/>
          <w:szCs w:val="24"/>
          <w:color w:val="auto"/>
        </w:rPr>
      </w:pPr>
      <w:r>
        <w:rPr>
          <w:sz w:val="24"/>
          <w:szCs w:val="24"/>
          <w:color w:val="auto"/>
        </w:rPr>
        <w:br w:type="column"/>
      </w:r>
    </w:p>
    <w:p>
      <w:pPr>
        <w:ind w:left="-3" w:right="720" w:firstLine="3"/>
        <w:spacing w:after="0" w:line="273"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p>
      <w:pPr>
        <w:ind w:left="517"/>
        <w:spacing w:after="0"/>
        <w:tabs>
          <w:tab w:leader="none" w:pos="1756" w:val="left"/>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10% Owner</w:t>
      </w:r>
    </w:p>
    <w:p>
      <w:pPr>
        <w:spacing w:after="0" w:line="61"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5"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0" w:lineRule="exact"/>
        <w:rPr>
          <w:sz w:val="24"/>
          <w:szCs w:val="24"/>
          <w:color w:val="auto"/>
        </w:rPr>
      </w:pPr>
    </w:p>
    <w:p>
      <w:pPr>
        <w:sectPr>
          <w:pgSz w:w="11900" w:h="16876" w:orient="portrait"/>
          <w:cols w:equalWidth="0" w:num="3">
            <w:col w:w="3180" w:space="720"/>
            <w:col w:w="3123" w:space="720"/>
            <w:col w:w="3337"/>
          </w:cols>
          <w:pgMar w:left="460" w:top="214" w:right="359" w:bottom="0" w:gutter="0" w:footer="0" w:header="0"/>
          <w:type w:val="continuous"/>
        </w:sectPr>
      </w:pPr>
    </w:p>
    <w:p>
      <w:pPr>
        <w:spacing w:after="0" w:line="12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10014</w:t>
            </w: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2"/>
                <w:szCs w:val="12"/>
                <w:color w:val="auto"/>
              </w:rPr>
              <w:t>(City)</w:t>
            </w:r>
          </w:p>
        </w:tc>
        <w:tc>
          <w:tcPr>
            <w:tcW w:w="980" w:type="dxa"/>
            <w:vAlign w:val="bottom"/>
          </w:tcPr>
          <w:p>
            <w:pPr>
              <w:ind w:left="18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2"/>
          <w:szCs w:val="12"/>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5" w:lineRule="exact"/>
        <w:rPr>
          <w:sz w:val="24"/>
          <w:szCs w:val="24"/>
          <w:color w:val="auto"/>
        </w:rPr>
      </w:pPr>
    </w:p>
    <w:p>
      <w:pPr>
        <w:ind w:left="3840"/>
        <w:spacing w:after="0"/>
        <w:rPr>
          <w:sz w:val="20"/>
          <w:szCs w:val="20"/>
          <w:color w:val="auto"/>
        </w:rPr>
      </w:pPr>
      <w:r>
        <w:rPr>
          <w:rFonts w:ascii="Arial" w:cs="Arial" w:eastAsia="Arial" w:hAnsi="Arial"/>
          <w:sz w:val="12"/>
          <w:szCs w:val="12"/>
          <w:color w:val="auto"/>
        </w:rPr>
        <w:t>Line)</w:t>
      </w:r>
    </w:p>
    <w:p>
      <w:pPr>
        <w:spacing w:after="0" w:line="20" w:lineRule="exact"/>
        <w:rPr>
          <w:sz w:val="24"/>
          <w:szCs w:val="24"/>
          <w:color w:val="auto"/>
        </w:rPr>
      </w:pPr>
    </w:p>
    <w:p>
      <w:pPr>
        <w:ind w:left="4380"/>
        <w:spacing w:after="0"/>
        <w:rPr>
          <w:sz w:val="20"/>
          <w:szCs w:val="20"/>
          <w:color w:val="auto"/>
        </w:rPr>
      </w:pPr>
      <w:r>
        <w:rPr>
          <w:rFonts w:ascii="Arial" w:cs="Arial" w:eastAsia="Arial" w:hAnsi="Arial"/>
          <w:sz w:val="12"/>
          <w:szCs w:val="12"/>
          <w:color w:val="auto"/>
        </w:rPr>
        <w:t>Form filed by One Reporting Person</w:t>
      </w:r>
    </w:p>
    <w:p>
      <w:pPr>
        <w:spacing w:after="0" w:line="37" w:lineRule="exact"/>
        <w:rPr>
          <w:sz w:val="24"/>
          <w:szCs w:val="24"/>
          <w:color w:val="auto"/>
        </w:rPr>
      </w:pPr>
    </w:p>
    <w:p>
      <w:pPr>
        <w:jc w:val="both"/>
        <w:ind w:left="4040"/>
        <w:spacing w:after="0"/>
        <w:tabs>
          <w:tab w:leader="none" w:pos="436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248920</wp:posOffset>
            </wp:positionV>
            <wp:extent cx="6972935" cy="151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935" cy="1510030"/>
                    </a:xfrm>
                    <a:prstGeom prst="rect">
                      <a:avLst/>
                    </a:prstGeom>
                    <a:noFill/>
                  </pic:spPr>
                </pic:pic>
              </a:graphicData>
            </a:graphic>
          </wp:anchor>
        </w:drawing>
      </w:r>
    </w:p>
    <w:p>
      <w:pPr>
        <w:spacing w:after="0" w:line="447" w:lineRule="exact"/>
        <w:rPr>
          <w:sz w:val="24"/>
          <w:szCs w:val="24"/>
          <w:color w:val="auto"/>
        </w:rPr>
      </w:pPr>
    </w:p>
    <w:p>
      <w:pPr>
        <w:sectPr>
          <w:pgSz w:w="11900" w:h="16876" w:orient="portrait"/>
          <w:cols w:equalWidth="0" w:num="2">
            <w:col w:w="3760" w:space="140"/>
            <w:col w:w="718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5"/>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line="120"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6"/>
              </w:rPr>
              <w:t>Transaction</w:t>
            </w:r>
          </w:p>
        </w:tc>
        <w:tc>
          <w:tcPr>
            <w:tcW w:w="2040" w:type="dxa"/>
            <w:vAlign w:val="bottom"/>
            <w:gridSpan w:val="5"/>
          </w:tcPr>
          <w:p>
            <w:pPr>
              <w:ind w:left="14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5"/>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vMerge w:val="restart"/>
          </w:tcPr>
          <w:p>
            <w:pPr>
              <w:ind w:left="40"/>
              <w:spacing w:after="0"/>
              <w:rPr>
                <w:sz w:val="20"/>
                <w:szCs w:val="20"/>
                <w:color w:val="auto"/>
              </w:rPr>
            </w:pPr>
            <w:r>
              <w:rPr>
                <w:rFonts w:ascii="Arial" w:cs="Arial" w:eastAsia="Arial" w:hAnsi="Arial"/>
                <w:sz w:val="11"/>
                <w:szCs w:val="11"/>
                <w:b w:val="1"/>
                <w:bCs w:val="1"/>
                <w:color w:val="auto"/>
                <w:w w:val="88"/>
              </w:rPr>
              <w:t>(A) or</w:t>
            </w: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0"/>
                <w:szCs w:val="20"/>
                <w:color w:val="auto"/>
              </w:rPr>
            </w:pPr>
          </w:p>
        </w:tc>
        <w:tc>
          <w:tcPr>
            <w:tcW w:w="1760" w:type="dxa"/>
            <w:vAlign w:val="bottom"/>
            <w:gridSpan w:val="3"/>
            <w:vMerge w:val="restart"/>
          </w:tcPr>
          <w:p>
            <w:pPr>
              <w:ind w:left="940"/>
              <w:spacing w:after="0"/>
              <w:rPr>
                <w:sz w:val="20"/>
                <w:szCs w:val="20"/>
                <w:color w:val="auto"/>
              </w:rPr>
            </w:pPr>
            <w:r>
              <w:rPr>
                <w:rFonts w:ascii="Times New Roman" w:cs="Times New Roman" w:eastAsia="Times New Roman" w:hAnsi="Times New Roman"/>
                <w:sz w:val="16"/>
                <w:szCs w:val="16"/>
                <w:color w:val="0000FF"/>
              </w:rPr>
              <w:t>09/18/2020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gridSpan w:val="2"/>
            <w:vMerge w:val="restart"/>
          </w:tcPr>
          <w:p>
            <w:pPr>
              <w:jc w:val="right"/>
              <w:ind w:right="85"/>
              <w:spacing w:after="0"/>
              <w:rPr>
                <w:sz w:val="20"/>
                <w:szCs w:val="20"/>
                <w:color w:val="auto"/>
              </w:rPr>
            </w:pPr>
            <w:r>
              <w:rPr>
                <w:rFonts w:ascii="Times New Roman" w:cs="Times New Roman" w:eastAsia="Times New Roman" w:hAnsi="Times New Roman"/>
                <w:sz w:val="16"/>
                <w:szCs w:val="16"/>
                <w:color w:val="0000FF"/>
              </w:rPr>
              <w:t>1,535,131</w:t>
            </w:r>
          </w:p>
        </w:tc>
        <w:tc>
          <w:tcPr>
            <w:tcW w:w="3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right"/>
              <w:ind w:right="137"/>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0"/>
                <w:szCs w:val="20"/>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1,918,913</w:t>
            </w:r>
          </w:p>
        </w:tc>
        <w:tc>
          <w:tcPr>
            <w:tcW w:w="320" w:type="dxa"/>
            <w:vAlign w:val="bottom"/>
          </w:tcPr>
          <w:p>
            <w:pPr>
              <w:spacing w:after="0"/>
              <w:rPr>
                <w:sz w:val="20"/>
                <w:szCs w:val="20"/>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RTW</w:t>
            </w:r>
            <w:r>
              <w:rPr>
                <w:rFonts w:ascii="Times New Roman" w:cs="Times New Roman" w:eastAsia="Times New Roman" w:hAnsi="Times New Roman"/>
                <w:sz w:val="20"/>
                <w:szCs w:val="20"/>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0"/>
                <w:szCs w:val="20"/>
                <w:color w:val="auto"/>
              </w:rPr>
            </w:pPr>
          </w:p>
        </w:tc>
        <w:tc>
          <w:tcPr>
            <w:tcW w:w="1760" w:type="dxa"/>
            <w:vAlign w:val="bottom"/>
            <w:gridSpan w:val="3"/>
            <w:vMerge w:val="restart"/>
          </w:tcPr>
          <w:p>
            <w:pPr>
              <w:ind w:left="940"/>
              <w:spacing w:after="0"/>
              <w:rPr>
                <w:sz w:val="20"/>
                <w:szCs w:val="20"/>
                <w:color w:val="auto"/>
              </w:rPr>
            </w:pPr>
            <w:r>
              <w:rPr>
                <w:rFonts w:ascii="Times New Roman" w:cs="Times New Roman" w:eastAsia="Times New Roman" w:hAnsi="Times New Roman"/>
                <w:sz w:val="16"/>
                <w:szCs w:val="16"/>
                <w:color w:val="0000FF"/>
              </w:rPr>
              <w:t>09/18/2020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960" w:type="dxa"/>
            <w:vAlign w:val="bottom"/>
            <w:gridSpan w:val="2"/>
            <w:vMerge w:val="restart"/>
          </w:tcPr>
          <w:p>
            <w:pPr>
              <w:jc w:val="right"/>
              <w:ind w:right="145"/>
              <w:spacing w:after="0"/>
              <w:rPr>
                <w:sz w:val="20"/>
                <w:szCs w:val="20"/>
                <w:color w:val="auto"/>
              </w:rPr>
            </w:pPr>
            <w:r>
              <w:rPr>
                <w:rFonts w:ascii="Times New Roman" w:cs="Times New Roman" w:eastAsia="Times New Roman" w:hAnsi="Times New Roman"/>
                <w:sz w:val="16"/>
                <w:szCs w:val="16"/>
                <w:color w:val="0000FF"/>
              </w:rPr>
              <w:t>750,000</w:t>
            </w:r>
          </w:p>
        </w:tc>
        <w:tc>
          <w:tcPr>
            <w:tcW w:w="3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right="5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w:t>
            </w:r>
          </w:p>
        </w:tc>
        <w:tc>
          <w:tcPr>
            <w:tcW w:w="40" w:type="dxa"/>
            <w:vAlign w:val="bottom"/>
          </w:tcPr>
          <w:p>
            <w:pPr>
              <w:spacing w:after="0"/>
              <w:rPr>
                <w:sz w:val="20"/>
                <w:szCs w:val="20"/>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2,668,913</w:t>
            </w:r>
          </w:p>
        </w:tc>
        <w:tc>
          <w:tcPr>
            <w:tcW w:w="320" w:type="dxa"/>
            <w:vAlign w:val="bottom"/>
          </w:tcPr>
          <w:p>
            <w:pPr>
              <w:spacing w:after="0"/>
              <w:rPr>
                <w:sz w:val="20"/>
                <w:szCs w:val="20"/>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RTW</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9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32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09/18/2020</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0000FF"/>
              </w:rPr>
              <w:t>C</w:t>
            </w:r>
          </w:p>
        </w:tc>
        <w:tc>
          <w:tcPr>
            <w:tcW w:w="94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1,535,131</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tcPr>
          <w:p>
            <w:pPr>
              <w:ind w:left="22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1,535,131</w:t>
            </w:r>
          </w:p>
        </w:tc>
        <w:tc>
          <w:tcPr>
            <w:tcW w:w="40" w:type="dxa"/>
            <w:vAlign w:val="bottom"/>
          </w:tcPr>
          <w:p>
            <w:pPr>
              <w:spacing w:after="0"/>
              <w:rPr>
                <w:sz w:val="17"/>
                <w:szCs w:val="17"/>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320" w:type="dxa"/>
            <w:vAlign w:val="bottom"/>
          </w:tcPr>
          <w:p>
            <w:pPr>
              <w:spacing w:after="0"/>
              <w:rPr>
                <w:sz w:val="17"/>
                <w:szCs w:val="17"/>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gridSpan w:val="4"/>
          </w:tcPr>
          <w:p>
            <w:pPr>
              <w:ind w:left="160"/>
              <w:spacing w:after="0" w:line="200" w:lineRule="exact"/>
              <w:rPr>
                <w:sz w:val="20"/>
                <w:szCs w:val="20"/>
                <w:color w:val="auto"/>
              </w:rPr>
            </w:pPr>
            <w:r>
              <w:rPr>
                <w:rFonts w:ascii="Times New Roman" w:cs="Times New Roman" w:eastAsia="Times New Roman" w:hAnsi="Times New Roman"/>
                <w:sz w:val="12"/>
                <w:szCs w:val="12"/>
                <w:color w:val="0000FF"/>
              </w:rPr>
              <w:t>By RTW</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Preferred</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gridSpan w:val="2"/>
          </w:tcPr>
          <w:p>
            <w:pPr>
              <w:ind w:left="160"/>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4"/>
          </w:tcPr>
          <w:p>
            <w:pPr>
              <w:ind w:left="60"/>
              <w:spacing w:after="0" w:line="221"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RTW INVESTMENTS, LP</w:t>
              </w:r>
            </w:hyperlink>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gridSpan w:val="2"/>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2"/>
                <w:szCs w:val="12"/>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2"/>
                <w:szCs w:val="12"/>
                <w:color w:val="auto"/>
              </w:rPr>
              <w:t>(Middle)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40 10TH AVENUE, FLOOR 7</w:t>
            </w: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0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10014</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2"/>
                <w:szCs w:val="12"/>
                <w:color w:val="auto"/>
              </w:rPr>
              <w:t>(Zip)</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gridSpan w:val="3"/>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WONG RODERICK</w:t>
              </w:r>
            </w:hyperlink>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gridSpan w:val="2"/>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2"/>
                <w:szCs w:val="12"/>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2"/>
                <w:szCs w:val="12"/>
                <w:color w:val="auto"/>
              </w:rPr>
              <w:t>(Middle)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C/O RTW INVESTMENTS, LP</w:t>
            </w: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40 10TH AVENUE, FLOOR 7</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0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10014</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2"/>
                <w:szCs w:val="12"/>
                <w:color w:val="auto"/>
              </w:rPr>
              <w:t>(Zip)</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-4871085</wp:posOffset>
            </wp:positionV>
            <wp:extent cx="7035800" cy="4933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5800" cy="4933315"/>
                    </a:xfrm>
                    <a:prstGeom prst="rect">
                      <a:avLst/>
                    </a:prstGeom>
                    <a:noFill/>
                  </pic:spPr>
                </pic:pic>
              </a:graphicData>
            </a:graphic>
          </wp:anchor>
        </w:drawing>
      </w:r>
    </w:p>
    <w:p>
      <w:pPr>
        <w:spacing w:after="0" w:line="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40" w:right="400" w:hanging="3"/>
        <w:spacing w:after="0" w:line="281" w:lineRule="auto"/>
        <w:tabs>
          <w:tab w:leader="none" w:pos="164"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B Convertible Preferred Stock is convertible into shares of Common Stock, on a one-for-one basis, has no expiration date and converted into shares of Common Stock upon the closing of the Issuer's initial public offering, which occurred on September 18, 2020.</w:t>
      </w:r>
    </w:p>
    <w:p>
      <w:pPr>
        <w:jc w:val="both"/>
        <w:ind w:left="40" w:right="200" w:hanging="3"/>
        <w:spacing w:after="0" w:line="252" w:lineRule="auto"/>
        <w:tabs>
          <w:tab w:leader="none" w:pos="164"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reported herein may be deemed beneficially owned by each of: (i) RTW Investments, LP ("RTW"), which is deemed the beneficial owner of shares held by RTW Master Fund, Ltd., RTW Venture Fund Limited and RTW Innovation Master Fund, Ltd. (the "Funds"), which are investment funds managed by RTW, and (ii) Roderick Wong, M.D., who serves as the Managing Partner and Chief Investment Officer of RTW. Dr. Wong exercises voting and dispositive control over the securities held by RTW and is therefore deemed to be a beneficial owner of securities owned or controlled by RTW. Dr. Wong disclaims beneficial ownership of the reported securities held by the Funds, except to the extent of his pecuniary interest therein.</w:t>
      </w:r>
    </w:p>
    <w:p>
      <w:pPr>
        <w:spacing w:after="0" w:line="4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RTW Investments, LP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-5080</wp:posOffset>
            </wp:positionV>
            <wp:extent cx="12128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12850" cy="7620"/>
                    </a:xfrm>
                    <a:prstGeom prst="rect">
                      <a:avLst/>
                    </a:prstGeom>
                    <a:noFill/>
                  </pic:spPr>
                </pic:pic>
              </a:graphicData>
            </a:graphic>
          </wp:anchor>
        </w:drawing>
      </w:r>
    </w:p>
    <w:p>
      <w:pPr>
        <w:spacing w:after="0" w:line="6"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Roderick Wong, Managing</w:t>
      </w:r>
      <w:r>
        <w:rPr>
          <w:sz w:val="20"/>
          <w:szCs w:val="20"/>
          <w:color w:val="auto"/>
        </w:rPr>
        <w:tab/>
      </w:r>
      <w:r>
        <w:rPr>
          <w:rFonts w:ascii="Times New Roman" w:cs="Times New Roman" w:eastAsia="Times New Roman" w:hAnsi="Times New Roman"/>
          <w:sz w:val="16"/>
          <w:szCs w:val="16"/>
          <w:color w:val="0000FF"/>
        </w:rPr>
        <w:t>09/22/2020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-12065</wp:posOffset>
            </wp:positionV>
            <wp:extent cx="18675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-12065</wp:posOffset>
            </wp:positionV>
            <wp:extent cx="2965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96545" cy="7620"/>
                    </a:xfrm>
                    <a:prstGeom prst="rect">
                      <a:avLst/>
                    </a:prstGeom>
                    <a:noFill/>
                  </pic:spPr>
                </pic:pic>
              </a:graphicData>
            </a:graphic>
          </wp:anchor>
        </w:drawing>
      </w:r>
    </w:p>
    <w:p>
      <w:pPr>
        <w:ind w:left="6600"/>
        <w:spacing w:after="0" w:line="182" w:lineRule="auto"/>
        <w:rPr>
          <w:sz w:val="20"/>
          <w:szCs w:val="20"/>
          <w:color w:val="auto"/>
        </w:rPr>
      </w:pPr>
      <w:r>
        <w:rPr>
          <w:rFonts w:ascii="Times New Roman" w:cs="Times New Roman" w:eastAsia="Times New Roman" w:hAnsi="Times New Roman"/>
          <w:sz w:val="16"/>
          <w:szCs w:val="16"/>
          <w:color w:val="0000FF"/>
        </w:rPr>
        <w:t xml:space="preserve">Roderick Wong By: /s/ Roderick </w:t>
      </w:r>
      <w:r>
        <w:rPr>
          <w:rFonts w:ascii="Times New Roman" w:cs="Times New Roman" w:eastAsia="Times New Roman" w:hAnsi="Times New Roman"/>
          <w:sz w:val="31"/>
          <w:szCs w:val="31"/>
          <w:color w:val="0000FF"/>
          <w:vertAlign w:val="subscript"/>
        </w:rPr>
        <w:t>09/22/2020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4493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4493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24257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42570" cy="7620"/>
                    </a:xfrm>
                    <a:prstGeom prst="rect">
                      <a:avLst/>
                    </a:prstGeom>
                    <a:noFill/>
                  </pic:spPr>
                </pic:pic>
              </a:graphicData>
            </a:graphic>
          </wp:anchor>
        </w:drawing>
        <w:drawing>
          <wp:anchor simplePos="0" relativeHeight="251657728" behindDoc="1" locked="0" layoutInCell="0" allowOverlap="1">
            <wp:simplePos x="0" y="0"/>
            <wp:positionH relativeFrom="column">
              <wp:posOffset>5589270</wp:posOffset>
            </wp:positionH>
            <wp:positionV relativeFrom="paragraph">
              <wp:posOffset>-80010</wp:posOffset>
            </wp:positionV>
            <wp:extent cx="4679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ectPr>
          <w:pgSz w:w="11900" w:h="16876" w:orient="portrait"/>
          <w:cols w:equalWidth="0" w:num="1">
            <w:col w:w="11080"/>
          </w:cols>
          <w:pgMar w:left="460" w:top="214" w:right="359" w:bottom="0" w:gutter="0" w:footer="0" w:header="0"/>
          <w:type w:val="continuous"/>
        </w:sectPr>
      </w:pPr>
    </w:p>
    <w:bookmarkStart w:id="1" w:name="page2"/>
    <w:bookmarkEnd w:id="1"/>
    <w:p>
      <w:pPr>
        <w:ind w:left="6563"/>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79" w:hanging="3"/>
        <w:spacing w:after="0" w:line="324"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3" Type="http://schemas.openxmlformats.org/officeDocument/2006/relationships/hyperlink" Target="http://www.sec.gov/cgi-bin/browse-edgar?action=getcompany&amp;CIK=0001493215" TargetMode="External"/><Relationship Id="rId14" Type="http://schemas.openxmlformats.org/officeDocument/2006/relationships/hyperlink" Target="http://www.sec.gov/cgi-bin/browse-edgar?action=getcompany&amp;CIK=0001620463" TargetMode="External"/><Relationship Id="rId16" Type="http://schemas.openxmlformats.org/officeDocument/2006/relationships/hyperlink" Target="http://www.sec.gov/cgi-bin/browse-edgar?action=getcompany&amp;CIK=0001493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2020-09-22T16:06:41Z</dcterms:created>
  <dcterms:modified xsi:type="dcterms:W3CDTF">2020-09-22T16:06:41Z</dcterms:modified>
</cp:coreProperties>
</file>