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333-261073</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(To prospectus dated November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2053590</wp:posOffset>
            </wp:positionH>
            <wp:positionV relativeFrom="paragraph">
              <wp:posOffset>142875</wp:posOffset>
            </wp:positionV>
            <wp:extent cx="3000375" cy="149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1491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ATHIRA PHARMA, INC.</w:t>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$75,000,000</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both"/>
        <w:ind w:firstLine="374"/>
        <w:spacing w:after="0"/>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or Cantor Fitzgerald, and BTIG, LLC, or BTIG, dated January 6, 2023, relating to shares of our common stock, par value $0.0001 per share, offered by this prospectus supplement and the accompanying prospectus. We refer to Cantor Fitzgerald and BTIG as the Agents. In accordance with the terms of the Sales Agreement, under this prospectus supplement and the accompanying prospectus, we may offer and sell shares of our common stock having an aggregate offering price of up to $75,000,000 from time to time through or to one or more of the Agents, each acting as agent or principal.</w:t>
      </w:r>
    </w:p>
    <w:p>
      <w:pPr>
        <w:spacing w:after="0" w:line="91" w:lineRule="exact"/>
        <w:rPr>
          <w:sz w:val="24"/>
          <w:szCs w:val="24"/>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“ATHA.” The last reported sale price of our common stock on The Nasdaq Global Select Market on January 5, 2023 was $3.41 per share.</w:t>
      </w:r>
    </w:p>
    <w:p>
      <w:pPr>
        <w:spacing w:after="0" w:line="54" w:lineRule="exact"/>
        <w:rPr>
          <w:sz w:val="24"/>
          <w:szCs w:val="24"/>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will be made in sales deemed to be an “at the market offering” as defined in Rule 415(a)(4) promulgated under the Securities Act of 1933, as amended, or the Securities Act. The Agents are not required to sell any specific number or dollar amount of securities, but will act as sales agents using commercially reasonable efforts consistent with their normal trading and sales practices, on mutually agreed terms between the Agents and us. There is no arrangement for funds to be received in any escrow, trust or similar arrangement.</w:t>
      </w:r>
    </w:p>
    <w:p>
      <w:pPr>
        <w:spacing w:after="0" w:line="75" w:lineRule="exact"/>
        <w:rPr>
          <w:sz w:val="24"/>
          <w:szCs w:val="24"/>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Each of the Agents will be entitled to compensation at a commission rate equal to 3.0% of the gross sales price of the shares of our common stock sold through such Agent pursuant to the Sales Agreement. In connection with the sale of the common stock on our behalf, each of the Agents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or the Securities Exchange Act of 1934, as amended, or the Exchange Act. See the section of this prospectus supplement titled “Plan of Distribution” beginning on page S-67 of this prospectus supplement for additional information regarding the Agents’ compensation.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4"/>
          <w:szCs w:val="24"/>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Please carefully read the information contained in and incorporated by reference under the headings “Risk Factors” beginning on page S-10 of this prospectus supplement, and under similar headings in the other documents that are filed after the date hereof and that are incorporated by reference into this prospectus supplement and the accompanying prospectus before you invest in our common stock.</w:t>
      </w:r>
    </w:p>
    <w:p>
      <w:pPr>
        <w:spacing w:after="0" w:line="68" w:lineRule="exact"/>
        <w:rPr>
          <w:sz w:val="24"/>
          <w:szCs w:val="24"/>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1179195</wp:posOffset>
            </wp:positionH>
            <wp:positionV relativeFrom="paragraph">
              <wp:posOffset>10795</wp:posOffset>
            </wp:positionV>
            <wp:extent cx="118300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005" cy="265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January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2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5920" w:type="dxa"/>
            <w:vAlign w:val="bottom"/>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44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FF"/>
              </w:rPr>
              <w:t>About this Prospectus Supplement</w:t>
            </w:r>
          </w:p>
        </w:tc>
        <w:tc>
          <w:tcPr>
            <w:tcW w:w="59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209"/>
        </w:trPr>
        <w:tc>
          <w:tcPr>
            <w:tcW w:w="24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Prospectus Supplement Summary</w:t>
            </w:r>
          </w:p>
        </w:tc>
        <w:tc>
          <w:tcPr>
            <w:tcW w:w="1660" w:type="dxa"/>
            <w:vAlign w:val="bottom"/>
            <w:tcBorders>
              <w:top w:val="single" w:sz="8" w:color="0000FF"/>
            </w:tcBorders>
            <w:gridSpan w:val="2"/>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w:t>
            </w:r>
          </w:p>
        </w:tc>
      </w:tr>
      <w:tr>
        <w:trPr>
          <w:trHeight w:val="209"/>
        </w:trPr>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210"/>
        </w:trPr>
        <w:tc>
          <w:tcPr>
            <w:tcW w:w="9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60" w:type="dxa"/>
            <w:vAlign w:val="bottom"/>
            <w:gridSpan w:val="8"/>
          </w:tcPr>
          <w:p>
            <w:pPr>
              <w:spacing w:after="0"/>
              <w:rPr>
                <w:sz w:val="18"/>
                <w:szCs w:val="18"/>
                <w:color w:val="auto"/>
              </w:rPr>
            </w:pP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S-10</w:t>
            </w:r>
          </w:p>
        </w:tc>
      </w:tr>
      <w:tr>
        <w:trPr>
          <w:trHeight w:val="20"/>
        </w:trPr>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1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3220" w:type="dxa"/>
            <w:vAlign w:val="bottom"/>
            <w:gridSpan w:val="6"/>
          </w:tcPr>
          <w:p>
            <w:pPr>
              <w:spacing w:after="0"/>
              <w:rPr>
                <w:sz w:val="18"/>
                <w:szCs w:val="18"/>
                <w:color w:val="auto"/>
              </w:rPr>
            </w:pP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S-65</w:t>
            </w:r>
          </w:p>
        </w:tc>
      </w:tr>
      <w:tr>
        <w:trPr>
          <w:trHeight w:val="209"/>
        </w:trPr>
        <w:tc>
          <w:tcPr>
            <w:tcW w:w="1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Dividend Policy</w:t>
            </w:r>
          </w:p>
        </w:tc>
        <w:tc>
          <w:tcPr>
            <w:tcW w:w="3220" w:type="dxa"/>
            <w:vAlign w:val="bottom"/>
            <w:gridSpan w:val="6"/>
          </w:tcPr>
          <w:p>
            <w:pPr>
              <w:spacing w:after="0"/>
              <w:rPr>
                <w:sz w:val="18"/>
                <w:szCs w:val="18"/>
                <w:color w:val="auto"/>
              </w:rPr>
            </w:pP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S-66</w:t>
            </w:r>
          </w:p>
        </w:tc>
      </w:tr>
      <w:tr>
        <w:trPr>
          <w:trHeight w:val="210"/>
        </w:trPr>
        <w:tc>
          <w:tcPr>
            <w:tcW w:w="1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2960" w:type="dxa"/>
            <w:vAlign w:val="bottom"/>
            <w:gridSpan w:val="5"/>
          </w:tcPr>
          <w:p>
            <w:pPr>
              <w:spacing w:after="0"/>
              <w:rPr>
                <w:sz w:val="18"/>
                <w:szCs w:val="18"/>
                <w:color w:val="auto"/>
              </w:rPr>
            </w:pP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S-67</w:t>
            </w:r>
          </w:p>
        </w:tc>
      </w:tr>
      <w:tr>
        <w:trPr>
          <w:trHeight w:val="209"/>
        </w:trPr>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S-68</w:t>
            </w:r>
          </w:p>
        </w:tc>
      </w:tr>
      <w:tr>
        <w:trPr>
          <w:trHeight w:val="210"/>
        </w:trPr>
        <w:tc>
          <w:tcPr>
            <w:tcW w:w="5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Experts</w:t>
            </w:r>
          </w:p>
        </w:tc>
        <w:tc>
          <w:tcPr>
            <w:tcW w:w="440" w:type="dxa"/>
            <w:vAlign w:val="bottom"/>
            <w:tcBorders>
              <w:top w:val="single" w:sz="8" w:color="0000FF"/>
            </w:tcBorders>
            <w:gridSpan w:val="3"/>
          </w:tcPr>
          <w:p>
            <w:pPr>
              <w:spacing w:after="0"/>
              <w:rPr>
                <w:sz w:val="18"/>
                <w:szCs w:val="18"/>
                <w:color w:val="auto"/>
              </w:rPr>
            </w:pPr>
          </w:p>
        </w:tc>
        <w:tc>
          <w:tcPr>
            <w:tcW w:w="3400" w:type="dxa"/>
            <w:vAlign w:val="bottom"/>
            <w:gridSpan w:val="7"/>
          </w:tcPr>
          <w:p>
            <w:pPr>
              <w:spacing w:after="0"/>
              <w:rPr>
                <w:sz w:val="18"/>
                <w:szCs w:val="18"/>
                <w:color w:val="auto"/>
              </w:rPr>
            </w:pP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S-69</w:t>
            </w:r>
          </w:p>
        </w:tc>
      </w:tr>
      <w:tr>
        <w:trPr>
          <w:trHeight w:val="210"/>
        </w:trPr>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S-70</w:t>
            </w:r>
          </w:p>
        </w:tc>
      </w:tr>
      <w:tr>
        <w:trPr>
          <w:trHeight w:val="209"/>
        </w:trPr>
        <w:tc>
          <w:tcPr>
            <w:tcW w:w="19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Incorporation by Reference</w:t>
            </w:r>
          </w:p>
        </w:tc>
        <w:tc>
          <w:tcPr>
            <w:tcW w:w="880" w:type="dxa"/>
            <w:vAlign w:val="bottom"/>
            <w:tcBorders>
              <w:top w:val="single" w:sz="8" w:color="0000FF"/>
            </w:tcBorders>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5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S-71</w:t>
            </w: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104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About this Prospectus</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15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Prospectus Summary</w:t>
            </w:r>
          </w:p>
        </w:tc>
        <w:tc>
          <w:tcPr>
            <w:tcW w:w="886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92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440" w:type="dxa"/>
            <w:vAlign w:val="bottom"/>
            <w:gridSpan w:val="18"/>
          </w:tcPr>
          <w:p>
            <w:pPr>
              <w:spacing w:after="0" w:line="207" w:lineRule="exact"/>
              <w:rPr>
                <w:sz w:val="20"/>
                <w:szCs w:val="20"/>
                <w:color w:val="auto"/>
              </w:rPr>
            </w:pPr>
            <w:r>
              <w:rPr>
                <w:rFonts w:ascii="Times New Roman" w:cs="Times New Roman" w:eastAsia="Times New Roman" w:hAnsi="Times New Roman"/>
                <w:sz w:val="18"/>
                <w:szCs w:val="18"/>
                <w:color w:val="0000FF"/>
              </w:rPr>
              <w:t>Forward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Looking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940" w:type="dxa"/>
            <w:vAlign w:val="bottom"/>
            <w:tcBorders>
              <w:top w:val="single" w:sz="8" w:color="0000FF"/>
            </w:tcBorders>
            <w:gridSpan w:val="8"/>
          </w:tcPr>
          <w:p>
            <w:pPr>
              <w:spacing w:after="0"/>
              <w:rPr>
                <w:sz w:val="19"/>
                <w:szCs w:val="19"/>
                <w:color w:val="auto"/>
              </w:rPr>
            </w:pPr>
          </w:p>
        </w:tc>
        <w:tc>
          <w:tcPr>
            <w:tcW w:w="832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838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4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Description of Depositary Shares</w:t>
            </w:r>
          </w:p>
        </w:tc>
        <w:tc>
          <w:tcPr>
            <w:tcW w:w="80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25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Description of Purchase Contracts</w:t>
            </w:r>
          </w:p>
        </w:tc>
        <w:tc>
          <w:tcPr>
            <w:tcW w:w="79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14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Description of Units</w:t>
            </w:r>
          </w:p>
        </w:tc>
        <w:tc>
          <w:tcPr>
            <w:tcW w:w="980" w:type="dxa"/>
            <w:vAlign w:val="bottom"/>
            <w:tcBorders>
              <w:top w:val="single" w:sz="8" w:color="0000FF"/>
            </w:tcBorders>
            <w:gridSpan w:val="9"/>
          </w:tcPr>
          <w:p>
            <w:pPr>
              <w:spacing w:after="0"/>
              <w:rPr>
                <w:sz w:val="19"/>
                <w:szCs w:val="19"/>
                <w:color w:val="auto"/>
              </w:rPr>
            </w:pPr>
          </w:p>
        </w:tc>
        <w:tc>
          <w:tcPr>
            <w:tcW w:w="798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900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Experts</w:t>
            </w:r>
          </w:p>
        </w:tc>
        <w:tc>
          <w:tcPr>
            <w:tcW w:w="440" w:type="dxa"/>
            <w:vAlign w:val="bottom"/>
            <w:tcBorders>
              <w:top w:val="single" w:sz="8" w:color="0000FF"/>
            </w:tcBorders>
            <w:gridSpan w:val="2"/>
          </w:tcPr>
          <w:p>
            <w:pPr>
              <w:spacing w:after="0"/>
              <w:rPr>
                <w:sz w:val="19"/>
                <w:szCs w:val="19"/>
                <w:color w:val="auto"/>
              </w:rPr>
            </w:pPr>
          </w:p>
        </w:tc>
        <w:tc>
          <w:tcPr>
            <w:tcW w:w="944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19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Incorporation by Reference</w:t>
            </w:r>
          </w:p>
        </w:tc>
        <w:tc>
          <w:tcPr>
            <w:tcW w:w="880" w:type="dxa"/>
            <w:vAlign w:val="bottom"/>
            <w:tcBorders>
              <w:top w:val="single" w:sz="8" w:color="0000FF"/>
            </w:tcBorders>
            <w:gridSpan w:val="7"/>
          </w:tcPr>
          <w:p>
            <w:pPr>
              <w:spacing w:after="0"/>
              <w:rPr>
                <w:sz w:val="19"/>
                <w:szCs w:val="19"/>
                <w:color w:val="auto"/>
              </w:rPr>
            </w:pPr>
          </w:p>
        </w:tc>
        <w:tc>
          <w:tcPr>
            <w:tcW w:w="7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or the SEC, using a “shelf” registration process. Under this shelf registration process, we may from time to time offer and sell any combination of the securities described in the accompanying prospectus in one or more offerings.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accompanying prospectus provides you with a general description of the securities that may be offered. Each time we use the accompanying prospectus to offer securities, we will provide one or more prospectus supplements that will contain specific information about the terms of that offering. The prospectus supplement may also add, update or change information contained in the accompanying prospectus.</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or therein include important information about us, our common stock and other information you should know before investing. This prospectus supplement describes the specific details regarding this offering, including the price, the amount of common stock being offered and the risks of investing in our common stock. The accompanying prospectus provides general information about us, some of which may not apply to this offering.</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the extent that any statement that we make in this prospectus supplement is inconsistent with statements made in the accompanying prospectus, the statements made in this prospectus supplement will be deemed to modify or supersede those made in the accompanying prospectus. You should read both this prospectus supplement and the accompanying prospectus together with the additional information described under the heading “Where You Can Find More Information.”</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Neither we nor the Agents have authorized anyone to provide you with information that is different from that contained, or incorporated by reference, in this prospectus supplement and in the accompanying prospectus. We take no responsibility for, and can provide no assurance as to the reliability of, any other information that others may give you.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supplement, the accompanying prospectus and the information incorporated by reference herein and therein to “we,” “our,” “us,” “Athira,” and “the Company” refer to Athira Pharma, Inc. and its wholly-owned subsidiary.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that are based on our management’s beliefs and assumptions and on information then available to our management. The statements contained in this prospectus supplement, the accompanying prospectus and the documents incorporated by reference herein and therein that are not purely historical are forward-looking statements within the meaning of Section 27A of the Securities Act and Section 21E of the Exchange Act.</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187"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investments to fund our future operating expenses and capital expenditure requirements;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and commercialize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nonclinical studies and clinical trials to demonstrate safety and efficacy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development activities, nonclinical studies and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learnings from our ACT-AD trial and LIFT-AD unblinded interim efficacy and futility analysis and their ability to inform and improve future clinical development plans;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LIFT-AD to show clinical benefits of fosgonimeton following the September 2022 protocol amendment;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future clinical trials, and the reporting of data from those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product candidates for which we obtain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managerial, scientific and clinical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product candidates, and for the manufacture of our product candidates for nonclinical studies and clinical trials;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product candidates into additional indications and patient populations;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and efficacy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jurisdictions;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for which we may pursue regulatory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proceedings which have been or may in the future be instituted against us and certain of our directors and officers, including the legal proceedings discussed in our Annual Report on Form 10-K or Quarterly Reports on Form 10-Q;</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by activist stockholders, which have in the past been, and may in the future be, disruptive and could cause uncertainty about the strategic direction of our business;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COVID-19 or other health epidemics on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if approved for commercial use, and our ability to serve those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strategic collaboration agreements we may enter into;</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any sales under the Sales Agreement;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22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the section titled “Risk Factors” in this prospectus supplement and in our most recent Annual Report on Form 10-K and our most recent Quarterly Report on Form 10-Q subsequent to our most recent Annual Report on Form 10-K. These statements, like all statements in this prospectus supplement, the accompanying prospectus and the documents incorporated by reference herein and therein, speak only as of their date, and we undertake no obligation to update or revise these statements in light of future developments, except as required by law. Our Risk Factors are not guarantees that no such conditions exist as of the date of this prospectus supplement, the accompanying prospectus or the information incorporated by reference herein or therein, and should not be interpreted as an affirmative statement that such risks or conditions have not materialized, in whole or in part.</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the accompanying prospectus and the documents incorporated by reference herein and therein, and while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includes our trademarks and registered trademarks, including Athira, Athira Pharma, the Athira logo, and other trademarks or service marks of Athira. Each other trademark, trade name or service mark appearing in this prospectus supplement, the accompanying prospectus and the documents incorporated by reference herein and therein belongs to its 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In this prospectus supplement, “we,” “our,” “us,” “Athira,” and “the Company” refer to Athira Pharma, Inc. and its wholly-owned subsidiary.</w:t>
      </w:r>
    </w:p>
    <w:p>
      <w:pPr>
        <w:sectPr>
          <w:pgSz w:w="11900" w:h="16838" w:orient="portrait"/>
          <w:cols w:equalWidth="0" w:num="1">
            <w:col w:w="10180"/>
          </w:cols>
          <w:pgMar w:left="70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700" w:top="121" w:right="101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539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t>PROSPECTUS SUPPLEMENT SUMMARY</w:t>
      </w:r>
    </w:p>
    <w:p>
      <w:pPr>
        <w:spacing w:after="0" w:line="227"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supplement and accompanying prospectus. It does not contain all of the information that may be important to you and your investment decision. Before investing in our common stock, you should carefully read this entire prospectus supplement, the accompanying prospectus and the information incorporated by reference herein and therein, including the matters set forth under the section of this prospectus supplement captioned “Risk Factors” and the financial statements and related notes and other information that we incorporate by reference herein, including our Annual Report on Form</w:t>
      </w:r>
    </w:p>
    <w:p>
      <w:pPr>
        <w:spacing w:after="0" w:line="1" w:lineRule="exact"/>
        <w:rPr>
          <w:sz w:val="20"/>
          <w:szCs w:val="20"/>
          <w:color w:val="auto"/>
        </w:rPr>
      </w:pPr>
    </w:p>
    <w:p>
      <w:pPr>
        <w:jc w:val="both"/>
        <w:ind w:right="160"/>
        <w:spacing w:after="0" w:line="290" w:lineRule="auto"/>
        <w:rPr>
          <w:sz w:val="20"/>
          <w:szCs w:val="20"/>
          <w:color w:val="auto"/>
        </w:rPr>
      </w:pPr>
      <w:r>
        <w:rPr>
          <w:rFonts w:ascii="Times New Roman" w:cs="Times New Roman" w:eastAsia="Times New Roman" w:hAnsi="Times New Roman"/>
          <w:sz w:val="17"/>
          <w:szCs w:val="17"/>
          <w:i w:val="1"/>
          <w:iCs w:val="1"/>
          <w:color w:val="auto"/>
        </w:rPr>
        <w:t>10-K and our Quarterly Reports on Form 10-Q. Unless the context indicates otherwise, references in this prospectus supplement to “Athira Pharma, Inc.,” “we,” “our” and “us” refer, collectively, to Athira Pharma, Inc., a Delaware corporation, and its wholly-owned subsidiary taken as a whole.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developing small molecules to restore neuronal health and slow neurodegeneration. Our approach is designed to enhance the hepatocyte growth factor (HGF)/MET system, or HGF/MET, a naturally occurring mechanism to protect and repair neural networks. We believe enhancing HGF/MET signaling has the potential to protect and repair neural networks from damage, reduce inflammation, promote regeneration, reduce protein pathology, and be potentially disease-modifying.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and/or (2) the peripheral nervous system.</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lead candidate, fosgonimeton, or ATH-1017, is a subcutaneously administered, BBB-penetrating, small molecule positive modulator of the HGF/MET system. The effects of fosgonimeton in its primary target indication, Alzheimer’s disease, or AD, are being evaluated in multiple clinical trials:</w:t>
      </w:r>
    </w:p>
    <w:p>
      <w:pPr>
        <w:spacing w:after="0" w:line="176" w:lineRule="exact"/>
        <w:rPr>
          <w:sz w:val="20"/>
          <w:szCs w:val="20"/>
          <w:color w:val="auto"/>
        </w:rPr>
      </w:pPr>
    </w:p>
    <w:p>
      <w:pPr>
        <w:jc w:val="both"/>
        <w:ind w:left="680" w:hanging="349"/>
        <w:spacing w:after="0" w:line="254"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ACT-AD*, a randomized, double-blind, placebo-controlled, parallel-group 26-week exploratory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endpoint was not met by protocoled analysis. However, a post hoc analysis of results from ACT-AD in a pre-specified subgroup suggested positive effects on measures of cognition, function and neurodegeneration in patients taking fosgonimeton alone without background acetylcholinesterase inhibitors (AChEIs). Fosgonimeton was generally well tolerated in the ACT-AD study, with a favorable safety profile, and there were no treatment related serious adverse events or deaths observed.</w:t>
      </w:r>
    </w:p>
    <w:p>
      <w:pPr>
        <w:spacing w:after="0" w:line="190" w:lineRule="exact"/>
        <w:rPr>
          <w:sz w:val="20"/>
          <w:szCs w:val="20"/>
          <w:color w:val="auto"/>
        </w:rPr>
      </w:pPr>
    </w:p>
    <w:p>
      <w:pPr>
        <w:ind w:left="660"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ACT-AD trial was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175" w:lineRule="exact"/>
        <w:rPr>
          <w:sz w:val="20"/>
          <w:szCs w:val="20"/>
          <w:color w:val="auto"/>
        </w:rPr>
      </w:pPr>
    </w:p>
    <w:p>
      <w:pPr>
        <w:ind w:left="680" w:right="20" w:hanging="349"/>
        <w:spacing w:after="0" w:line="253"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LIFT-AD,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Global Statistical Test,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study, in September 2022, we proactively amended LIFT-AD to focus on patients not on background therapy. In October 2022, we announced that following an unblinded interim efficacy and futility analysis, an independent data monitoring committee recommended continuation of the LIFT-AD study. The committee also determined that, with the additional enrollment of fewer than 150 patients for a total enrollment of less than 300 patients without background therapy (AChEIs), the amended study will be well powered for the primary endpoint given the preliminary effect size observed. We are targeting to complete enrollment in mid-2023 and report topline data in early 2024.</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2021, we announced that we are enrolling patients into a 26-week open-label extension study for our LIFT-AD and ACT-AD clinical trials, which will allow us to collect up to a total of one year of safety data with fosgonimeton. In May 2022, we announced that we are extending the 26-week open-label extension study for our LIFT-AD and ACT-AD clinical trials for an additional 12 months, enabling eligible patients who have completed either trial, and elect to participate in the ongoing open label extension, to now receive up to 18 months of open-label treatment with fosgonimeton.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468" w:right="519" w:bottom="1440" w:gutter="0" w:footer="0" w:header="0"/>
        </w:sectPr>
      </w:pPr>
    </w:p>
    <w:bookmarkStart w:id="7" w:name="page8"/>
    <w:bookmarkEnd w:id="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64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t>The following figure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Preliminary Financial Position Information</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Our consolidated financial statements for the year ended December 31, 2022 are not yet available. The preliminary financial data included in this prospectus supplement has been prepared by, and is the responsibility of, management. Our independent registered public accounting firm, Ernst &amp; Young LLP, has not audited, reviewed, compiled, or applied agreed-upon procedures with respect to the preliminary financial data. Accordingly, Ernst</w:t>
      </w:r>
    </w:p>
    <w:p>
      <w:pPr>
        <w:spacing w:after="0" w:line="1" w:lineRule="exact"/>
        <w:rPr>
          <w:sz w:val="20"/>
          <w:szCs w:val="20"/>
          <w:color w:val="auto"/>
        </w:rPr>
      </w:pPr>
    </w:p>
    <w:p>
      <w:pPr>
        <w:jc w:val="both"/>
        <w:ind w:firstLine="7"/>
        <w:spacing w:after="0" w:line="253" w:lineRule="auto"/>
        <w:tabs>
          <w:tab w:leader="none" w:pos="2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 LLP does not express an opinion or any other form of assurance with respect thereto. It is possible that we or Ernst &amp; Young LLP may identify items that require us to make adjustments to the financial information set forth below. We expect to complete our audited consolidated financial statements for the year ended December 31, 2022 subsequent to the date of this prospectus supplement. Accordingly, undue reliance should not be placed on this preliminary estimate.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we had approximately $245.2 million in cash, cash equivalents and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of this prospectus supplement captioned “Risk Factors.” The following is a summary of the principal risks we face:</w:t>
      </w:r>
    </w:p>
    <w:p>
      <w:pPr>
        <w:spacing w:after="0" w:line="162" w:lineRule="exact"/>
        <w:rPr>
          <w:sz w:val="20"/>
          <w:szCs w:val="20"/>
          <w:color w:val="auto"/>
        </w:rPr>
      </w:pPr>
    </w:p>
    <w:p>
      <w:pPr>
        <w:ind w:left="1000" w:hanging="345"/>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late clinical-stage biopharmaceutical company with a limited operating history.</w:t>
      </w:r>
    </w:p>
    <w:p>
      <w:pPr>
        <w:spacing w:after="0" w:line="225" w:lineRule="exact"/>
        <w:rPr>
          <w:rFonts w:ascii="Times New Roman" w:cs="Times New Roman" w:eastAsia="Times New Roman" w:hAnsi="Times New Roman"/>
          <w:sz w:val="18"/>
          <w:szCs w:val="18"/>
          <w:color w:val="auto"/>
        </w:rPr>
      </w:pPr>
    </w:p>
    <w:p>
      <w:pPr>
        <w:ind w:left="1000" w:hanging="345"/>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a number of objectives.</w:t>
      </w:r>
    </w:p>
    <w:p>
      <w:pPr>
        <w:spacing w:after="0" w:line="225" w:lineRule="exact"/>
        <w:rPr>
          <w:rFonts w:ascii="Times New Roman" w:cs="Times New Roman" w:eastAsia="Times New Roman" w:hAnsi="Times New Roman"/>
          <w:sz w:val="18"/>
          <w:szCs w:val="18"/>
          <w:color w:val="auto"/>
        </w:rPr>
      </w:pPr>
    </w:p>
    <w:p>
      <w:pPr>
        <w:ind w:left="1000" w:hanging="345"/>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of fosgonimeton may never lead to a marketable product.</w:t>
      </w:r>
    </w:p>
    <w:p>
      <w:pPr>
        <w:spacing w:after="0" w:line="225" w:lineRule="exact"/>
        <w:rPr>
          <w:rFonts w:ascii="Times New Roman" w:cs="Times New Roman" w:eastAsia="Times New Roman" w:hAnsi="Times New Roman"/>
          <w:sz w:val="18"/>
          <w:szCs w:val="18"/>
          <w:color w:val="auto"/>
        </w:rPr>
      </w:pPr>
    </w:p>
    <w:p>
      <w:pPr>
        <w:jc w:val="both"/>
        <w:ind w:left="1000" w:hanging="345"/>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472" w:right="519" w:bottom="1440" w:gutter="0" w:footer="0" w:header="0"/>
        </w:sectPr>
      </w:pPr>
    </w:p>
    <w:bookmarkStart w:id="8" w:name="page9"/>
    <w:bookmarkEnd w:id="8"/>
    <w:p>
      <w:pPr>
        <w:ind w:left="345" w:hanging="345"/>
        <w:spacing w:after="0" w:line="282"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265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t>We have concentrated our research and development efforts on the treatment of central nervous system and peripheral degenerative disorders, a field that has seen very limited success in product development.</w:t>
      </w:r>
    </w:p>
    <w:p>
      <w:pPr>
        <w:spacing w:after="0" w:line="161" w:lineRule="exact"/>
        <w:rPr>
          <w:rFonts w:ascii="Times New Roman" w:cs="Times New Roman" w:eastAsia="Times New Roman" w:hAnsi="Times New Roman"/>
          <w:sz w:val="18"/>
          <w:szCs w:val="18"/>
          <w:color w:val="auto"/>
        </w:rPr>
      </w:pPr>
    </w:p>
    <w:p>
      <w:pPr>
        <w:jc w:val="both"/>
        <w:ind w:left="345" w:hanging="345"/>
        <w:spacing w:after="0" w:line="261"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special committee of our board of directors engaged in a review of papers co-authored by our former chief executive officer in connection with her doctoral research at Washington State University, or WSU. The special committee’s findings included that</w:t>
      </w:r>
    </w:p>
    <w:p>
      <w:pPr>
        <w:jc w:val="both"/>
        <w:ind w:left="345" w:hanging="3"/>
        <w:spacing w:after="0" w:line="252" w:lineRule="auto"/>
        <w:tabs>
          <w:tab w:leader="none" w:pos="5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189" w:lineRule="exact"/>
        <w:rPr>
          <w:rFonts w:ascii="Times New Roman" w:cs="Times New Roman" w:eastAsia="Times New Roman" w:hAnsi="Times New Roman"/>
          <w:sz w:val="18"/>
          <w:szCs w:val="18"/>
          <w:color w:val="auto"/>
        </w:rPr>
      </w:pPr>
    </w:p>
    <w:p>
      <w:pPr>
        <w:jc w:val="both"/>
        <w:ind w:left="345" w:hanging="345"/>
        <w:spacing w:after="0" w:line="266"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75" w:lineRule="exact"/>
        <w:rPr>
          <w:rFonts w:ascii="Times New Roman" w:cs="Times New Roman" w:eastAsia="Times New Roman" w:hAnsi="Times New Roman"/>
          <w:sz w:val="18"/>
          <w:szCs w:val="18"/>
          <w:color w:val="auto"/>
        </w:rPr>
      </w:pPr>
    </w:p>
    <w:p>
      <w:pPr>
        <w:jc w:val="both"/>
        <w:ind w:left="345" w:hanging="345"/>
        <w:spacing w:after="0" w:line="261"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179" w:lineRule="exact"/>
        <w:rPr>
          <w:rFonts w:ascii="Times New Roman" w:cs="Times New Roman" w:eastAsia="Times New Roman" w:hAnsi="Times New Roman"/>
          <w:sz w:val="18"/>
          <w:szCs w:val="18"/>
          <w:color w:val="auto"/>
        </w:rPr>
      </w:pPr>
    </w:p>
    <w:p>
      <w:pPr>
        <w:ind w:left="345" w:hanging="345"/>
        <w:spacing w:after="0" w:line="282"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and/or retention of patients in clinical trials, our regulatory submissions or receipt of necessary marketing approvals could be delayed or prevented.</w:t>
      </w:r>
    </w:p>
    <w:p>
      <w:pPr>
        <w:spacing w:after="0" w:line="161" w:lineRule="exact"/>
        <w:rPr>
          <w:rFonts w:ascii="Times New Roman" w:cs="Times New Roman" w:eastAsia="Times New Roman" w:hAnsi="Times New Roman"/>
          <w:sz w:val="18"/>
          <w:szCs w:val="18"/>
          <w:color w:val="auto"/>
        </w:rPr>
      </w:pPr>
    </w:p>
    <w:p>
      <w:pPr>
        <w:ind w:left="345" w:hanging="345"/>
        <w:spacing w:after="0"/>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 could significantly harm our business, results of operations and competitive position.</w:t>
      </w:r>
    </w:p>
    <w:p>
      <w:pPr>
        <w:spacing w:after="0" w:line="225" w:lineRule="exact"/>
        <w:rPr>
          <w:rFonts w:ascii="Times New Roman" w:cs="Times New Roman" w:eastAsia="Times New Roman" w:hAnsi="Times New Roman"/>
          <w:sz w:val="18"/>
          <w:szCs w:val="18"/>
          <w:color w:val="auto"/>
        </w:rPr>
      </w:pPr>
    </w:p>
    <w:p>
      <w:pPr>
        <w:jc w:val="both"/>
        <w:ind w:left="345" w:hanging="345"/>
        <w:spacing w:after="0" w:line="266"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75" w:lineRule="exact"/>
        <w:rPr>
          <w:rFonts w:ascii="Times New Roman" w:cs="Times New Roman" w:eastAsia="Times New Roman" w:hAnsi="Times New Roman"/>
          <w:sz w:val="18"/>
          <w:szCs w:val="18"/>
          <w:color w:val="auto"/>
        </w:rPr>
      </w:pPr>
    </w:p>
    <w:p>
      <w:pPr>
        <w:ind w:left="345" w:hanging="345"/>
        <w:spacing w:after="0" w:line="282"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1" w:lineRule="exact"/>
        <w:rPr>
          <w:rFonts w:ascii="Times New Roman" w:cs="Times New Roman" w:eastAsia="Times New Roman" w:hAnsi="Times New Roman"/>
          <w:sz w:val="18"/>
          <w:szCs w:val="18"/>
          <w:color w:val="auto"/>
        </w:rPr>
      </w:pPr>
    </w:p>
    <w:p>
      <w:pPr>
        <w:ind w:left="345" w:hanging="345"/>
        <w:spacing w:after="0" w:line="282"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and potential effects of the novel coronavirus disease, or COVID-19, pandemic or other disease outbreaks could adversely impact our business, including our nonclinical studies and clinical trials.</w:t>
      </w:r>
    </w:p>
    <w:p>
      <w:pPr>
        <w:spacing w:after="0" w:line="161" w:lineRule="exact"/>
        <w:rPr>
          <w:rFonts w:ascii="Times New Roman" w:cs="Times New Roman" w:eastAsia="Times New Roman" w:hAnsi="Times New Roman"/>
          <w:sz w:val="18"/>
          <w:szCs w:val="18"/>
          <w:color w:val="auto"/>
        </w:rPr>
      </w:pPr>
    </w:p>
    <w:p>
      <w:pPr>
        <w:ind w:left="345" w:hanging="345"/>
        <w:spacing w:after="0" w:line="282"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continue to incur significant losses for the foreseeable future.</w:t>
      </w:r>
    </w:p>
    <w:p>
      <w:pPr>
        <w:spacing w:after="0" w:line="161" w:lineRule="exact"/>
        <w:rPr>
          <w:rFonts w:ascii="Times New Roman" w:cs="Times New Roman" w:eastAsia="Times New Roman" w:hAnsi="Times New Roman"/>
          <w:sz w:val="18"/>
          <w:szCs w:val="18"/>
          <w:color w:val="auto"/>
        </w:rPr>
      </w:pPr>
    </w:p>
    <w:p>
      <w:pPr>
        <w:jc w:val="both"/>
        <w:ind w:left="345" w:hanging="345"/>
        <w:spacing w:after="0" w:line="266"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p>
    <w:p>
      <w:pPr>
        <w:spacing w:after="0" w:line="175" w:lineRule="exact"/>
        <w:rPr>
          <w:rFonts w:ascii="Times New Roman" w:cs="Times New Roman" w:eastAsia="Times New Roman" w:hAnsi="Times New Roman"/>
          <w:sz w:val="18"/>
          <w:szCs w:val="18"/>
          <w:color w:val="auto"/>
        </w:rPr>
      </w:pPr>
    </w:p>
    <w:p>
      <w:pPr>
        <w:jc w:val="both"/>
        <w:ind w:left="345" w:hanging="345"/>
        <w:spacing w:after="0" w:line="261"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79" w:lineRule="exact"/>
        <w:rPr>
          <w:rFonts w:ascii="Times New Roman" w:cs="Times New Roman" w:eastAsia="Times New Roman" w:hAnsi="Times New Roman"/>
          <w:sz w:val="18"/>
          <w:szCs w:val="18"/>
          <w:color w:val="auto"/>
        </w:rPr>
      </w:pPr>
    </w:p>
    <w:p>
      <w:pPr>
        <w:jc w:val="both"/>
        <w:ind w:left="345" w:hanging="345"/>
        <w:spacing w:after="0" w:line="266"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00" w:lineRule="exact"/>
        <w:rPr>
          <w:sz w:val="20"/>
          <w:szCs w:val="20"/>
          <w:color w:val="auto"/>
        </w:rPr>
      </w:pPr>
    </w:p>
    <w:p>
      <w:pPr>
        <w:spacing w:after="0" w:line="259"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5"/>
          </w:cols>
          <w:pgMar w:left="1155" w:top="472" w:right="519" w:bottom="1440" w:gutter="0" w:footer="0" w:header="0"/>
        </w:sectPr>
      </w:pPr>
    </w:p>
    <w:bookmarkStart w:id="9" w:name="page10"/>
    <w:bookmarkEnd w:id="9"/>
    <w:p>
      <w:pPr>
        <w:ind w:left="1000" w:hanging="345"/>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4521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4521835"/>
                    </a:xfrm>
                    <a:prstGeom prst="rect">
                      <a:avLst/>
                    </a:prstGeom>
                    <a:noFill/>
                  </pic:spPr>
                </pic:pic>
              </a:graphicData>
            </a:graphic>
          </wp:anchor>
        </w:drawing>
        <w:t>Even if approved, our product candidates may not achieve adequate market acceptance among physicians, patients, healthcare payors and others in the medical community necessary for commercial success.</w:t>
      </w:r>
    </w:p>
    <w:p>
      <w:pPr>
        <w:spacing w:after="0" w:line="161" w:lineRule="exact"/>
        <w:rPr>
          <w:rFonts w:ascii="Times New Roman" w:cs="Times New Roman" w:eastAsia="Times New Roman" w:hAnsi="Times New Roman"/>
          <w:sz w:val="18"/>
          <w:szCs w:val="18"/>
          <w:color w:val="auto"/>
        </w:rPr>
      </w:pPr>
    </w:p>
    <w:p>
      <w:pPr>
        <w:ind w:left="1000" w:hanging="345"/>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161" w:lineRule="exact"/>
        <w:rPr>
          <w:rFonts w:ascii="Times New Roman" w:cs="Times New Roman" w:eastAsia="Times New Roman" w:hAnsi="Times New Roman"/>
          <w:sz w:val="18"/>
          <w:szCs w:val="18"/>
          <w:color w:val="auto"/>
        </w:rPr>
      </w:pPr>
    </w:p>
    <w:p>
      <w:pPr>
        <w:ind w:left="1000" w:hanging="345"/>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protect our intellectual property and our proprietary technologies.</w:t>
      </w:r>
    </w:p>
    <w:p>
      <w:pPr>
        <w:spacing w:after="0" w:line="225" w:lineRule="exact"/>
        <w:rPr>
          <w:rFonts w:ascii="Times New Roman" w:cs="Times New Roman" w:eastAsia="Times New Roman" w:hAnsi="Times New Roman"/>
          <w:sz w:val="18"/>
          <w:szCs w:val="18"/>
          <w:color w:val="auto"/>
        </w:rPr>
      </w:pPr>
    </w:p>
    <w:p>
      <w:pPr>
        <w:ind w:left="1000" w:hanging="345"/>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61" w:lineRule="exact"/>
        <w:rPr>
          <w:rFonts w:ascii="Times New Roman" w:cs="Times New Roman" w:eastAsia="Times New Roman" w:hAnsi="Times New Roman"/>
          <w:sz w:val="18"/>
          <w:szCs w:val="18"/>
          <w:color w:val="auto"/>
        </w:rPr>
      </w:pPr>
    </w:p>
    <w:p>
      <w:pPr>
        <w:ind w:left="1000" w:hanging="345"/>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may continue to be volatile, which could result in substantial losses for investors.</w:t>
      </w:r>
    </w:p>
    <w:p>
      <w:pPr>
        <w:spacing w:after="0" w:line="225" w:lineRule="exact"/>
        <w:rPr>
          <w:rFonts w:ascii="Times New Roman" w:cs="Times New Roman" w:eastAsia="Times New Roman" w:hAnsi="Times New Roman"/>
          <w:sz w:val="18"/>
          <w:szCs w:val="18"/>
          <w:color w:val="auto"/>
        </w:rPr>
      </w:pPr>
    </w:p>
    <w:p>
      <w:pPr>
        <w:ind w:left="1000" w:hanging="345"/>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certain of our directors and executive officers have been named as defendants in lawsuits that could result in substantial costs and divert management’s attention.</w:t>
      </w:r>
    </w:p>
    <w:p>
      <w:pPr>
        <w:spacing w:after="0" w:line="161" w:lineRule="exact"/>
        <w:rPr>
          <w:rFonts w:ascii="Times New Roman" w:cs="Times New Roman" w:eastAsia="Times New Roman" w:hAnsi="Times New Roman"/>
          <w:sz w:val="18"/>
          <w:szCs w:val="18"/>
          <w:color w:val="auto"/>
        </w:rPr>
      </w:pPr>
    </w:p>
    <w:p>
      <w:pPr>
        <w:ind w:left="1000" w:hanging="345"/>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stockholders have in the past been, and may in the future be, disruptive and could cause uncertainty about the strategic direction of our business.</w:t>
      </w:r>
    </w:p>
    <w:p>
      <w:pPr>
        <w:spacing w:after="0" w:line="161" w:lineRule="exact"/>
        <w:rPr>
          <w:rFonts w:ascii="Times New Roman" w:cs="Times New Roman" w:eastAsia="Times New Roman" w:hAnsi="Times New Roman"/>
          <w:sz w:val="18"/>
          <w:szCs w:val="18"/>
          <w:color w:val="auto"/>
        </w:rPr>
      </w:pPr>
    </w:p>
    <w:p>
      <w:pPr>
        <w:ind w:left="1000" w:hanging="345"/>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shares of common stock sold in this offering, you may experience immediate and substantial dilution in the net tangible book value of your shares.</w:t>
      </w:r>
    </w:p>
    <w:p>
      <w:pPr>
        <w:spacing w:after="0" w:line="161" w:lineRule="exact"/>
        <w:rPr>
          <w:rFonts w:ascii="Times New Roman" w:cs="Times New Roman" w:eastAsia="Times New Roman" w:hAnsi="Times New Roman"/>
          <w:sz w:val="18"/>
          <w:szCs w:val="18"/>
          <w:color w:val="auto"/>
        </w:rPr>
      </w:pPr>
    </w:p>
    <w:p>
      <w:pPr>
        <w:ind w:left="1000" w:hanging="345"/>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net proceeds from this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 and is not incorporated into, this prospectus supplement, and the inclusion of our website address in this prospectus supplement is an inactive textual reference only.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472" w:right="519" w:bottom="1440" w:gutter="0" w:footer="0" w:header="0"/>
        </w:sectPr>
      </w:pPr>
    </w:p>
    <w:bookmarkStart w:id="10" w:name="page11"/>
    <w:bookmarkEnd w:id="10"/>
    <w:p>
      <w:pPr>
        <w:spacing w:after="0" w:line="200" w:lineRule="exact"/>
        <w:rPr>
          <w:sz w:val="20"/>
          <w:szCs w:val="20"/>
          <w:color w:val="auto"/>
        </w:rPr>
      </w:pPr>
    </w:p>
    <w:p>
      <w:pPr>
        <w:spacing w:after="0" w:line="2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252" w:lineRule="exact"/>
        <w:rPr>
          <w:sz w:val="20"/>
          <w:szCs w:val="20"/>
          <w:color w:val="auto"/>
        </w:rPr>
      </w:pPr>
    </w:p>
    <w:p>
      <w:pPr>
        <w:ind w:left="10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following the offering:</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-204470</wp:posOffset>
            </wp:positionV>
            <wp:extent cx="7136130" cy="6424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$75,000,000.</w:t>
      </w:r>
    </w:p>
    <w:p>
      <w:pPr>
        <w:spacing w:after="0" w:line="25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Up to 59,811,859 shares of our common stock, based on 37,817,724 shares of common stock outstanding as of September 30, 2022 and assuming sales of 21,994,135 shares of our common stock in this offering at an offering price of $3.41 per share, which was the last reported sale price of our common stock on The Nasdaq Global Select Market on January 5, 2023. The actual number of shares issued will vary depending on the sale price under this offering.</w:t>
      </w:r>
    </w:p>
    <w:p>
      <w:pPr>
        <w:spacing w:after="0" w:line="200" w:lineRule="exact"/>
        <w:rPr>
          <w:sz w:val="20"/>
          <w:szCs w:val="20"/>
          <w:color w:val="auto"/>
        </w:rPr>
      </w:pPr>
    </w:p>
    <w:p>
      <w:pPr>
        <w:sectPr>
          <w:pgSz w:w="11900" w:h="16838" w:orient="portrait"/>
          <w:cols w:equalWidth="0" w:num="2">
            <w:col w:w="2640" w:space="640"/>
            <w:col w:w="7600"/>
          </w:cols>
          <w:pgMar w:left="500" w:top="468" w:right="519" w:bottom="1440" w:gutter="0" w:footer="0" w:header="0"/>
        </w:sectPr>
      </w:pPr>
    </w:p>
    <w:p>
      <w:pPr>
        <w:spacing w:after="0" w:line="6" w:lineRule="exact"/>
        <w:rPr>
          <w:sz w:val="20"/>
          <w:szCs w:val="20"/>
          <w:color w:val="auto"/>
        </w:rPr>
      </w:pPr>
    </w:p>
    <w:p>
      <w:pPr>
        <w:ind w:left="10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Plan of Distribution:</w:t>
      </w:r>
      <w:r>
        <w:rPr>
          <w:sz w:val="20"/>
          <w:szCs w:val="20"/>
          <w:color w:val="auto"/>
        </w:rPr>
        <w:tab/>
      </w:r>
      <w:r>
        <w:rPr>
          <w:rFonts w:ascii="Times New Roman" w:cs="Times New Roman" w:eastAsia="Times New Roman" w:hAnsi="Times New Roman"/>
          <w:sz w:val="17"/>
          <w:szCs w:val="17"/>
          <w:color w:val="auto"/>
        </w:rPr>
        <w:t>“At the market offering” that may be made from time to time on The Nasdaq Global Select Market, if at</w:t>
      </w:r>
    </w:p>
    <w:p>
      <w:pPr>
        <w:spacing w:after="0" w:line="31" w:lineRule="exact"/>
        <w:rPr>
          <w:sz w:val="20"/>
          <w:szCs w:val="20"/>
          <w:color w:val="auto"/>
        </w:rPr>
      </w:pPr>
    </w:p>
    <w:p>
      <w:pPr>
        <w:ind w:left="3280" w:right="900"/>
        <w:spacing w:after="0" w:line="260" w:lineRule="auto"/>
        <w:rPr>
          <w:sz w:val="20"/>
          <w:szCs w:val="20"/>
          <w:color w:val="auto"/>
        </w:rPr>
      </w:pPr>
      <w:r>
        <w:rPr>
          <w:rFonts w:ascii="Times New Roman" w:cs="Times New Roman" w:eastAsia="Times New Roman" w:hAnsi="Times New Roman"/>
          <w:sz w:val="18"/>
          <w:szCs w:val="18"/>
          <w:color w:val="auto"/>
        </w:rPr>
        <w:t>all, through the Agents. See “Plan of Distribution” beginning on page S-67 of this prospectus supplement.</w:t>
      </w:r>
    </w:p>
    <w:p>
      <w:pPr>
        <w:spacing w:after="0" w:line="204" w:lineRule="exact"/>
        <w:rPr>
          <w:sz w:val="20"/>
          <w:szCs w:val="20"/>
          <w:color w:val="auto"/>
        </w:rPr>
      </w:pPr>
    </w:p>
    <w:p>
      <w:pPr>
        <w:ind w:left="10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The principal purpose of this offering is to obtain additional capital to support our operations, including</w:t>
      </w:r>
    </w:p>
    <w:p>
      <w:pPr>
        <w:spacing w:after="0" w:line="31" w:lineRule="exact"/>
        <w:rPr>
          <w:sz w:val="20"/>
          <w:szCs w:val="20"/>
          <w:color w:val="auto"/>
        </w:rPr>
      </w:pPr>
    </w:p>
    <w:p>
      <w:pPr>
        <w:ind w:left="3280" w:right="800"/>
        <w:spacing w:after="0" w:line="290" w:lineRule="auto"/>
        <w:rPr>
          <w:sz w:val="20"/>
          <w:szCs w:val="20"/>
          <w:color w:val="auto"/>
        </w:rPr>
      </w:pPr>
      <w:r>
        <w:rPr>
          <w:rFonts w:ascii="Times New Roman" w:cs="Times New Roman" w:eastAsia="Times New Roman" w:hAnsi="Times New Roman"/>
          <w:sz w:val="17"/>
          <w:szCs w:val="17"/>
          <w:color w:val="auto"/>
        </w:rPr>
        <w:t>research and development activities, as well as for working capital and other general corporate purposes. See “Use of Proceeds” beginning on page S-64 of this prospectus supplement.</w:t>
      </w:r>
    </w:p>
    <w:p>
      <w:pPr>
        <w:spacing w:after="0" w:line="180" w:lineRule="exact"/>
        <w:rPr>
          <w:sz w:val="20"/>
          <w:szCs w:val="20"/>
          <w:color w:val="auto"/>
        </w:rPr>
      </w:pPr>
    </w:p>
    <w:p>
      <w:pPr>
        <w:ind w:left="10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Investing in our common stock involves risks. See “Risk Factors” beginning on page S-10 of this</w:t>
      </w:r>
    </w:p>
    <w:p>
      <w:pPr>
        <w:spacing w:after="0" w:line="31" w:lineRule="exact"/>
        <w:rPr>
          <w:sz w:val="20"/>
          <w:szCs w:val="20"/>
          <w:color w:val="auto"/>
        </w:rPr>
      </w:pPr>
    </w:p>
    <w:p>
      <w:pPr>
        <w:ind w:left="3280" w:right="380"/>
        <w:spacing w:after="0" w:line="253" w:lineRule="auto"/>
        <w:rPr>
          <w:sz w:val="20"/>
          <w:szCs w:val="20"/>
          <w:color w:val="auto"/>
        </w:rPr>
      </w:pPr>
      <w:r>
        <w:rPr>
          <w:rFonts w:ascii="Times New Roman" w:cs="Times New Roman" w:eastAsia="Times New Roman" w:hAnsi="Times New Roman"/>
          <w:sz w:val="18"/>
          <w:szCs w:val="18"/>
          <w:color w:val="auto"/>
        </w:rPr>
        <w:t>prospectus supplement and on page 5 of the accompanying prospectus, as well as those risks and uncertainties identified in the documents incorporated by reference herein and therein, including our most recent Annual Report on Form 10-K and our most recent Quarterly Report on Form 10-Q subsequent to our most recent Annual Report on Form 10-K, for a discussion of risks you should consider carefully before making an investment decision.</w:t>
      </w:r>
    </w:p>
    <w:p>
      <w:pPr>
        <w:spacing w:after="0" w:line="210" w:lineRule="exact"/>
        <w:rPr>
          <w:sz w:val="20"/>
          <w:szCs w:val="20"/>
          <w:color w:val="auto"/>
        </w:rPr>
      </w:pPr>
    </w:p>
    <w:p>
      <w:pPr>
        <w:ind w:left="10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Nasdaq Global Select Market Symbol:</w:t>
      </w:r>
      <w:r>
        <w:rPr>
          <w:sz w:val="20"/>
          <w:szCs w:val="20"/>
          <w:color w:val="auto"/>
        </w:rPr>
        <w:tab/>
      </w:r>
      <w:r>
        <w:rPr>
          <w:rFonts w:ascii="Times New Roman" w:cs="Times New Roman" w:eastAsia="Times New Roman" w:hAnsi="Times New Roman"/>
          <w:sz w:val="17"/>
          <w:szCs w:val="17"/>
          <w:color w:val="auto"/>
        </w:rPr>
        <w:t>“ATHA”</w:t>
      </w:r>
    </w:p>
    <w:p>
      <w:pPr>
        <w:spacing w:after="0" w:line="24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37,817,724 shares outstanding as of September 30, 2022, and excludes:</w:t>
      </w:r>
    </w:p>
    <w:p>
      <w:pPr>
        <w:spacing w:after="0" w:line="162" w:lineRule="exact"/>
        <w:rPr>
          <w:sz w:val="20"/>
          <w:szCs w:val="20"/>
          <w:color w:val="auto"/>
        </w:rPr>
      </w:pPr>
    </w:p>
    <w:p>
      <w:pPr>
        <w:ind w:left="1000" w:hanging="345"/>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3,989,690 shares of common stock issuable upon the exercise of outstanding options as of September 30, 2022 with a weighted-average exercise price of $11.93 per share;</w:t>
      </w:r>
    </w:p>
    <w:p>
      <w:pPr>
        <w:spacing w:after="0" w:line="161" w:lineRule="exact"/>
        <w:rPr>
          <w:rFonts w:ascii="Times New Roman" w:cs="Times New Roman" w:eastAsia="Times New Roman" w:hAnsi="Times New Roman"/>
          <w:sz w:val="18"/>
          <w:szCs w:val="18"/>
          <w:color w:val="auto"/>
        </w:rPr>
      </w:pPr>
    </w:p>
    <w:p>
      <w:pPr>
        <w:ind w:left="1000" w:hanging="345"/>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4,308,100 shares of common stock reserved for future issuance under our 2020 Equity Incentive Plan as of September 30, 2022, and any future increase in shares reserved for issuance under such plan; and</w:t>
      </w:r>
    </w:p>
    <w:p>
      <w:pPr>
        <w:spacing w:after="0" w:line="161" w:lineRule="exact"/>
        <w:rPr>
          <w:rFonts w:ascii="Times New Roman" w:cs="Times New Roman" w:eastAsia="Times New Roman" w:hAnsi="Times New Roman"/>
          <w:sz w:val="18"/>
          <w:szCs w:val="18"/>
          <w:color w:val="auto"/>
        </w:rPr>
      </w:pPr>
    </w:p>
    <w:p>
      <w:pPr>
        <w:ind w:left="1000" w:hanging="345"/>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964,722 shares of common stock reserved for issuance under our 2020 Employee Stock Purchase Plan as of September 30, 2022, and any future increase in shares reserved for issuance under such plan.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outstanding options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468" w:right="51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Any investment in our common stock involves a high degree of risk. In addition to the other information included or incorporated by reference in this prospectus supplement and the accompanying prospectus, you should carefully consider the important factors set forth under the sections titled “Risk Factors” of our most recent Annual Report on Form 10-K and our most recent Quarterly Report on Form 10-Q subsequent to our most recent Annual Report on Form 10-K, which are incorporated herein by reference, before investing in our common stock. For further details, see the sections entitled “Where You Can Find More Information” and “Incorporation by Reference” in this prospectus supplement.</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Any of the risk factors set forth below or referred to above could significantly and negatively affect our business, results of operations or financial condition, which may lower the trading price of our common stock. The risks referred to above are not the only ones that may exist. Additional risks not currently known by us or that we deem immaterial may also impair our business operations. You may lose all or a part of your investment. Our Risk Factors are not guarantees that no such conditions exist as of the date of this prospectus supplement and should not be interpreted as an affirmative statement that such risks or conditions have not materialized, in whole or in part.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the Development of Our Product Candidates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a late clinical-stage biopharmaceutical company with a limited operating history.</w:t>
      </w:r>
    </w:p>
    <w:p>
      <w:pPr>
        <w:spacing w:after="0" w:line="25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developing small molecules to restore neuronal health and slow neurodegeneration. Our limited operating history may make it difficult to evaluate the success of our business. Drug development is a highly uncertain undertaking and involves a substantial degree of risk. To date, we have not completed a potentially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3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fail to or be unable to design and execute clinical trials to support marketing approval of fosgonimeton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a number of objectives.</w:t>
      </w:r>
    </w:p>
    <w:p>
      <w:pPr>
        <w:spacing w:after="0" w:line="2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fosgonimeton and one or more of our other future product candidates. Our ability to generate revenue and achieve profitability depends significantly on our ability to achieve a number of objectives, including:</w:t>
      </w:r>
    </w:p>
    <w:p>
      <w:pPr>
        <w:spacing w:after="0" w:line="183"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nonclinical and clinical development of our product candidates and any future product candidates, as well as the associated costs, including any unforeseen costs;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 for any product candidates for which we successfully complete clinical development;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efficient and scalable manufacturing process for our product candidates, including obtaining finished products that are appropriately packaged for sale;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hospitals, government and third-party payors for product candidates that we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22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of fosgonimeton may never lead to a marketable product.</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endpoint of the ACT-AD trial was not met by protocoled analysis. While we are continuing with the LIFT-AD study, we may not succeed in demonstrating safety and efficacy of fosgonimeton in our LIFT-AD trial or in other clinical trials.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Advancing fosgonimeton as a small molecule aimed at restoring neuronal health creates significant challenges for us, including:</w:t>
      </w:r>
    </w:p>
    <w:p>
      <w:pPr>
        <w:spacing w:after="0" w:line="22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sales and marketing capabilities upon obtaining any marketing approvals to gain market acceptance.</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spacing w:after="0" w:line="20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spacing w:after="0" w:line="21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discovered and are developing a platform of small molecule product candidates from which we have selected our lead product candidate, fosgonimeton, which is under development to treat AD, Parkinson’s Disease Dementia, or PDD, and Dementia with Lewy Bodies, or DLB. Our product candidates target an endogenous brain growth factor which is expected to protect and repair neural networks, which we believe could ultimately result in improvements in clinical outcomes and disease-relevant biomarkers.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of the safety and efficacy of our product candidates in applicable patients or that our clinical trials will provide sufficient evidence that our design approach results in the intended therapeutic effect.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the results of our nonclinical and clinical studies to date, we believe fosgonimeton has the potential to rapidly improve cognition, function and restore the lives of patients suffering from AD. However, these ideas and this approach are novel, and we currently have limited data based on our Phase 1a/b and Phase 2 clinical trials to date.</w:t>
      </w:r>
    </w:p>
    <w:p>
      <w:pPr>
        <w:spacing w:after="0" w:line="20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primary endpoint of our Phase 2 ACT-AD clinical trial was not met by protocoled analysis. A subsequent post hoc analysis of the data in a pre-specified subgroup from patients on fosgonimeton without background therapy, or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Following an unblinded interim efficacy and futility analysis, an independent data monitoring committee recommended continuation of the LIFT-AD study of fosgonimeton in patients with mild-to-moderate AD. The committee also determined that, with the additional enrollment of fewer than 150 patients for a total enrollment of less than 300 patients without background therapy (AChEIs), the study will be well powered for the primary endpoint given the preliminary effect size observed. There is no assurance that the amendments to our ongoing LIFT-AD trial based on our findings from the ACT-AD trial and our interim analyses will ultimately result in a successful trial. For example, our biomarker data may not translate into a statistically significant clinical benefit, FDA may not agree with our statistical plan or analyses, or the trial may not be sufficiently powered for our endpoint measures.</w:t>
      </w:r>
    </w:p>
    <w:p>
      <w:pPr>
        <w:spacing w:after="0" w:line="2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Data from our Phase 1a/1b and Phase 2 clinical trials to date were obtained from a relatively small number of subjects and we cannot be certain that future trials involving a larger number of subjects and clinical sites will yield data in support of the safety, efficacy and tolerability of our product candidates. We may ultimately discover that fosgonimeton, or any of our other small molecules, do not possess certain properties required for therapeutic effectiveness. We have limited evidence regarding the efficacy, safety and tolerability of fosgonimeton and other small molecules in our product platform. We may spend substantial funds attempting to develop these product candidates and never succeed in doing so.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4" w:name="page15"/>
    <w:bookmarkEnd w:id="14"/>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research and development efforts on the treatment of central nervous system and peripheral degenerative disorders, a field that has seen very limited success in product development.</w:t>
      </w:r>
    </w:p>
    <w:p>
      <w:pPr>
        <w:spacing w:after="0" w:line="1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focused our research and development efforts on addressing central nervous system, or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3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p>
    <w:p>
      <w:pPr>
        <w:spacing w:after="0" w:line="20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 As discussed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of any of our key personnel could significantly harm our business, results of operations and competitive position,</w:t>
      </w:r>
      <w:r>
        <w:rPr>
          <w:rFonts w:ascii="Times New Roman" w:cs="Times New Roman" w:eastAsia="Times New Roman" w:hAnsi="Times New Roman"/>
          <w:sz w:val="18"/>
          <w:szCs w:val="18"/>
          <w:color w:val="auto"/>
        </w:rPr>
        <w:t>” on October 18, 2021, Dr. Kawas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her resignation as president and chief executive officer and as a member of our board of directors, effective October 18, 2021. Concurrently with Dr. Kawas’s resignation, our board of directors appointed Mark Litton, Ph.D., MBA as president and chief executive officer and as a member of our board of directors.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disclosed elsewhere in this prospectus supplement, including in this “Risk Factors” section under the heading “</w:t>
      </w:r>
      <w:r>
        <w:rPr>
          <w:rFonts w:ascii="Times New Roman" w:cs="Times New Roman" w:eastAsia="Times New Roman" w:hAnsi="Times New Roman"/>
          <w:sz w:val="18"/>
          <w:szCs w:val="18"/>
          <w:i w:val="1"/>
          <w:iCs w:val="1"/>
          <w:color w:val="auto"/>
        </w:rPr>
        <w:t>—We and certain of our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executive officers have been named as defendants in lawsuits that could result in substantial costs and divert management’s attention</w:t>
      </w:r>
      <w:r>
        <w:rPr>
          <w:rFonts w:ascii="Times New Roman" w:cs="Times New Roman" w:eastAsia="Times New Roman" w:hAnsi="Times New Roman"/>
          <w:sz w:val="18"/>
          <w:szCs w:val="18"/>
          <w:color w:val="auto"/>
        </w:rPr>
        <w:t>,” and in “Part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1—Legal Proceedings” of our most recent Quarterly Report on Form 10-Q that is incorporated herein by reference,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therefore, employees and prospective employees may be less inclined to seek or continue employment with us. As a result, our business, financial condition, results of operations and cash flows could be materially adversely affected.</w:t>
      </w:r>
    </w:p>
    <w:p>
      <w:pPr>
        <w:spacing w:after="0" w:line="18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Washington State University has undertaken a review of claims of potential research misconduct involving our former chief executive officer’s doctoral research at Washington State University.</w:t>
      </w:r>
    </w:p>
    <w:p>
      <w:pPr>
        <w:spacing w:after="0" w:line="19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Times New Roman" w:cs="Times New Roman" w:eastAsia="Times New Roman" w:hAnsi="Times New Roman"/>
          <w:sz w:val="18"/>
          <w:szCs w:val="18"/>
          <w:i w:val="1"/>
          <w:iCs w:val="1"/>
          <w:color w:val="auto"/>
        </w:rPr>
        <w:t>An independent special committee of our board of directors engaged in a review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papers co-authored by our former chief executive officer in connection with her doctoral research at Washington State University.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product candidates.</w:t>
      </w:r>
    </w:p>
    <w:p>
      <w:pPr>
        <w:spacing w:after="0" w:line="23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20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and may in the future be subject to claims, lawsuits, arbitration proceedings, government investigations and other legal, regulatory and administrative proceedings. 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 The outcome of this or any other investigation, claims,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2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22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 w:name="page17"/>
    <w:bookmarkEnd w:id="1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lead product candidate, fosgonimeton, is in clinical development for the potential treatment of AD,PDD and DLB. Our additional early product candidates, including ATH-1105 for ALS, are in nonclinical development, and in the case of ATH-1105, in preparation for IND filing in 2023. It is impossible to predict when or if any of our product candidates will prove to be effective and safe in humans or will receive regulatory approval.</w:t>
      </w:r>
    </w:p>
    <w:p>
      <w:pPr>
        <w:spacing w:after="0" w:line="20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which included a larger patient population, approximately 60% of which were receiving standard-of-care AChEIs, did not meet its primary endpoint of a change in ERP P300 latency for the full study population. Although a post hoc analysis of results from ACT-AD in a pre-specified subgroup suggested positive effects on measures of cognition, function and neurodegeneration in patients taking fosgonimeton alone without background acetylcholinesterase inhibitors (AChEIs), we cannot be sure that data from future trials will support our earlier findings or demonstrate the safety and effectiveness of fosgonimeton for treatment of AD to the satisfaction of the FDA in order to support regulatory approval. Likewise, 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4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treatment duration and data analysis,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spacing w:after="0" w:line="23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July 6, 2021, we announced the initiation of an open-label extension for the LIFT-AD and ACT-AD trials and in May 2022 we announced the extension of the open label extension for an additional 12 months. Following completion of the 26-week treatment period during the LIFT-AD or ACT-AD trials, patients may elect to continue on the open-label extension and receive treatment with fosgonimeton for up to an additional 18 months.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7" w:name="page18"/>
    <w:bookmarkEnd w:id="17"/>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17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with our ATH clinical development strategy or statistical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administrative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ability to commence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approval at each clinical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 adequate number of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a benefit from using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subject safety concerns that arise during the course of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product supply of product candidate for use in nonclinical studies or clinical trials from third-party suppliers.</w:t>
      </w:r>
    </w:p>
    <w:p>
      <w:pPr>
        <w:spacing w:after="0" w:line="25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2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162"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or prevented from obtaining marketing approval for our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8" w:name="page19"/>
    <w:bookmarkEnd w:id="18"/>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their approval of the product or impose restrictions on its distribution in the form of a modified risk evaluation and mitigation strategy, or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6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32"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nonclinical studies and clinical trials. For example, in October 2022 we announced that an independent data monitoring committee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28"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spacing w:after="0" w:line="235"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commercialize, our product candidates may be harmed, which could harm our business, operating results, prospects or financial condition.</w:t>
      </w:r>
    </w:p>
    <w:p>
      <w:pPr>
        <w:spacing w:after="0" w:line="26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1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ongoing clinical trials had slowed due to the effects of the COVID-19 pandemic, including governmental restrictions imposed in Australia, where certain of our clinical trial sites are located. In our ACT-AD clinical trial, this slowed recruitment resulted in a change in the timing of topline 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as a condition to any regulatory approval.</w:t>
      </w:r>
    </w:p>
    <w:p>
      <w:pPr>
        <w:spacing w:after="0" w:line="23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1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Product candidates that we may successfully develop and commercialize will compete with existing therapies and new therapies that may become available in the future. For example, the FDA recently granted accelerated approval for lecanemab, a drug developed by Biogen Inc. and Eisai Co., Ltd., and Eli Lilly and Company is also developing product candidates for Alzheimer's disease.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competition, see the section titled “Part I, Item 1 – Business—Competition” in our most recent Annual Report on Form 10-K that is incorporated herein by reference.</w:t>
      </w:r>
    </w:p>
    <w:p>
      <w:pPr>
        <w:spacing w:after="0" w:line="18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develop product candidates in combination with other therapies, which exposes us to additional risks.</w:t>
      </w:r>
    </w:p>
    <w:p>
      <w:pPr>
        <w:spacing w:after="0" w:line="25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28"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1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other future product candidates we may develop will depend on many factors, including the following:</w:t>
      </w:r>
    </w:p>
    <w:p>
      <w:pPr>
        <w:spacing w:after="0" w:line="22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1" w:name="page22"/>
    <w:bookmarkEnd w:id="21"/>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w:t>
      </w:r>
    </w:p>
    <w:p>
      <w:pPr>
        <w:spacing w:after="0" w:line="2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199"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1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2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significantly harm our business, results of operations and competitive position.</w:t>
      </w:r>
    </w:p>
    <w:p>
      <w:pPr>
        <w:spacing w:after="0" w:line="27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spacing w:after="0" w:line="22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2021 our board of directors placed Dr. Leen Kawas, our then chief executive officer, on temporary leave pending a review of papers co-authored by Dr. Kawas in connection with her doctoral research at WSU, among other things. An independent special committee of our board of directors, assisted by independent legal counsel, conducted an investigation of allegations raised regarding doctoral research by Dr. Kawas conducted while at WSU, as well as related matters. The special committee’s primary finding was that Dr. Kawas altered images in her 2011 doctoral dissertation and at least four research papers that she co-authored while a graduate student at WSU, and published from 2011 to 2014.</w:t>
      </w:r>
    </w:p>
    <w:p>
      <w:pPr>
        <w:spacing w:after="0" w:line="21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October 18, 2021, Dr. Kawas submitted her resignation as president and chief executive officer and as a member of our board of directors, effective October 18, 2021. Concurrently with Dr. Kawas’s resignation, our board of directors appointed Mark Litton, Ph.D., MBA as president and chief executive officer and as a member of our board of directors. The succession and transition process for any of our key employees may have a direct or indirect adverse effect on our business, results of operations, hiring and retention efforts, and competitive position.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COVID-19 and Other Health Epidemics</w:t>
      </w:r>
    </w:p>
    <w:p>
      <w:pPr>
        <w:spacing w:after="0" w:line="26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and potential effects of the novel coronavirus disease, or COVID-19, pandemic and other disease outbreaks could adversely impact our business, including our nonclinical studies and clinical trials.</w:t>
      </w:r>
    </w:p>
    <w:p>
      <w:pPr>
        <w:spacing w:after="0" w:line="1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COVID-19 pandemic and government measures taken in response had a significant impact, both direct and indirect, on businesses and commerce, including worker shortages, supply chain disruptions, facility and production suspensions, and fluctuations in demand for certain goods and services, such as medical services and supplies.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COVID-19 or another disease outbreak could occur, which could cause us to again close down our facilities or take other measures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jc w:val="both"/>
        <w:spacing w:after="0" w:line="223" w:lineRule="exact"/>
        <w:rPr>
          <w:sz w:val="20"/>
          <w:szCs w:val="20"/>
          <w:color w:val="auto"/>
        </w:rPr>
      </w:pPr>
      <w:r>
        <w:rPr>
          <w:rFonts w:ascii="Times New Roman" w:cs="Times New Roman" w:eastAsia="Times New Roman" w:hAnsi="Times New Roman"/>
          <w:sz w:val="18"/>
          <w:szCs w:val="18"/>
          <w:color w:val="auto"/>
        </w:rPr>
        <w:t>response. In particular, new and highly contagious variants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could continue to emerge and spread quickly throughout certain areas of the United States and elsewhere, and at this point we are unable to determine when and to what extent any such resurgence will affect our business. In addition, a number of our clinical trial sites have in the past been and could in the future be subject to restrictions related to COVID-19 that adversely affect their operations. While COVID-19-related restrictions have been eased in many of our clinical trial sites, new restrictions could in the future be imposed, whether in response to an outbreak of a new variant of COVID-19 or any similar outbreak. While the extent of the continuing impact of the COVID-19 pandemic on our business and financial results is uncertain, a surge in cases of COVID-19 or diseases could have a material negative impact on our business, financial condition and operating results.</w:t>
      </w:r>
    </w:p>
    <w:p>
      <w:pPr>
        <w:spacing w:after="0" w:line="22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in the future experience disruptions that could severely impact our business, nonclinical studies and clinical trials as a result of the COVID-19 pandemic or other disease outbreaks. Such disruptions may include:</w:t>
      </w:r>
    </w:p>
    <w:p>
      <w:pPr>
        <w:spacing w:after="0" w:line="162" w:lineRule="exact"/>
        <w:rPr>
          <w:sz w:val="20"/>
          <w:szCs w:val="20"/>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interpreting data from our clinical trials due to the possible effects of such diseases on cognition of the subjects enrolled in our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nonclinical studies due to restricted or limited operations at our laboratory facility;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difficulties or delays arising in our existing operations and company culture as a result of some or all of our employees working remotely;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site procedures and requirements as well as regulatory requirements for conducting clinical trials during the pandemic.</w:t>
      </w:r>
    </w:p>
    <w:p>
      <w:pPr>
        <w:spacing w:after="0" w:line="26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event of a resurgence of COVID-19 or the emergence of new disease outbreaks, we could be required to develop and implement additional clinical trial policies and procedures designed to help protect subjects from such diseases.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3" w:name="page24"/>
    <w:bookmarkEnd w:id="2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prices for shares of biopharmaceutical companies have been in the past been and could in the future be highly volatile as a result of the COVID-19 pandemic or other disease outbreaks, and the trading prices for shares of our common stock could also experience high volatility. In the event of a resurgence of COVID-19 or the emergence of new disease outbreaks, we could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1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ultimate impact of a resurgence of COVID-19 or other disease outbreaks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Financial Position and Capital Needs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significant losses for the foreseeable future.</w:t>
      </w:r>
    </w:p>
    <w:p>
      <w:pPr>
        <w:spacing w:after="0" w:line="25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and our product candidates will require substantial additional investment before they may provide us with any revenue. We had net losses of $65.5 million and $38.5 million for the nine months ended September 30, 2022 and 2021</w:t>
      </w:r>
      <w:r>
        <w:rPr>
          <w:rFonts w:ascii="Times New Roman" w:cs="Times New Roman" w:eastAsia="Times New Roman" w:hAnsi="Times New Roman"/>
          <w:sz w:val="18"/>
          <w:szCs w:val="18"/>
          <w:color w:val="212529"/>
        </w:rPr>
        <w:t>, respectively,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an accumulated deficit of $161.4 million as of September 30, 2022.</w:t>
      </w:r>
    </w:p>
    <w:p>
      <w:pPr>
        <w:spacing w:after="0" w:line="2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12529"/>
        </w:rPr>
        <w:t xml:space="preserve">We have devoted most of our financial resources to research and development, including our clinical and nonclinical development </w:t>
      </w:r>
      <w:r>
        <w:rPr>
          <w:rFonts w:ascii="Times New Roman" w:cs="Times New Roman" w:eastAsia="Times New Roman" w:hAnsi="Times New Roman"/>
          <w:sz w:val="18"/>
          <w:szCs w:val="18"/>
          <w:color w:val="000000"/>
        </w:rPr>
        <w:t>activities.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to incur significant expenses and increasing operating losses for the foreseeable future as we:</w:t>
      </w:r>
    </w:p>
    <w:p>
      <w:pPr>
        <w:spacing w:after="0" w:line="22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nonclinical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clinical studies for our current and prospective product candidates;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nonclinical, clinical or other studies for our product candidates, including any potentially pivotal trials with respect to fosgonimeton for the treatment of mild-to-moderate AD in addition to LIFT-AD, and further extend the open label extension of the ACT-AD and LIFT-AD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and manufacture drug supply and drug product for clinical trials and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facilities and lab space;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validate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or engage in other strategic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or other payments under our in-license or other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4" w:name="page25"/>
    <w:bookmarkEnd w:id="24"/>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and our product development and planned future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expenses in connection with legal proceedings, and addressing potential stockholder activism;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2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Times New Roman" w:cs="Times New Roman" w:eastAsia="Times New Roman" w:hAnsi="Times New Roman"/>
          <w:sz w:val="18"/>
          <w:szCs w:val="18"/>
          <w:color w:val="212529"/>
        </w:rPr>
        <w:t>studies</w:t>
      </w:r>
      <w:r>
        <w:rPr>
          <w:rFonts w:ascii="Times New Roman" w:cs="Times New Roman" w:eastAsia="Times New Roman" w:hAnsi="Times New Roman"/>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199"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p>
    <w:p>
      <w:pPr>
        <w:spacing w:after="0" w:line="21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w:t>
      </w:r>
      <w:r>
        <w:rPr>
          <w:rFonts w:ascii="Times New Roman" w:cs="Times New Roman" w:eastAsia="Times New Roman" w:hAnsi="Times New Roman"/>
          <w:sz w:val="18"/>
          <w:szCs w:val="18"/>
          <w:color w:val="212529"/>
        </w:rPr>
        <w:t>obtain marketing approval for fosgonimeton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22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Accordingly, we will need to obtain substantial additional funding in connection with our continuing operations. As of September 30, 2022, we had cash, cash equivalents and investments of $260.0 million. Based upon our current operating plan, we estimate that our existing cash, cash equivalents and investments will be sufficient to fund our operating expenses and capital expenditure requirements through at least the next 12 months following the date of this prospectus supplement.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1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amount and timing of our future funding requirements depends on many factors, some of which are outside of our control, including but not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limited to:</w:t>
      </w:r>
    </w:p>
    <w:p>
      <w:pPr>
        <w:spacing w:after="0" w:line="162" w:lineRule="exact"/>
        <w:rPr>
          <w:sz w:val="20"/>
          <w:szCs w:val="20"/>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clinical trial design, results of and timing of our LIFT-AD trial and other clinical trials of fosgonimeton, including for potential additional indications that we are pursuing beyond AD, such as PDD, DLB, and a potential further extension of the open label extension of the ACT-AD and LIFT-AD trials;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and EMA to accept our LIFT-AD trial, as well as data from our completed and planned clinical and nonclinical studies and other work, as the basis for review and approval of fosgonimeton for AD and the potential need for additional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EMA and any other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commercialization and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any litigation involving our company, including securities class actions and government investigations which we may be or may in the future become involved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management and hire scientific, clinical and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drugs and product candidates and other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into which we may enter in the future.</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Additional funding may not be available to us on acceptable terms or at all. Any such funding may result in dilution to stockholders, imposition of debt covenants and repayment obligations, or other restrictions that may affect our business. If we are </w:t>
      </w:r>
      <w:r>
        <w:rPr>
          <w:rFonts w:ascii="Times New Roman" w:cs="Times New Roman" w:eastAsia="Times New Roman" w:hAnsi="Times New Roman"/>
          <w:sz w:val="18"/>
          <w:szCs w:val="18"/>
          <w:color w:val="212529"/>
        </w:rPr>
        <w:t>unable</w:t>
      </w:r>
      <w:r>
        <w:rPr>
          <w:rFonts w:ascii="Times New Roman" w:cs="Times New Roman" w:eastAsia="Times New Roman" w:hAnsi="Times New Roman"/>
          <w:sz w:val="18"/>
          <w:szCs w:val="18"/>
          <w:color w:val="auto"/>
        </w:rPr>
        <w:t xml:space="preserv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12529"/>
        </w:rPr>
        <w:t xml:space="preserve">Our ability to use net operating </w:t>
      </w:r>
      <w:r>
        <w:rPr>
          <w:rFonts w:ascii="Times New Roman" w:cs="Times New Roman" w:eastAsia="Times New Roman" w:hAnsi="Times New Roman"/>
          <w:sz w:val="18"/>
          <w:szCs w:val="18"/>
          <w:b w:val="1"/>
          <w:bCs w:val="1"/>
          <w:i w:val="1"/>
          <w:iCs w:val="1"/>
          <w:color w:val="000000"/>
        </w:rPr>
        <w:t>losses</w:t>
      </w:r>
      <w:r>
        <w:rPr>
          <w:rFonts w:ascii="Times New Roman" w:cs="Times New Roman" w:eastAsia="Times New Roman" w:hAnsi="Times New Roman"/>
          <w:sz w:val="18"/>
          <w:szCs w:val="18"/>
          <w:b w:val="1"/>
          <w:bCs w:val="1"/>
          <w:i w:val="1"/>
          <w:iCs w:val="1"/>
          <w:color w:val="212529"/>
        </w:rPr>
        <w:t xml:space="preserve"> to offset future taxable income may be subject to certain limitations.</w:t>
      </w:r>
    </w:p>
    <w:p>
      <w:pPr>
        <w:spacing w:after="0" w:line="2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12529"/>
        </w:rPr>
        <w:t xml:space="preserve">As of December 31, 2021, we had federal net operating loss carryforwards, or NOLs, to offset future taxable income of approximately $9.5 million and federal tax credit carryforwards of approximately $2.9 million. The federal NOLs generated during and after fiscal 2017 totaling $80.7 million are carried forward indefinitely, while all others, if not utilized, will expire in various </w:t>
      </w:r>
      <w:r>
        <w:rPr>
          <w:rFonts w:ascii="Times New Roman" w:cs="Times New Roman" w:eastAsia="Times New Roman" w:hAnsi="Times New Roman"/>
          <w:sz w:val="18"/>
          <w:szCs w:val="18"/>
          <w:color w:val="000000"/>
        </w:rPr>
        <w:t>years</w:t>
      </w:r>
      <w:r>
        <w:rPr>
          <w:rFonts w:ascii="Times New Roman" w:cs="Times New Roman" w:eastAsia="Times New Roman" w:hAnsi="Times New Roman"/>
          <w:sz w:val="18"/>
          <w:szCs w:val="18"/>
          <w:color w:val="212529"/>
        </w:rPr>
        <w:t xml:space="preserve"> beginning in 2025.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12529"/>
        </w:rPr>
        <w:t>Changes in tax laws could have a material adverse effect on our business, cash flows, results of operations or financial condition.</w:t>
      </w:r>
    </w:p>
    <w:p>
      <w:pPr>
        <w:spacing w:after="0" w:line="25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12529"/>
        </w:rPr>
        <w:t xml:space="preserve">We </w:t>
      </w:r>
      <w:r>
        <w:rPr>
          <w:rFonts w:ascii="Times New Roman" w:cs="Times New Roman" w:eastAsia="Times New Roman" w:hAnsi="Times New Roman"/>
          <w:sz w:val="18"/>
          <w:szCs w:val="18"/>
          <w:color w:val="000000"/>
        </w:rPr>
        <w:t>are subject to the tax laws, regulations, and policies of several taxing jurisdictions. Changes in tax laws, as well as other factors, could cause us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to experience fluctuations in our tax obligations and effective tax rates and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r>
        <w:rPr>
          <w:rFonts w:ascii="Times New Roman" w:cs="Times New Roman" w:eastAsia="Times New Roman" w:hAnsi="Times New Roman"/>
          <w:sz w:val="18"/>
          <w:szCs w:val="18"/>
          <w:color w:val="212529"/>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Regulatory Approval and Other Legal Compliance Matters</w:t>
      </w:r>
    </w:p>
    <w:p>
      <w:pPr>
        <w:spacing w:after="0" w:line="26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comparable foreign regulatory authorities. Before we can commercialize any of our product candidates, we must obtain marketing approval.</w:t>
      </w:r>
    </w:p>
    <w:p>
      <w:pPr>
        <w:spacing w:after="0" w:line="25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22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the design, implementation or results of our clinical trials;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nonclinical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other comparable foreign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spacing w:after="0" w:line="22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7" w:name="page28"/>
    <w:bookmarkEnd w:id="27"/>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15"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28"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28"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including, for example, by interfering with the effects of our product candidates. A pre-specified group analysis of patients in our ACT-AD clinical trial identified a potential diminished effect of the combination of standard-of-care (AChEIs) and fosgonimeton. While more clinical studies are needed to determine the safety and efficacy of fosgonimeton, to the extent standard-of-care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p>
    <w:p>
      <w:pPr>
        <w:spacing w:after="0" w:line="235"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29" w:lineRule="exact"/>
        <w:rPr>
          <w:sz w:val="20"/>
          <w:szCs w:val="20"/>
          <w:color w:val="auto"/>
        </w:rPr>
      </w:pPr>
    </w:p>
    <w:p>
      <w:pPr>
        <w:jc w:val="both"/>
        <w:ind w:firstLine="515"/>
        <w:spacing w:after="0" w:line="258" w:lineRule="auto"/>
        <w:rPr>
          <w:sz w:val="20"/>
          <w:szCs w:val="20"/>
          <w:color w:val="auto"/>
        </w:rPr>
      </w:pPr>
      <w:r>
        <w:rPr>
          <w:rFonts w:ascii="Times New Roman" w:cs="Times New Roman" w:eastAsia="Times New Roman" w:hAnsi="Times New Roman"/>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06"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24"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1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94" w:lineRule="exact"/>
        <w:rPr>
          <w:sz w:val="20"/>
          <w:szCs w:val="20"/>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5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2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24" w:lineRule="exact"/>
        <w:rPr>
          <w:sz w:val="20"/>
          <w:szCs w:val="20"/>
          <w:color w:val="auto"/>
        </w:rPr>
      </w:pPr>
    </w:p>
    <w:p>
      <w:pPr>
        <w:jc w:val="both"/>
        <w:ind w:firstLine="515"/>
        <w:spacing w:after="0" w:line="252"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since March 2020 when foreign and domestic inspections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In 2020 and 2021, a number of companies announced receipt of complete response letters due to the FDA’s inability to complete required inspections for their applications. In February 2022, the FDA announced that it will resume routine domestic surveillance inspections. The FDA also announced proceeding with previously planned foreign surveillance inspections that have received country clearance and are within the CDC’s Level 1 or Level 2 COVID-19 travel recommendation; otherwise, the inspection would be rescheduled, with the anticipated goal of resuming foreign prioritized inspections in April 2022. While the FDA has largely caught up with domestic preapproval inspections, it continues to work through its backlog of foreign inspections. However, the FDA may not be able to continue its current inspection pace, and review timelines could be extended, including where a pre-approval inspection or an inspection of clinical sites is required and due to the ongoing COVID-19 pandemic, travel restrictions, or staffing shortages,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27" w:lineRule="exact"/>
        <w:rPr>
          <w:sz w:val="20"/>
          <w:szCs w:val="20"/>
          <w:color w:val="auto"/>
        </w:rPr>
      </w:pPr>
    </w:p>
    <w:p>
      <w:pPr>
        <w:jc w:val="both"/>
        <w:ind w:firstLine="51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24" w:lineRule="exact"/>
        <w:rPr>
          <w:sz w:val="20"/>
          <w:szCs w:val="20"/>
          <w:color w:val="auto"/>
        </w:rPr>
      </w:pPr>
    </w:p>
    <w:p>
      <w:pPr>
        <w:jc w:val="both"/>
        <w:ind w:firstLine="515"/>
        <w:spacing w:after="0" w:line="258" w:lineRule="auto"/>
        <w:rPr>
          <w:sz w:val="20"/>
          <w:szCs w:val="20"/>
          <w:color w:val="auto"/>
        </w:rPr>
      </w:pPr>
      <w:r>
        <w:rPr>
          <w:rFonts w:ascii="Times New Roman" w:cs="Times New Roman" w:eastAsia="Times New Roman" w:hAnsi="Times New Roman"/>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Alzheimer’s disease and our clinical development programs.</w:t>
      </w:r>
    </w:p>
    <w:p>
      <w:pPr>
        <w:spacing w:after="0" w:line="225"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180"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modifications to product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recall or discontinuation of our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If any such changes were to be imposed, they could adversely affect the operation of our business.</w:t>
      </w:r>
    </w:p>
    <w:p>
      <w:pPr>
        <w:spacing w:after="0" w:line="266" w:lineRule="exact"/>
        <w:rPr>
          <w:sz w:val="20"/>
          <w:szCs w:val="20"/>
          <w:color w:val="auto"/>
        </w:rPr>
      </w:pPr>
    </w:p>
    <w:p>
      <w:pPr>
        <w:jc w:val="both"/>
        <w:ind w:firstLine="515"/>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or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spacing w:after="0" w:line="23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w:t>
      </w:r>
    </w:p>
    <w:p>
      <w:pPr>
        <w:spacing w:after="0" w:line="2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costs for Medicare and Medicaid beneficiaries.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0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April 2022, CMS released a finalized national policy for coverage of aducanumab, or Aduhelm, and any future monoclonal antibodies directed against amyloid approved by the FDA with an indication for use in treating Alzheimer’s disease. According to the two-part National Coverage Determination, or NCD, Medicare will cover monoclonal antibodies that target amyloid (or plaque) for the treatment of Alzheimer’s disease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National Institutes of Health approved clinical trials. If CMS adopts similar coverage restrictions for other classes of FDA-approved drugs for the treatment of Alzheimer’s disease that encompass our product candidates, our ability to commercialize our product candidates, if approved, generate revenue and attain profitability could be negatively impacted. It is unclear how future CMS coverage decisions and policies will impact our business.</w:t>
      </w:r>
    </w:p>
    <w:p>
      <w:pPr>
        <w:spacing w:after="0" w:line="23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80"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6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laws that may affect our ability to operate include, but are not limited to:</w:t>
      </w:r>
    </w:p>
    <w:p>
      <w:pPr>
        <w:spacing w:after="0" w:line="225" w:lineRule="exact"/>
        <w:rPr>
          <w:sz w:val="20"/>
          <w:szCs w:val="20"/>
          <w:color w:val="auto"/>
        </w:rPr>
      </w:pPr>
    </w:p>
    <w:p>
      <w:pPr>
        <w:jc w:val="both"/>
        <w:ind w:left="1020" w:hanging="503"/>
        <w:spacing w:after="0" w:line="253"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8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8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4" w:name="page35"/>
    <w:bookmarkEnd w:id="34"/>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2" w:lineRule="exact"/>
        <w:rPr>
          <w:sz w:val="20"/>
          <w:szCs w:val="20"/>
          <w:color w:val="auto"/>
        </w:rPr>
      </w:pPr>
    </w:p>
    <w:p>
      <w:pPr>
        <w:jc w:val="both"/>
        <w:ind w:left="1020" w:hanging="503"/>
        <w:spacing w:after="0" w:line="25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3"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15"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1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Reliance on Third Parties</w:t>
      </w:r>
    </w:p>
    <w:p>
      <w:pPr>
        <w:spacing w:after="0" w:line="25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2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6" w:name="page37"/>
    <w:bookmarkEnd w:id="36"/>
    <w:p>
      <w:pPr>
        <w:jc w:val="both"/>
        <w:spacing w:after="0" w:line="252" w:lineRule="auto"/>
        <w:rPr>
          <w:sz w:val="20"/>
          <w:szCs w:val="20"/>
          <w:color w:val="auto"/>
        </w:rPr>
      </w:pPr>
      <w:r>
        <w:rPr>
          <w:rFonts w:ascii="Times New Roman" w:cs="Times New Roman" w:eastAsia="Times New Roman" w:hAnsi="Times New Roman"/>
          <w:sz w:val="18"/>
          <w:szCs w:val="18"/>
          <w:color w:val="auto"/>
        </w:rPr>
        <w:t>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2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1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20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and sometimes involve long lead times from order to receipt of the materials.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94" w:lineRule="exact"/>
        <w:rPr>
          <w:sz w:val="20"/>
          <w:szCs w:val="20"/>
          <w:color w:val="auto"/>
        </w:rPr>
      </w:pPr>
    </w:p>
    <w:p>
      <w:pPr>
        <w:jc w:val="both"/>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7" w:name="page38"/>
    <w:bookmarkEnd w:id="37"/>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26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2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19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2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materials in a manner that causes injury or violates applicable law, we may be liable for damages.</w:t>
      </w:r>
    </w:p>
    <w:p>
      <w:pPr>
        <w:spacing w:after="0" w:line="1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future environmental regulations may impair our research, development and production efforts, which could harm our business, prospects, financial condition or results of operations.</w:t>
      </w:r>
    </w:p>
    <w:p>
      <w:pPr>
        <w:spacing w:after="0" w:line="18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2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Times New Roman" w:cs="Times New Roman" w:eastAsia="Times New Roman" w:hAnsi="Times New Roman"/>
          <w:sz w:val="18"/>
          <w:szCs w:val="18"/>
          <w:i w:val="1"/>
          <w:iCs w:val="1"/>
          <w:color w:val="auto"/>
        </w:rPr>
        <w:t>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cs="Times New Roman" w:eastAsia="Times New Roman" w:hAnsi="Times New Roman"/>
          <w:sz w:val="18"/>
          <w:szCs w:val="18"/>
          <w:color w:val="auto"/>
        </w:rPr>
        <w:t>,” may discourage potential counterparties from entering into relationships with us.</w:t>
      </w:r>
    </w:p>
    <w:p>
      <w:pPr>
        <w:spacing w:after="0" w:line="2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2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Even if we are successful in entering into collaborations involving our product candidates, these relationships are subject to numerous risks, which may include the following:</w:t>
      </w:r>
    </w:p>
    <w:p>
      <w:pPr>
        <w:spacing w:after="0" w:line="16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9" w:name="page40"/>
    <w:bookmarkEnd w:id="39"/>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0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1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spacing w:after="0" w:line="17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20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Risks Relating to Our Ability to Commercialize our Product</w:t>
      </w:r>
    </w:p>
    <w:p>
      <w:pPr>
        <w:spacing w:after="0" w:line="25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9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spacing w:after="0" w:line="17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physician acceptance of FDA-approved therapies for AD or other target indications;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the approved product candidate for use as a combination 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products or product candidates or similar approved products or product candidates in development by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26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If any of our product candidates are approved but do not achieve an adequate level of acceptance by physicians, hospitals, healthcare payors and patients, we may not generate or derive sufficient revenue from such product candidates and our financial </w:t>
      </w:r>
      <w:r>
        <w:rPr>
          <w:rFonts w:ascii="Times New Roman" w:cs="Times New Roman" w:eastAsia="Times New Roman" w:hAnsi="Times New Roman"/>
          <w:sz w:val="18"/>
          <w:szCs w:val="18"/>
          <w:color w:val="212529"/>
        </w:rPr>
        <w:t>results</w:t>
      </w:r>
      <w:r>
        <w:rPr>
          <w:rFonts w:ascii="Times New Roman" w:cs="Times New Roman" w:eastAsia="Times New Roman" w:hAnsi="Times New Roman"/>
          <w:sz w:val="18"/>
          <w:szCs w:val="18"/>
          <w:color w:val="auto"/>
        </w:rPr>
        <w:t xml:space="preserve"> could be negatively impacted.</w:t>
      </w:r>
    </w:p>
    <w:p>
      <w:pPr>
        <w:spacing w:after="0" w:line="18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Times New Roman" w:cs="Times New Roman" w:eastAsia="Times New Roman" w:hAnsi="Times New Roman"/>
          <w:sz w:val="18"/>
          <w:szCs w:val="18"/>
          <w:color w:val="212529"/>
        </w:rPr>
        <w:t>which we retain commercialization rights and marketing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approval, we will have to develop our own sales, marketing and supply organization or outsource these activities to a third party.</w:t>
      </w:r>
    </w:p>
    <w:p>
      <w:pPr>
        <w:spacing w:after="0" w:line="2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12529"/>
        </w:rPr>
        <w:t xml:space="preserve">Factors that may affect our ability to commercialize our product candidates, if approved, on our own include recruiting and retaining </w:t>
      </w:r>
      <w:r>
        <w:rPr>
          <w:rFonts w:ascii="Times New Roman" w:cs="Times New Roman" w:eastAsia="Times New Roman" w:hAnsi="Times New Roman"/>
          <w:sz w:val="18"/>
          <w:szCs w:val="18"/>
          <w:color w:val="000000"/>
        </w:rPr>
        <w:t>adequate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1" w:name="page42"/>
    <w:bookmarkEnd w:id="41"/>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Times New Roman" w:cs="Times New Roman" w:eastAsia="Times New Roman" w:hAnsi="Times New Roman"/>
          <w:sz w:val="18"/>
          <w:szCs w:val="18"/>
          <w:color w:val="212529"/>
        </w:rPr>
        <w:t>surveys</w:t>
      </w:r>
      <w:r>
        <w:rPr>
          <w:rFonts w:ascii="Times New Roman" w:cs="Times New Roman" w:eastAsia="Times New Roman" w:hAnsi="Times New Roman"/>
          <w:sz w:val="18"/>
          <w:szCs w:val="18"/>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For example, pre-specified subgroup analysis based on topline data from our ACT-AD clinical trial identified a potential diminished effect of the combination of standard-of-care (AChEIs) and fosgonimeton. If such hypothesis is supported by additional research, patients receiving AChEIs could be excluded from the addressable patient population for fosgonimeton.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2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Times New Roman" w:cs="Times New Roman" w:eastAsia="Times New Roman" w:hAnsi="Times New Roman"/>
          <w:sz w:val="18"/>
          <w:szCs w:val="18"/>
          <w:color w:val="212529"/>
        </w:rPr>
        <w:t>are</w:t>
      </w:r>
      <w:r>
        <w:rPr>
          <w:rFonts w:ascii="Times New Roman" w:cs="Times New Roman" w:eastAsia="Times New Roman" w:hAnsi="Times New Roman"/>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9"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clinical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5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Times New Roman" w:cs="Times New Roman" w:eastAsia="Times New Roman" w:hAnsi="Times New Roman"/>
          <w:sz w:val="18"/>
          <w:szCs w:val="18"/>
          <w:color w:val="212529"/>
        </w:rPr>
        <w:t>collaborators</w:t>
      </w:r>
      <w:r>
        <w:rPr>
          <w:rFonts w:ascii="Times New Roman" w:cs="Times New Roman" w:eastAsia="Times New Roman" w:hAnsi="Times New Roman"/>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2" w:name="page43"/>
    <w:bookmarkEnd w:id="42"/>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0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Times New Roman" w:cs="Times New Roman" w:eastAsia="Times New Roman" w:hAnsi="Times New Roman"/>
          <w:sz w:val="18"/>
          <w:szCs w:val="18"/>
          <w:color w:val="212529"/>
        </w:rPr>
        <w:t>product</w:t>
      </w:r>
      <w:r>
        <w:rPr>
          <w:rFonts w:ascii="Times New Roman" w:cs="Times New Roman" w:eastAsia="Times New Roman" w:hAnsi="Times New Roman"/>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3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Times New Roman" w:cs="Times New Roman" w:eastAsia="Times New Roman" w:hAnsi="Times New Roman"/>
          <w:sz w:val="18"/>
          <w:szCs w:val="18"/>
          <w:color w:val="212529"/>
        </w:rPr>
        <w:t>products</w:t>
      </w:r>
      <w:r>
        <w:rPr>
          <w:rFonts w:ascii="Times New Roman" w:cs="Times New Roman" w:eastAsia="Times New Roman" w:hAnsi="Times New Roman"/>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197"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6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Times New Roman" w:cs="Times New Roman" w:eastAsia="Times New Roman" w:hAnsi="Times New Roman"/>
          <w:sz w:val="18"/>
          <w:szCs w:val="18"/>
          <w:color w:val="212529"/>
        </w:rPr>
        <w:t>prices</w:t>
      </w:r>
      <w:r>
        <w:rPr>
          <w:rFonts w:ascii="Times New Roman" w:cs="Times New Roman" w:eastAsia="Times New Roman" w:hAnsi="Times New Roman"/>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w:t>
      </w:r>
      <w:r>
        <w:rPr>
          <w:rFonts w:ascii="Times New Roman" w:cs="Times New Roman" w:eastAsia="Times New Roman" w:hAnsi="Times New Roman"/>
          <w:sz w:val="18"/>
          <w:szCs w:val="18"/>
          <w:color w:val="212529"/>
        </w:rPr>
        <w:t>results, our ability to raise capital needed to commercialize product candidates, and our overall financial condition.</w:t>
      </w:r>
    </w:p>
    <w:p>
      <w:pPr>
        <w:spacing w:after="0" w:line="2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2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Times New Roman" w:cs="Times New Roman" w:eastAsia="Times New Roman" w:hAnsi="Times New Roman"/>
          <w:sz w:val="18"/>
          <w:szCs w:val="18"/>
          <w:color w:val="000000"/>
        </w:rPr>
        <w:t>product candidate that we commercialize and, if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may materially adversely affect our business.</w:t>
      </w:r>
    </w:p>
    <w:p>
      <w:pPr>
        <w:spacing w:after="0" w:line="25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We plan to eventually seek regulatory approval of our product candidates outside of the United States and, accordingly, we </w:t>
      </w:r>
      <w:r>
        <w:rPr>
          <w:rFonts w:ascii="Times New Roman" w:cs="Times New Roman" w:eastAsia="Times New Roman" w:hAnsi="Times New Roman"/>
          <w:sz w:val="18"/>
          <w:szCs w:val="18"/>
          <w:color w:val="212529"/>
        </w:rPr>
        <w:t>expect</w:t>
      </w:r>
      <w:r>
        <w:rPr>
          <w:rFonts w:ascii="Times New Roman" w:cs="Times New Roman" w:eastAsia="Times New Roman" w:hAnsi="Times New Roman"/>
          <w:sz w:val="18"/>
          <w:szCs w:val="18"/>
          <w:color w:val="auto"/>
        </w:rPr>
        <w:t xml:space="preserve"> that we will be subject to additional risks related to operating in foreign countries if we obtain the necessary approvals, including:</w:t>
      </w:r>
    </w:p>
    <w:p>
      <w:pPr>
        <w:spacing w:after="0" w:line="162" w:lineRule="exact"/>
        <w:rPr>
          <w:sz w:val="20"/>
          <w:szCs w:val="20"/>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authorities may disagree with the design, implementation or results of our clinical trials or our interpretation of data from nonclinical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foreign regulatory authorities may significantly change in a manner rendering our clinical data insufficient for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 or other health epidemic on our ability to produce our product candidates and conduct clinical trials in foreign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requirements applicable to privacy, data protection, information security and other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4" w:name="page45"/>
    <w:bookmarkEnd w:id="44"/>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and government payors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These and other risks associated with international operations may materially adversely affect our ability to attain or maintain </w:t>
      </w:r>
      <w:r>
        <w:rPr>
          <w:rFonts w:ascii="Times New Roman" w:cs="Times New Roman" w:eastAsia="Times New Roman" w:hAnsi="Times New Roman"/>
          <w:sz w:val="18"/>
          <w:szCs w:val="18"/>
          <w:color w:val="212529"/>
        </w:rPr>
        <w:t>profitable</w:t>
      </w:r>
      <w:r>
        <w:rPr>
          <w:rFonts w:ascii="Times New Roman" w:cs="Times New Roman" w:eastAsia="Times New Roman" w:hAnsi="Times New Roman"/>
          <w:sz w:val="18"/>
          <w:szCs w:val="18"/>
          <w:color w:val="auto"/>
        </w:rPr>
        <w:t xml:space="preserve">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technologies.</w:t>
      </w:r>
    </w:p>
    <w:p>
      <w:pPr>
        <w:spacing w:after="0" w:line="2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1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2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2022, our patent portfolio includes one issued U.S. patent, ten pending U.S. patent applications, two issued patents in jurisdictions outside of the U.S., nine pending patent applications in jurisdictions outside of the U.S., and four pending international patent applications filed under the Patent Cooperation Treaty. Our owned patent and patent applications have claims directed to our product candidate fosgonimeton as composition of matter and methods of treatment with fosgonimeton, as well as other small molecule therapeutics. The U.S. patent will expire in June 2037, absent any patent term extensions for regulatory delay. Dr. Kawas is an inventor on these company-owned patents. Our patent portfolio also includes eight issued U.S. patents and approximately 13 patents issued and one patent application pending in jurisdictions outside of the U.S. that are exclusively licensed to us by WSU. The in-licensed patent portfolio includes issued U.S. patents that do not directly cover fosgonimeton as a composition of matter or pharmaceutical formulation, but instead cover the active metabolite of fosgonimeton, which is hexanoic-tyrosine-isoleucine-(6)-amino-hexanoic amide, or dihexa, and uses of dihexa. Dr. Kawas is an inventor on five of the in-licensed issued U.S. patents.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76" w:lineRule="exact"/>
        <w:rPr>
          <w:sz w:val="20"/>
          <w:szCs w:val="20"/>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and patent applications may be challenged, invalidated, modified, revoked, circumvented, found to be unenforceable or otherwise may not provide any competitive advantage;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patent laws in the United States or in other countries may limit the ability to obtain, defend or enforce patents, or may apply retroactively to affect the terms and/or scope of patents;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2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2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9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which effectively prevent others from commercializing competitive product candidates.</w:t>
      </w:r>
    </w:p>
    <w:p>
      <w:pPr>
        <w:spacing w:after="0" w:line="22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6" w:name="page47"/>
    <w:bookmarkEnd w:id="46"/>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p>
    <w:p>
      <w:pPr>
        <w:spacing w:after="0" w:line="21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Moreover, our patents or the patents of any current or future licensors may become subject to post-grant challenge proceedings, such as oppositions in a foreign patent office, that challenge our claim of priority of invention or other features of patentability with respect to our patents and patent applications and those of any current or future licensors.</w:t>
      </w:r>
    </w:p>
    <w:p>
      <w:pPr>
        <w:spacing w:after="0" w:line="21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example, in view of the lawsuits disclosed elsewhere in this prospectus supplement including in this “Risk Factors” section under the heading “</w:t>
      </w:r>
      <w:r>
        <w:rPr>
          <w:rFonts w:ascii="Times New Roman" w:cs="Times New Roman" w:eastAsia="Times New Roman" w:hAnsi="Times New Roman"/>
          <w:sz w:val="18"/>
          <w:szCs w:val="18"/>
          <w:i w:val="1"/>
          <w:iCs w:val="1"/>
          <w:color w:val="auto"/>
        </w:rPr>
        <w:t>—We and certain of our directors and executive officers have been named as defendants in lawsuits that could result in substantial costs and divert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attention</w:t>
      </w:r>
      <w:r>
        <w:rPr>
          <w:rFonts w:ascii="Times New Roman" w:cs="Times New Roman" w:eastAsia="Times New Roman" w:hAnsi="Times New Roman"/>
          <w:sz w:val="18"/>
          <w:szCs w:val="18"/>
          <w:color w:val="auto"/>
        </w:rPr>
        <w:t>,” and in “Part II, Item 1—Legal Proceedings” of our most recent Quarterly Report on Form 10-Q that is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 Further, these proceedings could have a material adverse effect on our business, results of operations and financial condition.</w:t>
      </w:r>
    </w:p>
    <w:p>
      <w:pPr>
        <w:spacing w:after="0" w:line="23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though we own patents and patent applications covering fosgonimeton,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spacing w:after="0" w:line="2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and/or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current or future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current or future licensors or collaborators might not have been the first to file patent applications covering certain of our inventions;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7" w:name="page48"/>
    <w:bookmarkEnd w:id="47"/>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24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1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19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not infringed in a court of law;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prospectus supplement,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2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2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21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current or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obviousness-type double patenting. Grounds for an unenforceability assertion could include an allegation that someone connected with prosecution of the patent misrepresented or fraudulently withheld relevant information from the USPTO or made a misleading statement during prosecution.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3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outcome following legal assertions of invalidity and/or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spacing w:after="0" w:line="22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0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2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85"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legal proceedings may lead to unfavorable publicity that harms our reputation and causes the market price of our common shares to decline.</w:t>
      </w:r>
    </w:p>
    <w:p>
      <w:pPr>
        <w:spacing w:after="0" w:line="1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0" w:name="page51"/>
    <w:bookmarkEnd w:id="50"/>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patents or patent applications or those of any current or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25"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19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or (2) invent any of the inventions claimed in the patents or patent applications.</w:t>
      </w:r>
    </w:p>
    <w:p>
      <w:pPr>
        <w:spacing w:after="0" w:line="2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2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spacing w:after="0" w:line="2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1" w:name="page52"/>
    <w:bookmarkEnd w:id="5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will soon have the option, upon grant of a patent, of becoming a Unitary Patent, which will be subject to the jurisdiction of the Unitary Patent Court, or UPC. The option of a Unitary Patent will be a significant change in European patent practice. As the UPC is a new court system, there is no precedent for the court, increasing the uncertainty of any litigation in the UPC.</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5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will not be able to protect our intellectual property rights throughout the world.</w:t>
      </w:r>
    </w:p>
    <w:p>
      <w:pPr>
        <w:spacing w:after="0" w:line="2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own and in-license patents issued and patent applications pending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spacing w:after="0" w:line="20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2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28" w:lineRule="exact"/>
        <w:rPr>
          <w:sz w:val="20"/>
          <w:szCs w:val="20"/>
          <w:color w:val="auto"/>
        </w:rPr>
      </w:pPr>
    </w:p>
    <w:p>
      <w:pPr>
        <w:jc w:val="both"/>
        <w:ind w:firstLine="51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215"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28" w:lineRule="exact"/>
        <w:rPr>
          <w:sz w:val="20"/>
          <w:szCs w:val="20"/>
          <w:color w:val="auto"/>
        </w:rPr>
      </w:pPr>
    </w:p>
    <w:p>
      <w:pPr>
        <w:jc w:val="both"/>
        <w:ind w:firstLine="51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3" w:name="page54"/>
    <w:bookmarkEnd w:id="53"/>
    <w:p>
      <w:pPr>
        <w:jc w:val="both"/>
        <w:spacing w:after="0" w:line="255" w:lineRule="auto"/>
        <w:rPr>
          <w:sz w:val="20"/>
          <w:szCs w:val="20"/>
          <w:color w:val="auto"/>
        </w:rPr>
      </w:pPr>
      <w:r>
        <w:rPr>
          <w:rFonts w:ascii="Times New Roman" w:cs="Times New Roman" w:eastAsia="Times New Roman" w:hAnsi="Times New Roman"/>
          <w:sz w:val="18"/>
          <w:szCs w:val="18"/>
          <w:color w:val="auto"/>
        </w:rPr>
        <w:t>maintain and/or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7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confidential information or trade secrets.</w:t>
      </w:r>
    </w:p>
    <w:p>
      <w:pPr>
        <w:spacing w:after="0" w:line="27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06"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may be subject, in part, to the terms and conditions of licenses granted to us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2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w:t>
      </w:r>
    </w:p>
    <w:p>
      <w:pPr>
        <w:spacing w:after="0" w:line="22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spacing w:after="0" w:line="21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products similar or identical to our product candidates. This could have a material adverse effect on our competitive position, business, financial conditions, results of operations, and prospects.</w:t>
      </w:r>
    </w:p>
    <w:p>
      <w:pPr>
        <w:spacing w:after="0" w:line="22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spacing w:after="0" w:line="22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18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Disputes may arise between us and our current or future licensors regarding intellectual property and other rights subject to a license agreement, including:</w:t>
      </w:r>
    </w:p>
    <w:p>
      <w:pPr>
        <w:spacing w:after="0" w:line="16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 candidates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to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5" w:name="page56"/>
    <w:bookmarkEnd w:id="55"/>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6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may be dependent on third parties.</w:t>
      </w:r>
    </w:p>
    <w:p>
      <w:pPr>
        <w:spacing w:after="0" w:line="27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 applications and patents relating to our product candidates,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1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1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own one patent application with claims directed to methods of treating Alzheimer's disease with fosgonimeton that has been generated through the use of U.S. government funding, and we may develop,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that under the circumstances domestic manufacture is not commercially feasible. This preference for U.S. industry may limit our ability to contract with non-U.S. product manufacturers for products covered by such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w:t>
      </w:r>
    </w:p>
    <w:p>
      <w:pPr>
        <w:spacing w:after="0" w:line="26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2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2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23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3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and/or result in increased costs or loss of revenue or company resources. Moreover, the prevalent use of mobile devices that access confidential information, increase the risk of security breaches and incidents.</w:t>
      </w:r>
    </w:p>
    <w:p>
      <w:pPr>
        <w:spacing w:after="0" w:line="21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Despite efforts to create security barriers to the above described threats, it is impossible for us to entirely mitigate these risks. To date, we have not experienced any material impact to our business, financial position or operations resulting from cyberattacks or other information security incidents such as phishing, social engineering, ransomware or malware attacks;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7" w:name="page58"/>
    <w:bookmarkEnd w:id="57"/>
    <w:p>
      <w:pPr>
        <w:jc w:val="both"/>
        <w:spacing w:after="0" w:line="252" w:lineRule="auto"/>
        <w:rPr>
          <w:sz w:val="20"/>
          <w:szCs w:val="20"/>
          <w:color w:val="auto"/>
        </w:rPr>
      </w:pPr>
      <w:r>
        <w:rPr>
          <w:rFonts w:ascii="Times New Roman" w:cs="Times New Roman" w:eastAsia="Times New Roman" w:hAnsi="Times New Roman"/>
          <w:sz w:val="18"/>
          <w:szCs w:val="18"/>
          <w:color w:val="auto"/>
        </w:rPr>
        <w:t>however, because of the frequently changing attack techniques, along with the increased volume and sophistication of such attacks, our business, financial position or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or incident were to result in a loss of, or damage to, our data or systems, or inappropriate use, disclosure or modification of personal, sensitive,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and/or result in the loss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22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is governed by restrictive regulations governing the use, processing and cross-border transfer of personal information.</w:t>
      </w:r>
    </w:p>
    <w:p>
      <w:pPr>
        <w:spacing w:after="0" w:line="27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regarding individuals in the European Economic Area, or EEA,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European Union, or EU. For example, a July 2020 decision by the Court of Justice for the European Union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p>
    <w:p>
      <w:pPr>
        <w:spacing w:after="0" w:line="22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the exit of the United Kingdom, or UK, from the EU, referred to as Brexit, has created uncertainty with regard to data protection regulation in the UK. The UK has exited the EU and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8" w:name="page59"/>
    <w:bookmarkEnd w:id="5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may increase compliance costs and potential liability with respect to other personal data we maintain about California residents. Additionally, other states, such as Virginia, Utah, Connecticut, and Colorado, have proposed or enacted laws addressing privacy and security that impose obligations similar to those of the CCPA. The CCPA, CPRA, and other evolving state privacy legislation may impact our business activities and exemplifies the vulnerability of our business to the evolving regulatory environment related to personal data and protected health information.</w:t>
      </w:r>
    </w:p>
    <w:p>
      <w:pPr>
        <w:spacing w:after="0" w:line="21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2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22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6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directors and executive officers have been named as defendants in lawsuits that could result in substantial costs and divert management’s attention.</w:t>
      </w:r>
    </w:p>
    <w:p>
      <w:pPr>
        <w:spacing w:after="0" w:line="1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described under “Part II, Item 1—Legal Proceedings” of our most recent Quarterly Report on Form 10-Q that is incorporated herein by reference, we and certain of our executive officers and directors have been named as defendants in class action lawsuits that generally allege that we and certain of our officers and directors violated Sections 10(b) and/or 20(a) of the Exchange Act and Rule 10b-5 promulgated thereunder by making allegedly false and/or misleading statements and omitted material adverse facts regarding the Company’s business. These complaints seek unspecified compensatory and punitive damages, and reasonable costs and expenses, including attorneys’ fees. As of the date of this prospectus supplement,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18"/>
          <w:szCs w:val="18"/>
          <w:color w:val="auto"/>
        </w:rPr>
        <w:t>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12"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by activist stockholders have in the past been, and may in the future be, disruptive and could cause uncertainty about the strategic direction of our business.</w:t>
      </w:r>
    </w:p>
    <w:p>
      <w:pPr>
        <w:spacing w:after="0" w:line="19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as of the date of this prospectus supplement, our market capitalization was less than the aggregate value of our cash, cash equivalents and investments. Other similarly situated biotechnology companies have received proposals from shareholder activists to liquidate and return capital to investors.</w:t>
      </w:r>
    </w:p>
    <w:p>
      <w:pPr>
        <w:spacing w:after="0" w:line="22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strive to maintain constructive communications with our stockholders and welcome their views and opinions with the goal of enhancing value for all stockholders. However, a proxy contest or other activist behaviors could have an adverse effect on us because:</w:t>
      </w:r>
    </w:p>
    <w:p>
      <w:pPr>
        <w:spacing w:after="0" w:line="162" w:lineRule="exact"/>
        <w:rPr>
          <w:sz w:val="20"/>
          <w:szCs w:val="20"/>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stockholders may interfere with any efforts that we undertake in the future to raise capital;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stockholders could cause significant fluctuations in our stock price based on temporary or speculative market perceptions or other factors that do not necessarily reflect the underlying fundamentals and prospects of our business;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pacing w:after="0" w:line="19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market for our common stock will be sustained, and, as a result, it may be difficult for you to sell your shares of our common stock.</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5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16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nonclinical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COVID-19 pandemic or other health epidemic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for our current product candidates and any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reactions to other companies’ drug development results, including product failures or negative responses from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press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ongoing litigation and potential commencement of additional litigation;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investigation by the independent special committee of the board of directors and the separate ongoing investigation by WSU;</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impacts on our business, our suppliers and other third parties and our clinical sites as a result of geopolitical events, including the Russia-Ukraine war;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6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brought against that company. Because of the potential volatility of our stock price, we may become the target of securities litigation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litigation could result in substantial costs and divert management’s attention and resources from our business.</w:t>
      </w:r>
    </w:p>
    <w:p>
      <w:pPr>
        <w:spacing w:after="0" w:line="23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1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2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as of September 30, 2022, the holders of approximately 5.1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1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executive officers and significant stockholders own a substantial percentage of our common stock, which could limit your ability to affect the outcome of key transactions, including a change of control.</w:t>
      </w:r>
    </w:p>
    <w:p>
      <w:pPr>
        <w:spacing w:after="0" w:line="1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directors, executive officers, significant holders of our outstanding common stock and their respective affiliates beneficially own a substantial amount of our outstanding common stock as of September 30, 2022.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2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3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9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effectiveness of our internal controls over financial reporting, as required by Section 404 of the Sarbanes-Oxley Act. We may experience difficulty in meeting these reporting requirements in the future.</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building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1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spacing w:after="0" w:line="183" w:lineRule="exact"/>
        <w:rPr>
          <w:sz w:val="20"/>
          <w:szCs w:val="20"/>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issue up to 100,000,000 shares of preferred stock, with any rights, preferences and privileges as they may designate;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 board of directors into three classes;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director may only be removed from the board of directors by the stockholders for cause;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may not be taken by written consent;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the board, our chief executive officer or by the board of directors;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6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Times New Roman" w:cs="Times New Roman" w:eastAsia="Times New Roman" w:hAnsi="Times New Roman"/>
          <w:sz w:val="18"/>
          <w:szCs w:val="18"/>
          <w:color w:val="000000"/>
        </w:rPr>
        <w:t>divergent</w:t>
      </w:r>
      <w:r>
        <w:rPr>
          <w:rFonts w:ascii="Times New Roman" w:cs="Times New Roman" w:eastAsia="Times New Roman" w:hAnsi="Times New Roman"/>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9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t>
      </w:r>
      <w:r>
        <w:rPr>
          <w:rFonts w:ascii="Times New Roman" w:cs="Times New Roman" w:eastAsia="Times New Roman" w:hAnsi="Times New Roman"/>
          <w:sz w:val="18"/>
          <w:szCs w:val="18"/>
          <w:b w:val="1"/>
          <w:bCs w:val="1"/>
          <w:i w:val="1"/>
          <w:iCs w:val="1"/>
          <w:color w:val="212529"/>
        </w:rPr>
        <w:t>securities</w:t>
      </w:r>
      <w:r>
        <w:rPr>
          <w:rFonts w:ascii="Times New Roman" w:cs="Times New Roman" w:eastAsia="Times New Roman" w:hAnsi="Times New Roman"/>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stock, the price of our stock could decline. If one or more of these analysts cease to cover our stock, we could lose visibility in the market for our stock, which in turn could cause our stock price to decline.</w:t>
      </w:r>
    </w:p>
    <w:p>
      <w:pPr>
        <w:spacing w:after="0" w:line="26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our business, financial position and results of operations could be adversely affected.</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ind w:right="38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sold in this offering, you may experience immediate and substantial dilution in the net tangible book value of your shares.</w:t>
      </w:r>
    </w:p>
    <w:p>
      <w:pPr>
        <w:spacing w:after="0" w:line="15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price per share of common stock being offered may be higher than the net tangible book value per share of our outstanding shares of common stock prior to this offering. In such cases, new investors in this offering will incur immediate dilution in the value of their shares.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net proceeds from this offering.</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will have broad discretion to use the net proceeds from the sale of shares in this offering, and investors in our common stock will be relying on the judgment of our board of directors and management regarding the application of these proceeds. Although we intend to use the net proceeds from this offering to support our operations, including research and development activities, as well as for working capital and other general corporate purposes, we have not allocated these net proceeds for specific purposes. Investors will not have the opportunity, as part of their investment decision, to assess whether the proceeds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are being used appropriately. Our use of the proceeds may not improve our operating results or increase the value of the securities being offered hereby.</w:t>
      </w:r>
    </w:p>
    <w:p>
      <w:pPr>
        <w:sectPr>
          <w:pgSz w:w="11900" w:h="16838" w:orient="portrait"/>
          <w:cols w:equalWidth="0" w:num="1">
            <w:col w:w="10920"/>
          </w:cols>
          <w:pgMar w:left="320" w:top="553" w:right="659" w:bottom="1440" w:gutter="0" w:footer="0" w:header="0"/>
        </w:sect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principal purpose of this offering is to obtain additional capital to support our operations, including research and development activities, as well as for working capital and other general corporate purposes. The amount of net proceeds from this offering will depend upon the number of shares of common stock sold and the market prices at which they are sold. There can be no assurance that we will be able to sell any shares of common stock under or fully utilize the Sales Agreement as a source of financing.</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have not specifically identified the precise amounts we will spend on particular areas or the timing of these expenditures. The amounts actually expended for each purpose may vary significantly depending upon numerous factors, including the amount and timing of the proceeds from the sale of shares of our common stock offered by this prospectus supplement, the progress of our clinical trials and nonclinical studies and other product development activities. In addition, expenditures may also depend on the availability of other financing and other factors. Pending these uses, we plan to invest the net proceeds of this offering in short- and intermediate-term, interest-bearing obligations, investment-grade instruments, certificates of deposit or direct or guaranteed obligations of the U.S. government.</w:t>
      </w:r>
    </w:p>
    <w:p>
      <w:pPr>
        <w:spacing w:after="0" w:line="18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anticipate that we will be required to raise substantial additional capital to continue to fund the clinical development of our product candidates. We expect to seek to raise additional capital through additional public or private financings, principally through equity issuances.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any future debt instruments or preferred securities.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36" w:lineRule="exact"/>
        <w:rPr>
          <w:sz w:val="20"/>
          <w:szCs w:val="20"/>
          <w:color w:val="auto"/>
        </w:rPr>
      </w:pPr>
    </w:p>
    <w:p>
      <w:pPr>
        <w:ind w:right="120" w:firstLine="374"/>
        <w:spacing w:after="0"/>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and BTIG under which we may issue and sell shares of our common stock from time to time through or to the Agents, each acting as agent or principal. Pursuant to this prospectus supplement and accompanying prospectus, we may sell shares of our common stock having an aggregate gross sales price of up to $75 million. The Sales Agreement will be filed as an exhibit to a Current Report on Form 8-K on even date herewith and will be incorporated by reference into this prospectus supplement.</w:t>
      </w:r>
    </w:p>
    <w:p>
      <w:pPr>
        <w:spacing w:after="0" w:line="19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Sales Agreement, the Agents may sell our common stock by any method permitted by law deemed to be an “at the market offering” as defined in Rule 415(a)(4) promulgated under the Securities Act. We may instruct the Agents not to sell common stock if the sales cannot be effected at or above the price designated by us from time to time. We or the Agents may suspend the offering of common stock upon notice and subject to other conditions.</w:t>
      </w:r>
    </w:p>
    <w:p>
      <w:pPr>
        <w:spacing w:after="0" w:line="18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will pay the Agents commissions, in cash, for their services in acting as agent in the sale of our common stock. Each of the Agents will be entitled to compensation at a fixed commission rate of 3.0% of the gross sales price per share sold through it under the Sales Agreement. Because there is no minimum offering amount required as a condition to close this offering, the actual total public offering amount, commissions and proceeds to us, if any, are not determinable at this time. We have also agreed to reimburse the Agents for certain specified expenses, including the fees and disbursements of its legal counsel, in an amount not to exceed $75,000 and certain ongoing expenses. We estimate that the total expenses for the offering, excluding compensation and reimbursement payable to the Agents under the terms of the Sales Agreement, will be approximately $395,000.</w:t>
      </w:r>
    </w:p>
    <w:p>
      <w:pPr>
        <w:spacing w:after="0" w:line="187" w:lineRule="exact"/>
        <w:rPr>
          <w:sz w:val="20"/>
          <w:szCs w:val="20"/>
          <w:color w:val="auto"/>
        </w:rPr>
      </w:pPr>
    </w:p>
    <w:p>
      <w:pPr>
        <w:jc w:val="both"/>
        <w:ind w:right="140" w:firstLine="374"/>
        <w:spacing w:after="0" w:line="261" w:lineRule="auto"/>
        <w:rPr>
          <w:sz w:val="20"/>
          <w:szCs w:val="20"/>
          <w:color w:val="auto"/>
        </w:rPr>
      </w:pPr>
      <w:r>
        <w:rPr>
          <w:rFonts w:ascii="Times New Roman" w:cs="Times New Roman" w:eastAsia="Times New Roman" w:hAnsi="Times New Roman"/>
          <w:sz w:val="18"/>
          <w:szCs w:val="18"/>
          <w:color w:val="auto"/>
        </w:rPr>
        <w:t>Settlement for sales of common stock will occur on the second business day following the date on which any sales are made, or on some other date that is agreed upon by us and the Agents in connection with a particular transaction, in return for payment of the net proceeds to us. Sales of our common stock as contemplated in this prospectus supplement will be settled through the facilities of The Depository Trust Company or by such other means as we and the Agents may agree upon. There is no arrangement for funds to be received in an escrow, trust or similar arrangement.</w:t>
      </w:r>
    </w:p>
    <w:p>
      <w:pPr>
        <w:spacing w:after="0" w:line="180"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Each Agent will use its commercially reasonable efforts, consistent with its sales and trading practices, to solicit offers to purchase the common stock under the terms and subject to the conditions set forth in the Sales Agreement. In connection with the sale of the common stock on our behalf, each Agent will be deemed to be an “underwriter” within the meaning of the Securities Act and the compensation of the Agents will be deemed to be underwriting commissions or discounts. We have agreed to provide indemnification and contribution to the Agents against certain civil liabilities, including liabilities under the Securities Act.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offering of our common stock pursuant to the Sales Agreement will terminate upon the termination of the Sales Agreement as permitted therein.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each of the Agents may terminate the Sales Agreement at any time subject to the terms of the Sales Agreement.</w:t>
      </w:r>
    </w:p>
    <w:p>
      <w:pPr>
        <w:spacing w:after="0" w:line="207" w:lineRule="exact"/>
        <w:rPr>
          <w:sz w:val="20"/>
          <w:szCs w:val="20"/>
          <w:color w:val="auto"/>
        </w:rPr>
      </w:pPr>
    </w:p>
    <w:p>
      <w:pPr>
        <w:jc w:val="both"/>
        <w:ind w:right="200" w:firstLine="374"/>
        <w:spacing w:after="0" w:line="266" w:lineRule="auto"/>
        <w:rPr>
          <w:sz w:val="20"/>
          <w:szCs w:val="20"/>
          <w:color w:val="auto"/>
        </w:rPr>
      </w:pPr>
      <w:r>
        <w:rPr>
          <w:rFonts w:ascii="Times New Roman" w:cs="Times New Roman" w:eastAsia="Times New Roman" w:hAnsi="Times New Roman"/>
          <w:sz w:val="18"/>
          <w:szCs w:val="18"/>
          <w:color w:val="auto"/>
        </w:rPr>
        <w:t>Each Agent and its affiliates may provide various investment banking, commercial banking and other financial services for us and our affiliates, for which services they may in the future receive customary fees. To the extent required by Regulation M, the Agents will not engage in any market making activities involving our common stock while the offering is ongoing under this prospectus supplement in violation of Regulation M.</w:t>
      </w:r>
    </w:p>
    <w:p>
      <w:pPr>
        <w:spacing w:after="0" w:line="176"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be made available in electronic format on a website maintained by the Agents and the Agents may distribute this prospectus supplement and the accompanying prospectus electronically.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Wilson Sonsini Goodrich &amp; Rosati, Professional Corporation, Seattle, Washington. Cantor Fitzgerald &amp; Co. and BTIG, LLC are being represented in connection with this offering by Cooley LLP, New York, New York. Certain members of, and investment partnerships comprised of members of, and persons associated with, Wilson Sonsini Goodrich &amp; Rosati, P.C. own less than 1%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Copies of certain information filed by us with the SEC are also available on our website at </w:t>
      </w:r>
      <w:r>
        <w:rPr>
          <w:rFonts w:ascii="Times New Roman" w:cs="Times New Roman" w:eastAsia="Times New Roman" w:hAnsi="Times New Roman"/>
          <w:sz w:val="18"/>
          <w:szCs w:val="18"/>
          <w:i w:val="1"/>
          <w:iCs w:val="1"/>
          <w:color w:val="auto"/>
        </w:rPr>
        <w:t>https://www.athira.com/</w:t>
      </w:r>
      <w:r>
        <w:rPr>
          <w:rFonts w:ascii="Times New Roman" w:cs="Times New Roman" w:eastAsia="Times New Roman" w:hAnsi="Times New Roman"/>
          <w:sz w:val="18"/>
          <w:szCs w:val="18"/>
          <w:color w:val="auto"/>
        </w:rPr>
        <w:t>. Information accessible on or through our website is not a part of this prospectus supplement, the accompanying prospectus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incorporated by reference herein or therein.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Any statement in a document we incorporate by reference into this prospectus supplement or the accompanying prospectus will be considered to be modified or superseded to the extent a statement contained in this prospectus supplement or any other subsequently filed document that is incorporated by reference into this prospectus supplement modifies or supersedes that statement. The modified or superseded statement will not be considered to be a part of this prospectus supplement or accompanying prospectus, as applicable, except as modified or superseded.</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180" w:lineRule="exact"/>
        <w:rPr>
          <w:sz w:val="20"/>
          <w:szCs w:val="20"/>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89">
        <w:r>
          <w:rPr>
            <w:rFonts w:ascii="Times New Roman" w:cs="Times New Roman" w:eastAsia="Times New Roman" w:hAnsi="Times New Roman"/>
            <w:sz w:val="18"/>
            <w:szCs w:val="18"/>
            <w:u w:val="single" w:color="auto"/>
            <w:color w:val="0000FF"/>
          </w:rPr>
          <w:t>March 28,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9"/>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Quarterly Reports on Form 10-Q for the quarters ended March 31, 2022, June 30, 2022 and September 30, 2022, filed with the SEC on </w:t>
      </w:r>
      <w:hyperlink r:id="rId90">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91">
        <w:r>
          <w:rPr>
            <w:rFonts w:ascii="Times New Roman" w:cs="Times New Roman" w:eastAsia="Times New Roman" w:hAnsi="Times New Roman"/>
            <w:sz w:val="18"/>
            <w:szCs w:val="18"/>
            <w:u w:val="single" w:color="auto"/>
            <w:color w:val="0000FF"/>
          </w:rPr>
          <w:t xml:space="preserve">August 15,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92">
        <w:r>
          <w:rPr>
            <w:rFonts w:ascii="Times New Roman" w:cs="Times New Roman" w:eastAsia="Times New Roman" w:hAnsi="Times New Roman"/>
            <w:sz w:val="18"/>
            <w:szCs w:val="18"/>
            <w:u w:val="single" w:color="auto"/>
            <w:color w:val="0000FF"/>
          </w:rPr>
          <w:t>November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respectively;</w:t>
      </w:r>
    </w:p>
    <w:p>
      <w:pPr>
        <w:spacing w:after="0" w:line="161" w:lineRule="exact"/>
        <w:rPr>
          <w:rFonts w:ascii="Times New Roman" w:cs="Times New Roman" w:eastAsia="Times New Roman" w:hAnsi="Times New Roman"/>
          <w:sz w:val="18"/>
          <w:szCs w:val="18"/>
          <w:color w:val="0000FF"/>
        </w:rPr>
      </w:pPr>
    </w:p>
    <w:p>
      <w:pPr>
        <w:ind w:left="1140" w:hanging="383"/>
        <w:spacing w:after="0" w:line="235" w:lineRule="exact"/>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filed with the SEC on </w:t>
      </w:r>
      <w:hyperlink r:id="rId93">
        <w:r>
          <w:rPr>
            <w:rFonts w:ascii="Times New Roman" w:cs="Times New Roman" w:eastAsia="Times New Roman" w:hAnsi="Times New Roman"/>
            <w:sz w:val="18"/>
            <w:szCs w:val="18"/>
            <w:u w:val="single" w:color="auto"/>
            <w:color w:val="0000FF"/>
          </w:rPr>
          <w:t>April 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8"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9"/>
        </w:numPr>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21,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24,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22,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17,</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95">
        <w:r>
          <w:rPr>
            <w:rFonts w:ascii="Times New Roman" w:cs="Times New Roman" w:eastAsia="Times New Roman" w:hAnsi="Times New Roman"/>
            <w:sz w:val="18"/>
            <w:szCs w:val="18"/>
            <w:u w:val="single" w:color="auto"/>
            <w:color w:val="0000FF"/>
          </w:rPr>
          <w:t>November 18, 2022</w:t>
        </w:r>
      </w:hyperlink>
      <w:hyperlink r:id="rId94">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FF"/>
        </w:rPr>
      </w:pPr>
    </w:p>
    <w:p>
      <w:pPr>
        <w:ind w:left="1140" w:right="20" w:hanging="383"/>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Form 8-A relating thereto, filed on </w:t>
      </w:r>
      <w:hyperlink r:id="rId96">
        <w:r>
          <w:rPr>
            <w:rFonts w:ascii="Times New Roman" w:cs="Times New Roman" w:eastAsia="Times New Roman" w:hAnsi="Times New Roman"/>
            <w:sz w:val="18"/>
            <w:szCs w:val="18"/>
            <w:u w:val="single" w:color="auto"/>
            <w:color w:val="0000FF"/>
          </w:rPr>
          <w:t>September 9, 2020</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FF"/>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Statements made in this prospectus supplement or the accompanying prospectus or in any document incorporated by reference in this prospectus supplement or the accompanying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180" w:lineRule="exact"/>
        <w:rPr>
          <w:rFonts w:ascii="Times New Roman" w:cs="Times New Roman" w:eastAsia="Times New Roman" w:hAnsi="Times New Roman"/>
          <w:sz w:val="18"/>
          <w:szCs w:val="18"/>
          <w:color w:val="0000FF"/>
        </w:rPr>
      </w:pPr>
    </w:p>
    <w:p>
      <w:pPr>
        <w:ind w:left="38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ATHIRA PHARMA, INC.</w:t>
      </w:r>
    </w:p>
    <w:p>
      <w:pPr>
        <w:spacing w:after="0" w:line="27"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18706 North Creek Parkway, Suite 104</w:t>
      </w:r>
    </w:p>
    <w:p>
      <w:pPr>
        <w:spacing w:after="0" w:line="9"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Bothell, Washington 98011</w:t>
      </w:r>
    </w:p>
    <w:p>
      <w:pPr>
        <w:spacing w:after="0" w:line="9"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ind w:left="5460" w:right="5080" w:hanging="421"/>
        <w:spacing w:after="0" w:line="555" w:lineRule="auto"/>
        <w:tabs>
          <w:tab w:leader="none" w:pos="54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620-8501 S-71</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154305</wp:posOffset>
            </wp:positionV>
            <wp:extent cx="3145790" cy="1568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314579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ATHIRA PHARMA, INC.</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$300,000,000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Preferred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Debt Securities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Depositary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Warrants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Subscription Rights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Purchase Contracts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Units</w:t>
      </w:r>
    </w:p>
    <w:p>
      <w:pPr>
        <w:spacing w:after="0" w:line="155"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2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2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“ATHA.” Each prospectus supplement will indicate whether the securities offered thereby will be listed on any securities exchange.</w:t>
      </w:r>
    </w:p>
    <w:p>
      <w:pPr>
        <w:spacing w:after="0" w:line="10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118"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Please carefully read the information under the headings “Risk Factors” beginning on page 5 of this prospectus and “Item 1A – Risk Factors” of our most recent report on Form 10-K or 10-Q that is incorporated by reference in this prospectus before you invest in our securities.</w:t>
      </w:r>
    </w:p>
    <w:p>
      <w:pPr>
        <w:spacing w:after="0" w:line="117" w:lineRule="exact"/>
        <w:rPr>
          <w:sz w:val="20"/>
          <w:szCs w:val="20"/>
          <w:color w:val="auto"/>
        </w:rPr>
      </w:pPr>
    </w:p>
    <w:p>
      <w:pPr>
        <w:jc w:val="both"/>
        <w:ind w:firstLine="49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“Where You Can Find More Information.”</w:t>
      </w:r>
    </w:p>
    <w:p>
      <w:pPr>
        <w:spacing w:after="0" w:line="180"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4727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6130" cy="4727575"/>
                    </a:xfrm>
                    <a:prstGeom prst="rect">
                      <a:avLst/>
                    </a:prstGeom>
                    <a:noFill/>
                  </pic:spPr>
                </pic:pic>
              </a:graphicData>
            </a:graphic>
          </wp:anchor>
        </w:drawing>
        <w:t>PROSPECTUS SUMMARY</w:t>
      </w:r>
    </w:p>
    <w:p>
      <w:pPr>
        <w:spacing w:after="0" w:line="22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“ATHIRA PHARMA, INC.,” “we,” “our” and “us” refer, collectively, to ATHIRA PHARMA, INC., a Delaware corporation, and its subsidiaries taken as a whole.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19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Our lead candidate, ATH-1017, is a subcutaneous administered, BBB-penetrating, small molecule HGF/MET positive modulator. In our Phase 1a/1b clinical trial, ATH-1017 for the treatment of Alzheimer’s disease, or AD, was well tolerated with no serious adverse events. This clinical trial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our Phase 2/3 clinical trial for ATH-1017 that may provide pivotal data in support of registration, for the treatment of mild-to-moderate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in the first half of 2022. In July 2021, we announced that we are enrolling patients into an open-label extension study for our LIFT-AD and ACT-AD clinical trials, which will allow us to collect up to one year of safety and efficacy data on ATH-1017. In October 2021, we announced that we completed patient enrollment in our ACT-AD clinical trial. Beyond AD, we believe that ATH-1017 can potentially address the broader dementia patient population.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468" w:right="519" w:bottom="1440" w:gutter="0" w:footer="0" w:header="0"/>
        </w:sectPr>
      </w:pPr>
    </w:p>
    <w:bookmarkStart w:id="76" w:name="page77"/>
    <w:bookmarkEnd w:id="76"/>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882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6130" cy="7882255"/>
                    </a:xfrm>
                    <a:prstGeom prst="rect">
                      <a:avLst/>
                    </a:prstGeom>
                    <a:noFill/>
                  </pic:spPr>
                </pic:pic>
              </a:graphicData>
            </a:graphic>
          </wp:anchor>
        </w:drawing>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0" w:hanging="397"/>
        <w:spacing w:after="0"/>
        <w:tabs>
          <w:tab w:leader="none" w:pos="40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RoA: route of administration; SC: subcutaneous; PO: oral.</w:t>
      </w:r>
    </w:p>
    <w:p>
      <w:pPr>
        <w:spacing w:after="0" w:line="43" w:lineRule="exact"/>
        <w:rPr>
          <w:rFonts w:ascii="Times New Roman" w:cs="Times New Roman" w:eastAsia="Times New Roman" w:hAnsi="Times New Roman"/>
          <w:sz w:val="24"/>
          <w:szCs w:val="24"/>
          <w:color w:val="auto"/>
          <w:vertAlign w:val="superscript"/>
        </w:rPr>
      </w:pPr>
    </w:p>
    <w:p>
      <w:pPr>
        <w:ind w:left="400" w:hanging="397"/>
        <w:spacing w:after="0" w:line="189" w:lineRule="auto"/>
        <w:tabs>
          <w:tab w:leader="none" w:pos="400"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ATH-1017 for AD is in a Phase 2/3 clinical trial that may provide pivotal data in support of registration based on discussions with FDA.</w:t>
      </w:r>
    </w:p>
    <w:p>
      <w:pPr>
        <w:spacing w:after="0" w:line="43" w:lineRule="exact"/>
        <w:rPr>
          <w:rFonts w:ascii="Times New Roman" w:cs="Times New Roman" w:eastAsia="Times New Roman" w:hAnsi="Times New Roman"/>
          <w:sz w:val="19"/>
          <w:szCs w:val="19"/>
          <w:color w:val="auto"/>
          <w:vertAlign w:val="superscript"/>
        </w:rPr>
      </w:pPr>
    </w:p>
    <w:p>
      <w:pPr>
        <w:ind w:left="400" w:hanging="397"/>
        <w:spacing w:after="0" w:line="189" w:lineRule="auto"/>
        <w:tabs>
          <w:tab w:leader="none" w:pos="400"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PPD clinical development of ATH-1017 will be based on results from our Phase 1a/1b trial and include all required regulatory filings.</w:t>
      </w:r>
    </w:p>
    <w:p>
      <w:pPr>
        <w:spacing w:after="0" w:line="2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(206) 221-8115.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688" w:right="51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990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t>Preferred Stock</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Depositary Shares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issue fractional shares of preferred stock that will be represented by depositary shares and depositary receipts.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debt securities or depositary shares. We may offer warrants independently or together with other securities.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792" w:right="5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60"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54"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 We may also use a portion of the net proceeds to acquire, license or invest in complementary products, technologies or businesses; however, we currently have no agreements or commitments to complete any such transaction. The expected use of net proceeds of this offering represents our current intentions based on our present plans and business conditions. We cannot specify with certainty all of the particular uses for the net proceeds to be received upon the closing of this offering. Pending these uses, we plan to invest the net proceeds of this offering in short- and intermediate-term, interest-bearing obligations, investment-grade instruments, certificates of deposit or direct or guaranteed obligations of the U.S. government.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0" w:lineRule="exact"/>
        <w:rPr>
          <w:sz w:val="20"/>
          <w:szCs w:val="20"/>
          <w:color w:val="auto"/>
        </w:rPr>
      </w:pPr>
    </w:p>
    <w:p>
      <w:pPr>
        <w:ind w:firstLine="499"/>
        <w:spacing w:after="0" w:line="239" w:lineRule="exact"/>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4.3 to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filed with the SEC on March 25, 2021.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68" w:lineRule="exact"/>
        <w:rPr>
          <w:sz w:val="20"/>
          <w:szCs w:val="20"/>
          <w:color w:val="auto"/>
        </w:rPr>
      </w:pPr>
    </w:p>
    <w:p>
      <w:pPr>
        <w:ind w:left="720" w:hanging="213"/>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17" w:lineRule="exact"/>
        <w:rPr>
          <w:rFonts w:ascii="Times New Roman" w:cs="Times New Roman" w:eastAsia="Times New Roman" w:hAnsi="Times New Roman"/>
          <w:sz w:val="18"/>
          <w:szCs w:val="18"/>
          <w:color w:val="auto"/>
        </w:rPr>
      </w:pPr>
    </w:p>
    <w:p>
      <w:pPr>
        <w:jc w:val="both"/>
        <w:ind w:left="720" w:hanging="213"/>
        <w:spacing w:after="0" w:line="261"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1" w:lineRule="exact"/>
        <w:rPr>
          <w:rFonts w:ascii="Times New Roman" w:cs="Times New Roman" w:eastAsia="Times New Roman" w:hAnsi="Times New Roman"/>
          <w:sz w:val="18"/>
          <w:szCs w:val="18"/>
          <w:color w:val="auto"/>
        </w:rPr>
      </w:pPr>
    </w:p>
    <w:p>
      <w:pPr>
        <w:jc w:val="both"/>
        <w:ind w:left="720" w:hanging="213"/>
        <w:spacing w:after="0" w:line="266"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6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117" w:lineRule="exact"/>
        <w:rPr>
          <w:rFonts w:ascii="Times New Roman" w:cs="Times New Roman" w:eastAsia="Times New Roman" w:hAnsi="Times New Roman"/>
          <w:sz w:val="18"/>
          <w:szCs w:val="18"/>
          <w:color w:val="auto"/>
        </w:rPr>
      </w:pPr>
    </w:p>
    <w:p>
      <w:pPr>
        <w:jc w:val="both"/>
        <w:ind w:left="720" w:hanging="213"/>
        <w:spacing w:after="0" w:line="266"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6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ind w:left="720" w:hanging="213"/>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53"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3" w:lineRule="exact"/>
        <w:rPr>
          <w:rFonts w:ascii="Times New Roman" w:cs="Times New Roman" w:eastAsia="Times New Roman" w:hAnsi="Times New Roman"/>
          <w:sz w:val="18"/>
          <w:szCs w:val="18"/>
          <w:color w:val="auto"/>
        </w:rPr>
      </w:pPr>
    </w:p>
    <w:p>
      <w:pPr>
        <w:ind w:left="720" w:right="20" w:hanging="213"/>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3" w:lineRule="exact"/>
        <w:rPr>
          <w:rFonts w:ascii="Times New Roman" w:cs="Times New Roman" w:eastAsia="Times New Roman" w:hAnsi="Times New Roman"/>
          <w:sz w:val="18"/>
          <w:szCs w:val="18"/>
          <w:color w:val="auto"/>
        </w:rPr>
      </w:pPr>
    </w:p>
    <w:p>
      <w:pPr>
        <w:jc w:val="both"/>
        <w:ind w:left="720" w:hanging="213"/>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3"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require payment of a sum sufficient to cover any tax or other governmental charge payable in connection with a transfer or exchange.</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54" w:lineRule="exact"/>
        <w:rPr>
          <w:sz w:val="20"/>
          <w:szCs w:val="20"/>
          <w:color w:val="auto"/>
        </w:rPr>
      </w:pPr>
    </w:p>
    <w:p>
      <w:pPr>
        <w:ind w:left="720" w:hanging="213"/>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jc w:val="both"/>
        <w:ind w:left="720" w:hanging="213"/>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6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17" w:lineRule="exact"/>
        <w:rPr>
          <w:rFonts w:ascii="Times New Roman" w:cs="Times New Roman" w:eastAsia="Times New Roman" w:hAnsi="Times New Roman"/>
          <w:sz w:val="18"/>
          <w:szCs w:val="18"/>
          <w:color w:val="auto"/>
        </w:rPr>
      </w:pPr>
    </w:p>
    <w:p>
      <w:pPr>
        <w:jc w:val="both"/>
        <w:ind w:left="720" w:hanging="213"/>
        <w:spacing w:after="0" w:line="261"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71"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occurrence of certain Events of Default or an acceleration under the indenture may constitute an event of default under certain indebtedness of ours or our subsidiaries outstanding from time to time.</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4" w:lineRule="exact"/>
        <w:rPr>
          <w:sz w:val="20"/>
          <w:szCs w:val="20"/>
          <w:color w:val="auto"/>
        </w:rPr>
      </w:pPr>
    </w:p>
    <w:p>
      <w:pPr>
        <w:ind w:left="720" w:hanging="213"/>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117" w:lineRule="exact"/>
        <w:rPr>
          <w:rFonts w:ascii="Times New Roman" w:cs="Times New Roman" w:eastAsia="Times New Roman" w:hAnsi="Times New Roman"/>
          <w:sz w:val="18"/>
          <w:szCs w:val="18"/>
          <w:color w:val="auto"/>
        </w:rPr>
      </w:pPr>
    </w:p>
    <w:p>
      <w:pPr>
        <w:jc w:val="both"/>
        <w:ind w:left="720" w:hanging="213"/>
        <w:spacing w:after="0" w:line="261"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500"/>
        <w:spacing w:after="0"/>
        <w:tabs>
          <w:tab w:leader="none" w:pos="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cure any ambiguity, defect or inconsistency;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4" w:name="page85"/>
    <w:bookmarkEnd w:id="84"/>
    <w:p>
      <w:pPr>
        <w:ind w:left="720" w:hanging="213"/>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8" w:lineRule="exact"/>
        <w:rPr>
          <w:sz w:val="20"/>
          <w:szCs w:val="20"/>
          <w:color w:val="auto"/>
        </w:rPr>
      </w:pPr>
    </w:p>
    <w:p>
      <w:pPr>
        <w:ind w:left="720" w:hanging="213"/>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17" w:lineRule="exact"/>
        <w:rPr>
          <w:rFonts w:ascii="Times New Roman" w:cs="Times New Roman" w:eastAsia="Times New Roman" w:hAnsi="Times New Roman"/>
          <w:sz w:val="18"/>
          <w:szCs w:val="18"/>
          <w:color w:val="auto"/>
        </w:rPr>
      </w:pPr>
    </w:p>
    <w:p>
      <w:pPr>
        <w:jc w:val="both"/>
        <w:ind w:left="720" w:hanging="213"/>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17" w:lineRule="exact"/>
        <w:rPr>
          <w:rFonts w:ascii="Times New Roman" w:cs="Times New Roman" w:eastAsia="Times New Roman" w:hAnsi="Times New Roman"/>
          <w:sz w:val="18"/>
          <w:szCs w:val="18"/>
          <w:color w:val="auto"/>
        </w:rPr>
      </w:pPr>
    </w:p>
    <w:p>
      <w:pPr>
        <w:jc w:val="both"/>
        <w:ind w:left="720" w:hanging="213"/>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right="51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i w:val="1"/>
          <w:iCs w:val="1"/>
          <w:color w:val="auto"/>
        </w:rPr>
        <w:t>Legal Defeasance</w:t>
      </w: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18"/>
          <w:szCs w:val="18"/>
          <w:color w:val="auto"/>
        </w:rPr>
        <w:t>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3"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54" w:lineRule="exact"/>
        <w:rPr>
          <w:sz w:val="20"/>
          <w:szCs w:val="20"/>
          <w:color w:val="auto"/>
        </w:rPr>
      </w:pPr>
    </w:p>
    <w:p>
      <w:pPr>
        <w:ind w:left="720" w:hanging="213"/>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17" w:lineRule="exact"/>
        <w:rPr>
          <w:sz w:val="20"/>
          <w:szCs w:val="20"/>
          <w:color w:val="auto"/>
        </w:rPr>
      </w:pPr>
    </w:p>
    <w:p>
      <w:pPr>
        <w:jc w:val="both"/>
        <w:ind w:left="720" w:hanging="213"/>
        <w:spacing w:after="0" w:line="256"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79"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117" w:lineRule="exact"/>
        <w:rPr>
          <w:rFonts w:ascii="Times New Roman" w:cs="Times New Roman" w:eastAsia="Times New Roman" w:hAnsi="Times New Roman"/>
          <w:sz w:val="18"/>
          <w:szCs w:val="18"/>
          <w:color w:val="auto"/>
        </w:rPr>
      </w:pPr>
    </w:p>
    <w:p>
      <w:pPr>
        <w:ind w:left="720" w:right="20" w:hanging="213"/>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53" w:lineRule="exact"/>
        <w:rPr>
          <w:rFonts w:ascii="Times New Roman" w:cs="Times New Roman" w:eastAsia="Times New Roman" w:hAnsi="Times New Roman"/>
          <w:sz w:val="18"/>
          <w:szCs w:val="18"/>
          <w:color w:val="auto"/>
        </w:rPr>
      </w:pPr>
    </w:p>
    <w:p>
      <w:pPr>
        <w:jc w:val="both"/>
        <w:ind w:left="720" w:hanging="213"/>
        <w:spacing w:after="0" w:line="256"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72" w:lineRule="exact"/>
        <w:rPr>
          <w:sz w:val="20"/>
          <w:szCs w:val="20"/>
          <w:color w:val="auto"/>
        </w:rPr>
      </w:pPr>
    </w:p>
    <w:p>
      <w:pPr>
        <w:ind w:left="720" w:hanging="213"/>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75" w:lineRule="exact"/>
        <w:rPr>
          <w:sz w:val="20"/>
          <w:szCs w:val="20"/>
          <w:color w:val="auto"/>
        </w:rPr>
      </w:pPr>
    </w:p>
    <w:p>
      <w:pPr>
        <w:ind w:left="720" w:hanging="213"/>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720" w:right="20" w:hanging="213"/>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ind w:left="720" w:right="20" w:hanging="213"/>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53"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53"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54" w:lineRule="exact"/>
        <w:rPr>
          <w:sz w:val="20"/>
          <w:szCs w:val="20"/>
          <w:color w:val="auto"/>
        </w:rPr>
      </w:pPr>
    </w:p>
    <w:p>
      <w:pPr>
        <w:ind w:left="720" w:hanging="213"/>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53" w:lineRule="exact"/>
        <w:rPr>
          <w:rFonts w:ascii="Times New Roman" w:cs="Times New Roman" w:eastAsia="Times New Roman" w:hAnsi="Times New Roman"/>
          <w:sz w:val="18"/>
          <w:szCs w:val="18"/>
          <w:color w:val="auto"/>
        </w:rPr>
      </w:pPr>
    </w:p>
    <w:p>
      <w:pPr>
        <w:ind w:left="720" w:right="20" w:hanging="213"/>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0" w:name="page91"/>
    <w:bookmarkEnd w:id="90"/>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7"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54" w:lineRule="exact"/>
        <w:rPr>
          <w:sz w:val="20"/>
          <w:szCs w:val="20"/>
          <w:color w:val="auto"/>
        </w:rPr>
      </w:pPr>
    </w:p>
    <w:p>
      <w:pPr>
        <w:ind w:left="720" w:right="20" w:hanging="213"/>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53"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17"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8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54" w:lineRule="exact"/>
        <w:rPr>
          <w:sz w:val="20"/>
          <w:szCs w:val="20"/>
          <w:color w:val="auto"/>
        </w:rPr>
      </w:pPr>
    </w:p>
    <w:p>
      <w:pPr>
        <w:ind w:left="720" w:hanging="213"/>
        <w:spacing w:after="0" w:line="282"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17" w:lineRule="exact"/>
        <w:rPr>
          <w:sz w:val="20"/>
          <w:szCs w:val="20"/>
          <w:color w:val="auto"/>
        </w:rPr>
      </w:pPr>
    </w:p>
    <w:p>
      <w:pPr>
        <w:ind w:left="720" w:hanging="213"/>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17" w:lineRule="exact"/>
        <w:rPr>
          <w:sz w:val="20"/>
          <w:szCs w:val="20"/>
          <w:color w:val="auto"/>
        </w:rPr>
      </w:pPr>
    </w:p>
    <w:p>
      <w:pPr>
        <w:ind w:left="720" w:hanging="213"/>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ind w:firstLine="499"/>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54" w:lineRule="exact"/>
        <w:rPr>
          <w:sz w:val="20"/>
          <w:szCs w:val="20"/>
          <w:color w:val="auto"/>
        </w:rPr>
      </w:pPr>
    </w:p>
    <w:p>
      <w:pPr>
        <w:ind w:left="720" w:hanging="213"/>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If a dealer is utilized in the sale of the securities in respect of which the prospectus is delivered, we will sell such securities to the dealer, as principal.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dealer may then resell such securities to the public at varying prices to be determined by such dealer at the time of resale.</w:t>
      </w:r>
    </w:p>
    <w:p>
      <w:pPr>
        <w:spacing w:after="0" w:line="207"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9" w:lineRule="exact"/>
        <w:rPr>
          <w:sz w:val="20"/>
          <w:szCs w:val="20"/>
          <w:color w:val="auto"/>
        </w:rPr>
      </w:pPr>
    </w:p>
    <w:p>
      <w:pPr>
        <w:ind w:left="720" w:hanging="213"/>
        <w:spacing w:after="0" w:line="282"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8"/>
          <w:szCs w:val="18"/>
          <w:color w:val="auto"/>
        </w:rPr>
      </w:pPr>
    </w:p>
    <w:p>
      <w:pPr>
        <w:ind w:left="720" w:hanging="213"/>
        <w:spacing w:after="0" w:line="282"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8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Seattle, Washington. Additional legal matters may be passed on for us, or any underwriters, dealers or agents by counsel we will name in the applicable prospectus supplement. Certain members of, and investment partnerships comprised of members of, and persons associated with, Wilson Sonsini Goodrich &amp; Rosati, P.C. own less than 1%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2020,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https://www.athira.com/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86" w:lineRule="exact"/>
        <w:rPr>
          <w:sz w:val="20"/>
          <w:szCs w:val="20"/>
          <w:color w:val="auto"/>
        </w:rPr>
      </w:pPr>
    </w:p>
    <w:p>
      <w:pPr>
        <w:ind w:left="720" w:hanging="213"/>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122">
        <w:r>
          <w:rPr>
            <w:rFonts w:ascii="Times New Roman" w:cs="Times New Roman" w:eastAsia="Times New Roman" w:hAnsi="Times New Roman"/>
            <w:sz w:val="18"/>
            <w:szCs w:val="18"/>
            <w:u w:val="single" w:color="auto"/>
            <w:color w:val="0000FF"/>
          </w:rPr>
          <w:t>December 31, 2020</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123">
        <w:r>
          <w:rPr>
            <w:rFonts w:ascii="Times New Roman" w:cs="Times New Roman" w:eastAsia="Times New Roman" w:hAnsi="Times New Roman"/>
            <w:sz w:val="18"/>
            <w:szCs w:val="18"/>
            <w:u w:val="single" w:color="auto"/>
            <w:color w:val="0000FF"/>
          </w:rPr>
          <w:t>March 31, 2021</w:t>
        </w:r>
      </w:hyperlink>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u w:val="single" w:color="auto"/>
            <w:color w:val="0000FF"/>
          </w:rPr>
          <w:t>June 30,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5">
        <w:r>
          <w:rPr>
            <w:rFonts w:ascii="Times New Roman" w:cs="Times New Roman" w:eastAsia="Times New Roman" w:hAnsi="Times New Roman"/>
            <w:sz w:val="18"/>
            <w:szCs w:val="18"/>
            <w:u w:val="single" w:color="auto"/>
            <w:color w:val="0000FF"/>
          </w:rPr>
          <w:t>September 30, 2021</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ind w:left="220" w:right="20" w:hanging="213"/>
        <w:spacing w:after="0" w:line="235" w:lineRule="exact"/>
        <w:tabs>
          <w:tab w:leader="none" w:pos="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portions of our Definitive Proxy Statement on Schedule 14A (other than information furnished rather than filed) that are incorporated by reference into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filed with the SEC on </w:t>
      </w:r>
      <w:hyperlink r:id="rId127">
        <w:r>
          <w:rPr>
            <w:rFonts w:ascii="Times New Roman" w:cs="Times New Roman" w:eastAsia="Times New Roman" w:hAnsi="Times New Roman"/>
            <w:sz w:val="18"/>
            <w:szCs w:val="18"/>
            <w:u w:val="single" w:color="auto"/>
            <w:color w:val="0000FF"/>
          </w:rPr>
          <w:t>April 16, 2021</w:t>
        </w:r>
      </w:hyperlink>
      <w:r>
        <w:rPr>
          <w:rFonts w:ascii="Times New Roman" w:cs="Times New Roman" w:eastAsia="Times New Roman" w:hAnsi="Times New Roman"/>
          <w:sz w:val="18"/>
          <w:szCs w:val="18"/>
          <w:color w:val="auto"/>
        </w:rPr>
        <w:t>;</w:t>
      </w:r>
    </w:p>
    <w:p>
      <w:pPr>
        <w:spacing w:after="0" w:line="70" w:lineRule="exact"/>
        <w:rPr>
          <w:rFonts w:ascii="Times New Roman" w:cs="Times New Roman" w:eastAsia="Times New Roman" w:hAnsi="Times New Roman"/>
          <w:sz w:val="18"/>
          <w:szCs w:val="18"/>
          <w:color w:val="auto"/>
        </w:rPr>
      </w:pPr>
    </w:p>
    <w:p>
      <w:pPr>
        <w:ind w:left="220" w:hanging="213"/>
        <w:spacing w:after="0" w:line="282" w:lineRule="auto"/>
        <w:tabs>
          <w:tab w:leader="none" w:pos="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28">
        <w:r>
          <w:rPr>
            <w:rFonts w:ascii="Times New Roman" w:cs="Times New Roman" w:eastAsia="Times New Roman" w:hAnsi="Times New Roman"/>
            <w:sz w:val="18"/>
            <w:szCs w:val="18"/>
            <w:u w:val="single" w:color="auto"/>
            <w:color w:val="0000FF"/>
          </w:rPr>
          <w:t>January 11, 2021</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0000FF"/>
          </w:rPr>
          <w:t>March 8, 2021</w:t>
        </w:r>
      </w:hyperlink>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u w:val="single" w:color="auto"/>
            <w:color w:val="0000FF"/>
          </w:rPr>
          <w:t>June 1, 2021</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0000FF"/>
          </w:rPr>
          <w:t>June 21, 2021</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FF"/>
          </w:rPr>
          <w:t>August 9,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33">
        <w:r>
          <w:rPr>
            <w:rFonts w:ascii="Times New Roman" w:cs="Times New Roman" w:eastAsia="Times New Roman" w:hAnsi="Times New Roman"/>
            <w:sz w:val="18"/>
            <w:szCs w:val="18"/>
            <w:u w:val="single" w:color="auto"/>
            <w:color w:val="0000FF"/>
          </w:rPr>
          <w:t>October 21, 2021</w:t>
        </w:r>
      </w:hyperlink>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220" w:hanging="213"/>
        <w:spacing w:after="0" w:line="282" w:lineRule="auto"/>
        <w:tabs>
          <w:tab w:leader="none" w:pos="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Form 8-A relating thereto, filed on </w:t>
      </w:r>
      <w:hyperlink r:id="rId96">
        <w:r>
          <w:rPr>
            <w:rFonts w:ascii="Times New Roman" w:cs="Times New Roman" w:eastAsia="Times New Roman" w:hAnsi="Times New Roman"/>
            <w:sz w:val="18"/>
            <w:szCs w:val="18"/>
            <w:u w:val="single" w:color="auto"/>
            <w:color w:val="0000FF"/>
          </w:rPr>
          <w:t>September 9, 2020</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ATHIRA PHARMA, INC.</w:t>
      </w:r>
    </w:p>
    <w:p>
      <w:pPr>
        <w:spacing w:after="0" w:line="27" w:lineRule="exact"/>
        <w:rPr>
          <w:rFonts w:ascii="Times New Roman" w:cs="Times New Roman" w:eastAsia="Times New Roman" w:hAnsi="Times New Roman"/>
          <w:sz w:val="18"/>
          <w:szCs w:val="18"/>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18706 North Creek Parkway, Suite 104</w:t>
      </w:r>
    </w:p>
    <w:p>
      <w:pPr>
        <w:spacing w:after="0" w:line="9" w:lineRule="exact"/>
        <w:rPr>
          <w:rFonts w:ascii="Times New Roman" w:cs="Times New Roman" w:eastAsia="Times New Roman" w:hAnsi="Times New Roman"/>
          <w:sz w:val="18"/>
          <w:szCs w:val="18"/>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Bothell, Washington 98011</w:t>
      </w:r>
    </w:p>
    <w:p>
      <w:pPr>
        <w:spacing w:after="0" w:line="9" w:lineRule="exact"/>
        <w:rPr>
          <w:rFonts w:ascii="Times New Roman" w:cs="Times New Roman" w:eastAsia="Times New Roman" w:hAnsi="Times New Roman"/>
          <w:sz w:val="18"/>
          <w:szCs w:val="18"/>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000" w:hanging="438"/>
        <w:spacing w:after="0"/>
        <w:tabs>
          <w:tab w:leader="none" w:pos="5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620-8501</w:t>
      </w:r>
    </w:p>
    <w:p>
      <w:pPr>
        <w:spacing w:after="0" w:line="206"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45" w:right="3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5944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 to $75,000,000</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581660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621030</wp:posOffset>
            </wp:positionV>
            <wp:extent cx="1148715"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11487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577215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1087120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amp;"/>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lvl w:ilvl="1">
      <w:lvlJc w:val="left"/>
      <w:lvlText w:val="(%2)"/>
      <w:numFmt w:val="lowerRoman"/>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1)"/>
      <w:numFmt w:val="decimal"/>
      <w:start w:val="425"/>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1)"/>
      <w:numFmt w:val="decimal"/>
      <w:start w:val="4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jpe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6"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jpe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89" Type="http://schemas.openxmlformats.org/officeDocument/2006/relationships/hyperlink" Target="https://www.sec.gov/ix?doc=/Archives/edgar/data/0001620463/000095017022004782/atha-20211231.htm" TargetMode="External"/><Relationship Id="rId90" Type="http://schemas.openxmlformats.org/officeDocument/2006/relationships/hyperlink" Target="https://www.sec.gov/ix?doc=/Archives/edgar/data/0001620463/000095017022009683/atha-20220331.htm" TargetMode="External"/><Relationship Id="rId91" Type="http://schemas.openxmlformats.org/officeDocument/2006/relationships/hyperlink" Target="https://www.sec.gov/ix?doc=/Archives/edgar/data/0001620463/000095017022017421/atha-20220630.htm" TargetMode="External"/><Relationship Id="rId92" Type="http://schemas.openxmlformats.org/officeDocument/2006/relationships/hyperlink" Target="https://www.sec.gov/ix?doc=/Archives/edgar/data/0001620463/000095017022024499/atha-20220930.htm" TargetMode="External"/><Relationship Id="rId93" Type="http://schemas.openxmlformats.org/officeDocument/2006/relationships/hyperlink" Target="https://www.sec.gov/Archives/edgar/data/1620463/000156459022013569/atha-defc14a_20220519.htm" TargetMode="External"/><Relationship Id="rId94" Type="http://schemas.openxmlformats.org/officeDocument/2006/relationships/hyperlink" Target="https://www.sec.gov/ix?doc=/Archives/edgar/data/0001620463/000095017022019592/atha-20221017.htm" TargetMode="External"/><Relationship Id="rId95" Type="http://schemas.openxmlformats.org/officeDocument/2006/relationships/hyperlink" Target="https://www.sec.gov/ix?doc=/Archives/edgar/data/0001620463/000095017022025442/atha-20221115.htm" TargetMode="External"/><Relationship Id="rId96" Type="http://schemas.openxmlformats.org/officeDocument/2006/relationships/hyperlink" Target="https://www.sec.gov/Archives/edgar/data/1620463/000095012320009608/atha-8a12b.htm" TargetMode="External"/><Relationship Id="rId122" Type="http://schemas.openxmlformats.org/officeDocument/2006/relationships/hyperlink" Target="https://www.sec.gov/Archives/edgar/data/1620463/000156459021015495/atha-10k_20201231.htm" TargetMode="External"/><Relationship Id="rId123" Type="http://schemas.openxmlformats.org/officeDocument/2006/relationships/hyperlink" Target="https://www.sec.gov/ix?doc=/Archives/edgar/data/0001620463/000156459021027607/atha-10q_20210331.htm" TargetMode="External"/><Relationship Id="rId124" Type="http://schemas.openxmlformats.org/officeDocument/2006/relationships/hyperlink" Target="https://www.sec.gov/ix?doc=/Archives/edgar/data/0001620463/000156459021044641/atha-10q_20210630.htm" TargetMode="External"/><Relationship Id="rId125" Type="http://schemas.openxmlformats.org/officeDocument/2006/relationships/hyperlink" Target="https://www.sec.gov/ix?doc=/Archives/edgar/data/0001620463/000095017021004091/atha-20210930.htm" TargetMode="External"/><Relationship Id="rId127" Type="http://schemas.openxmlformats.org/officeDocument/2006/relationships/hyperlink" Target="https://www.sec.gov/Archives/edgar/data/1620463/000156459021019074/atha-def14a_20201231.htm" TargetMode="External"/><Relationship Id="rId128" Type="http://schemas.openxmlformats.org/officeDocument/2006/relationships/hyperlink" Target="https://www.sec.gov/Archives/edgar/data/1620463/000156459021000725/atha-8k_20210108.htm" TargetMode="External"/><Relationship Id="rId129" Type="http://schemas.openxmlformats.org/officeDocument/2006/relationships/hyperlink" Target="https://www.sec.gov/Archives/edgar/data/1620463/000156459021011353/atha-8k_20210304.htm" TargetMode="External"/><Relationship Id="rId130" Type="http://schemas.openxmlformats.org/officeDocument/2006/relationships/hyperlink" Target="https://www.sec.gov/ix?doc=/Archives/edgar/data/0001620463/000156459021031155/atha-8k_20210527.htm" TargetMode="External"/><Relationship Id="rId131" Type="http://schemas.openxmlformats.org/officeDocument/2006/relationships/hyperlink" Target="https://www.sec.gov/ix?doc=/Archives/edgar/data/0001620463/000119312521193538/d140684d8k.htm" TargetMode="External"/><Relationship Id="rId132" Type="http://schemas.openxmlformats.org/officeDocument/2006/relationships/hyperlink" Target="https://www.sec.gov/ix?doc=/Archives/edgar/data/0001620463/000119312521239806/d174014d8k.htm" TargetMode="External"/><Relationship Id="rId133" Type="http://schemas.openxmlformats.org/officeDocument/2006/relationships/hyperlink" Target="https://www.sec.gov/ix?doc=/Archives/edgar/data/0001620463/000119312521304002/d17922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2023-01-06T16:32:19Z</dcterms:created>
  <dcterms:modified xsi:type="dcterms:W3CDTF">2023-01-06T16:32:19Z</dcterms:modified>
</cp:coreProperties>
</file>