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ha-20241016.htm"/>
      <w:bookmarkStart w:id="1" w:name="ksatha20241016"/>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bookmarkStart w:id="2" w:name="agm_results"/>
      <w:bookmarkEnd w:id="2"/>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October 16, 2024</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Athira Pharma,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ATHA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 LLC</w:t>
            </w:r>
            <w:r>
              <w:rPr>
                <w:rFonts w:ascii="Times New Roman" w:hAnsi="Times New Roman"/>
                <w:color w:val="000000"/>
                <w:sz w:val="20"/>
              </w:rPr>
              <w:t> </w:t>
            </w:r>
            <w:r>
              <w:rPr>
                <w:rFonts w:ascii="Times New Roman" w:hAnsi="Times New Roman"/>
                <w:color w:val="000000"/>
                <w:sz w:val="18"/>
              </w:rPr>
              <w:br/>
              <w:t>(The Nasdaq Global Select Market)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16, 2024, Athira Pharma, Inc. (the “Company”) received a notification letter (the “Bid Price Notice”) from the Listing Qualifications Department of The Nasdaq Stock Market, LLC (“Nasdaq”) notifying the Company that, based on the closing bid price of the Company’s common stock, par value $0.0001 per share (the “Common Stock”), for the preceding 30 consecutive business days, the Company was not in compliance with the minimum bid price requirement for continued listing on The Nasdaq Global Select Market.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business days.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Bid Price Notice has no immediate effect on the listing of the Common Stock, which continues to trade on The Nasdaq Global Select Market under the symbol “ATHA”. Pursuant to Nasdaq Listing Rule 5810(c)(3)(A), the Company has an initial compliance period of 180 calendar days, or until April 14, 2025, to regain compliance with the Minimum Bid Price Requirement. To regain compliance, the closing bid price of the Common Stock must be at least $1.00 per share for a minimum of 10 consecutive business days during the 180 day period on or prior to April 14, 2025, and the Company must otherwise satisfy The Nasdaq Global Select Market’s requirements for 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the Company does not regain compliance with the Minimum Bid Price Requirement by April 14, 2025, the Company may be eligible for additional time to regain compliance by transferring to the Nasdaq Capital Market. To qualify, the Company will be required to meet the continued listing requirements for the market value of publicly held shares and all other initial listing standards for The Nasdaq Capital Market, with the exception of the Minimum Bid Price Requirement, and will need to provide written notice of its intention to cure the deficiency during the second compliance period, by effecting a reverse stock split, if necessary. If the Company meets these requirements, the Company will be granted an additional 180 calendar days to regain compliance with the Minimum Bid Price Requirement. If it does not appear to Nasdaq that it is possible for the Company to cure the deficiency, or if the Company does not qualify for or fails to regain compliance with the Minimum Bid Price Requirement during the second compliance period, then the Nasdaq staff will provide written notification to the Company that the Common Stock will be subject to delisting. The Company would then be entitled to appeal that determination to a Nasdaq hearings panel.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intends to actively monitor the closing bid price of its Common Stock and will consider all available options to regain compliance with the Minimum Bid Price Requirement, which may include seeking stockholder approval to effect a reverse stock split. There can be no assurance that the Company will regain compliance within the Minimum Bid Price Requirement during the 180-day compliance period, secure a second 180-day period to regain compliance, or maintain compliance with the other Nasdaq listing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intends to file a registration statement on Form S-3 with the Securities and Exchange Commission (the “2024 Registration Statement”) on or about the date hereof. The 2024 Registration Statement is expected to be filed in the ordinary course of business due to the impending expiration of the Company’s existing shelf registration statement on Form S-3, which expires on November 24, 2024 (the “2021 Registration Statement”). Upon its effectiveness, the Company may use the 2024 Registration Statement to offer and sell securities having an aggregate offering amount of no more than $300,000,000, which is the amount that was registered but not previously sold under the 2021 Registration Statement. The 2024 Registration Statement, once effective, will continue to provide the Company with flexibility to access the public capital markets in response to financing and business opportunities that may arise from time to time over its expected three-year term. This Current Report on Form 8-K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Forward-Looking Statements</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Section 27A of the Securities Act and Section 21E of the Securities Exchange Act of 1934, as amended. Forward-looking statements generally relate to future events.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the proposed transaction and the Company’s expectations, strategy, plans or intentions regarding it. Forward-looking statements in this Current Report on Form 8-K include, but are not limited to, the Company’s intent and ability to regain compliance with the Minimum Bid Price Requirement, the Company’s potential eligibility for an additional compliance period, the Company’s intent to file a registration statement on Form S-3, and the Company’s ability to access the public capital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forward-looking statements included in this Current Report on Form 8-K are made as of the date of this report, based on information currently available to the Company, deal with future events, and are subject to various risks and uncertainties, including the risk that the Company may not meet the Minimum Bid Price Requirement by the required compliance date or in the future, the risk that the Company may not otherwise meet the requirements for continued listing under the Nasdaq listing rules, the risk that Nasdaq may not grant the Company relief from delisting if necessary, the risk that the Company may not ultimately meet applicable Nasdaq requirements if any such relief is necessary, the risk that the Company may not file a registration statement on Form S-3, the risk that the proposed registration statement on Form S-3 may not be declared effective, among other risks and uncertainties, and actual results could differ materially from those anticipated in those forward-looking statements. The risks and uncertainties that may cause actual results to differ materially from the Company’s current expectations are more fully described in the Company’s Annual Report on Form 10-K filed with the SEC on February 22, 2024, any subsequently filed Quarterly Reports on Form 10-Q, and its other reports, each as filed with the SEC. Except as required by law, the Company assumes no obligation to update any such forward-looking statement after the date of this report or to conform these forward-looking statements to actual results.</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689" w:type="dxa"/>
        <w:jc w:val="left"/>
        <w:tblInd w:w="0" w:type="dxa"/>
        <w:tblLayout w:type="fixed"/>
        <w:tblCellMar>
          <w:top w:w="28" w:type="dxa"/>
          <w:left w:w="28" w:type="dxa"/>
          <w:bottom w:w="28" w:type="dxa"/>
          <w:right w:w="28" w:type="dxa"/>
        </w:tblCellMar>
      </w:tblPr>
      <w:tblGrid>
        <w:gridCol w:w="556"/>
        <w:gridCol w:w="1516"/>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Athira 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October 18,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1531</Words>
  <Characters>8301</Characters>
  <CharactersWithSpaces>9816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