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91"/>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226" w:right="47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160"/>
          </w:cols>
          <w:pgMar w:left="320" w:top="1226"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ATHA</w:t>
      </w:r>
    </w:p>
    <w:p>
      <w:pPr>
        <w:spacing w:after="0" w:line="20" w:lineRule="exact"/>
        <w:rPr>
          <w:sz w:val="24"/>
          <w:szCs w:val="24"/>
          <w:color w:val="auto"/>
        </w:rPr>
      </w:pPr>
      <w:r>
        <w:rPr>
          <w:sz w:val="24"/>
          <w:szCs w:val="24"/>
          <w:color w:val="auto"/>
        </w:rPr>
        <w:br w:type="column"/>
      </w:r>
    </w:p>
    <w:p>
      <w:pPr>
        <w:jc w:val="right"/>
        <w:ind w:right="82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88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87" w:lineRule="exact"/>
        <w:rPr>
          <w:sz w:val="24"/>
          <w:szCs w:val="24"/>
          <w:color w:val="auto"/>
        </w:rPr>
      </w:pPr>
    </w:p>
    <w:p>
      <w:pPr>
        <w:sectPr>
          <w:pgSz w:w="11900" w:h="16838" w:orient="portrait"/>
          <w:cols w:equalWidth="0" w:num="3">
            <w:col w:w="4680" w:space="720"/>
            <w:col w:w="2120" w:space="720"/>
            <w:col w:w="2860"/>
          </w:cols>
          <w:pgMar w:left="320" w:top="1226"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On August 7, 2025, Athira Pharma, Inc. (the “Company”) issued a press release reporting its financial results for the quarter ended June 30, 2025. A copy of the press release is furnished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7.01 Regulation FD Disclosure.</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Athira Pharma, Inc. press release dated August 7,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58"/>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3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Athira Pharma, Inc.</w:t>
            </w:r>
          </w:p>
        </w:tc>
      </w:tr>
      <w:tr>
        <w:trPr>
          <w:trHeight w:val="432"/>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August 7, 2025</w:t>
            </w:r>
          </w:p>
        </w:tc>
        <w:tc>
          <w:tcPr>
            <w:tcW w:w="24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Litton</w:t>
            </w:r>
          </w:p>
        </w:tc>
      </w:tr>
      <w:tr>
        <w:trPr>
          <w:trHeight w:val="191"/>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37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6350</wp:posOffset>
            </wp:positionV>
            <wp:extent cx="1491615"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Athira Pharma Reports Second Quarter 2025 Financial Results and Provides Business Update</w:t>
      </w:r>
    </w:p>
    <w:p>
      <w:pPr>
        <w:spacing w:after="0" w:line="175"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Data from Phase 1 clinical trial of ATH-1105 in healthy volunteers showed a favorable safety and tolerability profile; dose proportional pharmacokinetics and CNS penetration support continued clinical development</w:t>
      </w:r>
    </w:p>
    <w:p>
      <w:pPr>
        <w:spacing w:after="0" w:line="200" w:lineRule="exact"/>
        <w:rPr>
          <w:sz w:val="20"/>
          <w:szCs w:val="20"/>
          <w:color w:val="auto"/>
        </w:rPr>
      </w:pPr>
    </w:p>
    <w:p>
      <w:pPr>
        <w:spacing w:after="0" w:line="256"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BOTHELL, Wash., August 7, 2025 – Athira Pharma, Inc. </w:t>
      </w:r>
      <w:r>
        <w:rPr>
          <w:rFonts w:ascii="Arial" w:cs="Arial" w:eastAsia="Arial" w:hAnsi="Arial"/>
          <w:sz w:val="20"/>
          <w:szCs w:val="20"/>
          <w:color w:val="auto"/>
        </w:rPr>
        <w:t>(NASDAQ: ATHA), a clinical stage biopharmaceutical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focused on developing small molecules to restore neuronal health and slow neurodegeneration, today reported financial results for the quarter ended June 30, 2025, and provided recent pipeline and business updates.</w:t>
      </w:r>
    </w:p>
    <w:p>
      <w:pPr>
        <w:spacing w:after="0" w:line="170"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“We are pleased with the progress we made in the first half of 2025 advancing ATH-1105 as a potential therapy for ALS,” said Mark Litton, Ph.D., President and Chief Executive Officer of Athira. “In May, we announced encouraging first-in-human safety and pharmacokinetic data from our Phase 1 clinical trial of ATH-1105 at the Annual ALS Drug Development Summit. The data presented showed favorable safety and tolerability in healthy volunteers and dose proportional pharmacokinetics and CNS penetration, which support ATH-1105’s continued development. We have substantially completed preparation activities to enable initiation of a future clinical trial in people living with ALS by us or in conjunction with a partner subject to our continued exploration of strategic alternatives focused on maximizing stockholder value. We look forward to providing an update regarding our plans in the near future.”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Development &amp; Pipeline Programs</w:t>
      </w:r>
    </w:p>
    <w:p>
      <w:pPr>
        <w:spacing w:after="0" w:line="204" w:lineRule="exact"/>
        <w:rPr>
          <w:sz w:val="20"/>
          <w:szCs w:val="20"/>
          <w:color w:val="auto"/>
        </w:rPr>
      </w:pPr>
    </w:p>
    <w:p>
      <w:pPr>
        <w:ind w:right="580"/>
        <w:spacing w:after="0" w:line="241" w:lineRule="auto"/>
        <w:rPr>
          <w:sz w:val="20"/>
          <w:szCs w:val="20"/>
          <w:color w:val="auto"/>
        </w:rPr>
      </w:pPr>
      <w:r>
        <w:rPr>
          <w:rFonts w:ascii="Arial" w:cs="Arial" w:eastAsia="Arial" w:hAnsi="Arial"/>
          <w:sz w:val="20"/>
          <w:szCs w:val="20"/>
          <w:color w:val="auto"/>
        </w:rPr>
        <w:t>Athira’s drug development pipeline includes next-generation small molecule drug candidates designed to promote the neurotrophic hepatocyte growth factor (HGF) system, which activates neuroprotective, neurotrophic and anti-inflammatory pathways in the central nervous system.</w:t>
      </w:r>
    </w:p>
    <w:p>
      <w:pPr>
        <w:spacing w:after="0" w:line="169"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b w:val="1"/>
          <w:bCs w:val="1"/>
          <w:color w:val="auto"/>
        </w:rPr>
        <w:t xml:space="preserve">ATH-1105 </w:t>
      </w:r>
      <w:r>
        <w:rPr>
          <w:rFonts w:ascii="Arial" w:cs="Arial" w:eastAsia="Arial" w:hAnsi="Arial"/>
          <w:sz w:val="20"/>
          <w:szCs w:val="20"/>
          <w:color w:val="auto"/>
        </w:rPr>
        <w:t>– A novel, orally available, brain-penetrant, next-generation small molecule drug candidate designed to positively</w:t>
      </w:r>
      <w:r>
        <w:rPr>
          <w:rFonts w:ascii="Arial" w:cs="Arial" w:eastAsia="Arial" w:hAnsi="Arial"/>
          <w:sz w:val="20"/>
          <w:szCs w:val="20"/>
          <w:b w:val="1"/>
          <w:bCs w:val="1"/>
          <w:color w:val="auto"/>
        </w:rPr>
        <w:t xml:space="preserve"> </w:t>
      </w:r>
      <w:r>
        <w:rPr>
          <w:rFonts w:ascii="Arial" w:cs="Arial" w:eastAsia="Arial" w:hAnsi="Arial"/>
          <w:sz w:val="20"/>
          <w:szCs w:val="20"/>
          <w:color w:val="auto"/>
        </w:rPr>
        <w:t>modulate the neurotrophic HGF system for potential treatment of neurodegenerative diseases, including amyotrophic lateral sclerosis (ALS), Alzheimer’s disease, and Parkinson’s disease. ATH-1105 is currently in clinical development for the potential treatment of ALS.</w:t>
      </w:r>
    </w:p>
    <w:p>
      <w:pPr>
        <w:spacing w:after="0" w:line="185" w:lineRule="exact"/>
        <w:rPr>
          <w:sz w:val="20"/>
          <w:szCs w:val="20"/>
          <w:color w:val="auto"/>
        </w:rPr>
      </w:pPr>
    </w:p>
    <w:p>
      <w:pPr>
        <w:ind w:left="760" w:right="20" w:hanging="378"/>
        <w:spacing w:after="0" w:line="211"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 May 2025, Athira presented data from the first-in-human Phase 1 clinical trial (</w:t>
      </w:r>
      <w:r>
        <w:rPr>
          <w:rFonts w:ascii="Arial" w:cs="Arial" w:eastAsia="Arial" w:hAnsi="Arial"/>
          <w:sz w:val="20"/>
          <w:szCs w:val="20"/>
          <w:u w:val="single" w:color="auto"/>
          <w:color w:val="467886"/>
        </w:rPr>
        <w:t>NCT 06432647</w:t>
      </w:r>
      <w:r>
        <w:rPr>
          <w:rFonts w:ascii="Arial" w:cs="Arial" w:eastAsia="Arial" w:hAnsi="Arial"/>
          <w:sz w:val="20"/>
          <w:szCs w:val="20"/>
          <w:color w:val="auto"/>
        </w:rPr>
        <w:t>) of ATH-1105 at the 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Annual ALS Drug Development Summit. Key highlights from the presentation include:</w:t>
      </w:r>
    </w:p>
    <w:p>
      <w:pPr>
        <w:ind w:left="1140"/>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ATH-1105 has demonstrated consistent and robust beneficial effects in preclinical models of ALS</w:t>
      </w:r>
    </w:p>
    <w:p>
      <w:pPr>
        <w:ind w:left="1500" w:right="80" w:hanging="374"/>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ATH-1105 showed a favorable safety profile and was well tolerated in both single and multiple ascending dose</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studies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left="1500" w:hanging="369"/>
        <w:spacing w:after="0"/>
        <w:tabs>
          <w:tab w:leader="none" w:pos="150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ATH-1105 showed dose proportional pharmacokinetics and central nervous system (CNS) penetration</w:t>
      </w:r>
    </w:p>
    <w:p>
      <w:pPr>
        <w:spacing w:after="0" w:line="16" w:lineRule="exact"/>
        <w:rPr>
          <w:rFonts w:ascii="Times New Roman" w:cs="Times New Roman" w:eastAsia="Times New Roman" w:hAnsi="Times New Roman"/>
          <w:sz w:val="20"/>
          <w:szCs w:val="20"/>
          <w:color w:val="auto"/>
        </w:rPr>
      </w:pPr>
    </w:p>
    <w:p>
      <w:pPr>
        <w:ind w:left="760" w:hanging="378"/>
        <w:spacing w:after="0" w:line="225"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Athira conducted the first-in-human Phase 1 (</w:t>
      </w:r>
      <w:r>
        <w:rPr>
          <w:rFonts w:ascii="Arial" w:cs="Arial" w:eastAsia="Arial" w:hAnsi="Arial"/>
          <w:sz w:val="20"/>
          <w:szCs w:val="20"/>
          <w:u w:val="single" w:color="auto"/>
          <w:color w:val="467886"/>
        </w:rPr>
        <w:t>NCT 06432647</w:t>
      </w:r>
      <w:r>
        <w:rPr>
          <w:rFonts w:ascii="Arial" w:cs="Arial" w:eastAsia="Arial" w:hAnsi="Arial"/>
          <w:sz w:val="20"/>
          <w:szCs w:val="20"/>
          <w:color w:val="auto"/>
        </w:rPr>
        <w:t>) double-blind, placebo-controlled clinical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1" w:lineRule="exact"/>
        <w:rPr>
          <w:rFonts w:ascii="Times New Roman" w:cs="Times New Roman" w:eastAsia="Times New Roman" w:hAnsi="Times New Roman"/>
          <w:sz w:val="20"/>
          <w:szCs w:val="20"/>
          <w:color w:val="auto"/>
        </w:rPr>
      </w:pPr>
    </w:p>
    <w:p>
      <w:pPr>
        <w:ind w:left="760" w:right="120" w:hanging="378"/>
        <w:spacing w:after="0" w:line="234"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ATH-1105’s potential is supported by a growing body of preclinical evidence demonstrating statistically significant improvements in nerve and motor function, biomarkers of inflammation and neurodegeneration, and survival in various models of ALS.</w:t>
      </w:r>
    </w:p>
    <w:p>
      <w:pPr>
        <w:spacing w:after="0" w:line="170" w:lineRule="exact"/>
        <w:rPr>
          <w:sz w:val="20"/>
          <w:szCs w:val="20"/>
          <w:color w:val="auto"/>
        </w:rPr>
      </w:pPr>
    </w:p>
    <w:p>
      <w:pPr>
        <w:ind w:right="560"/>
        <w:spacing w:after="0" w:line="259" w:lineRule="auto"/>
        <w:rPr>
          <w:sz w:val="20"/>
          <w:szCs w:val="20"/>
          <w:color w:val="auto"/>
        </w:rPr>
      </w:pPr>
      <w:r>
        <w:rPr>
          <w:rFonts w:ascii="Arial" w:cs="Arial" w:eastAsia="Arial" w:hAnsi="Arial"/>
          <w:sz w:val="20"/>
          <w:szCs w:val="20"/>
          <w:b w:val="1"/>
          <w:bCs w:val="1"/>
          <w:color w:val="auto"/>
        </w:rPr>
        <w:t xml:space="preserve">Fosgonimeton (ATH-1017) – </w:t>
      </w:r>
      <w:r>
        <w:rPr>
          <w:rFonts w:ascii="Arial" w:cs="Arial" w:eastAsia="Arial" w:hAnsi="Arial"/>
          <w:sz w:val="20"/>
          <w:szCs w:val="20"/>
          <w:color w:val="auto"/>
        </w:rPr>
        <w:t>A once daily, subcutaneously administered drug candidate initially targeted for the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of Alzheimer’s disease.</w:t>
      </w:r>
    </w:p>
    <w:p>
      <w:pPr>
        <w:spacing w:after="0" w:line="154" w:lineRule="exact"/>
        <w:rPr>
          <w:sz w:val="20"/>
          <w:szCs w:val="20"/>
          <w:color w:val="auto"/>
        </w:rPr>
      </w:pPr>
    </w:p>
    <w:p>
      <w:pPr>
        <w:ind w:left="760" w:right="140" w:hanging="378"/>
        <w:spacing w:after="0" w:line="241"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September 2024, Athira announced topline results from the LIFT-AD Phase 2/3 clinical trial of fosgonimeton in mild-to-moderate Alzheimer’s disease. The study did not meet its primary or key secondary endpoints, but biomarker and subgroup data were directionally consistent with the broad neuroprotective mechanism of action.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Exploration of Strategic Alternatives</w:t>
      </w:r>
    </w:p>
    <w:p>
      <w:pPr>
        <w:spacing w:after="0" w:line="204" w:lineRule="exact"/>
        <w:rPr>
          <w:sz w:val="20"/>
          <w:szCs w:val="20"/>
          <w:color w:val="auto"/>
        </w:rPr>
      </w:pPr>
    </w:p>
    <w:p>
      <w:pPr>
        <w:ind w:left="760" w:right="240" w:hanging="378"/>
        <w:spacing w:after="0" w:line="231"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Following Athira’s receipt of the topline results of LIFT-AD, the company made the determination to explore strategic alternatives focused on maximizing stockholder value. Athira engaged Cantor Fitzgerald &amp; Co. to act as an advisor in this process.</w:t>
      </w:r>
    </w:p>
    <w:p>
      <w:pPr>
        <w:spacing w:after="0" w:line="1" w:lineRule="exact"/>
        <w:rPr>
          <w:rFonts w:ascii="Times New Roman" w:cs="Times New Roman" w:eastAsia="Times New Roman" w:hAnsi="Times New Roman"/>
          <w:sz w:val="20"/>
          <w:szCs w:val="20"/>
          <w:color w:val="auto"/>
        </w:rPr>
      </w:pPr>
    </w:p>
    <w:p>
      <w:pPr>
        <w:ind w:left="760" w:right="20" w:hanging="378"/>
        <w:spacing w:after="0" w:line="239"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Additionally, Athira paused further development of fosgonimeton, including the related open label extension clinical trial, while continuing the development of ATH-1105 and exploring partnering options.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202" w:lineRule="exact"/>
        <w:rPr>
          <w:sz w:val="20"/>
          <w:szCs w:val="20"/>
          <w:color w:val="auto"/>
        </w:rPr>
      </w:pPr>
    </w:p>
    <w:p>
      <w:pPr>
        <w:ind w:left="760" w:right="300" w:hanging="378"/>
        <w:spacing w:after="0" w:line="232"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investments were $29.8 million as of June 30, 2025, compared to $51.3</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as of December 31, 2024. Net cash used in operations was $21.7 million for the six months ended June 30, 2025, compared to $48.1 million for the six months ended June 30, 2024.</w:t>
      </w:r>
    </w:p>
    <w:p>
      <w:pPr>
        <w:ind w:left="760" w:right="40" w:hanging="378"/>
        <w:spacing w:after="0" w:line="224"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were $3.7 million for the quarter ended June 30, 2025,</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$22.2 million for the quarter ended June 30, 2024.</w:t>
      </w:r>
    </w:p>
    <w:p>
      <w:pPr>
        <w:spacing w:after="0" w:line="1" w:lineRule="exact"/>
        <w:rPr>
          <w:rFonts w:ascii="Times New Roman" w:cs="Times New Roman" w:eastAsia="Times New Roman" w:hAnsi="Times New Roman"/>
          <w:sz w:val="20"/>
          <w:szCs w:val="20"/>
          <w:color w:val="auto"/>
        </w:rPr>
      </w:pPr>
    </w:p>
    <w:p>
      <w:pPr>
        <w:ind w:left="760" w:right="40" w:hanging="378"/>
        <w:spacing w:after="0" w:line="224"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were $3.6 million for the quarter ended June 30, 2025,</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$5.9 million for the quarter ended June 30, 2024.</w:t>
      </w:r>
    </w:p>
    <w:p>
      <w:pPr>
        <w:spacing w:after="0" w:line="1" w:lineRule="exact"/>
        <w:rPr>
          <w:rFonts w:ascii="Times New Roman" w:cs="Times New Roman" w:eastAsia="Times New Roman" w:hAnsi="Times New Roman"/>
          <w:sz w:val="20"/>
          <w:szCs w:val="20"/>
          <w:color w:val="auto"/>
        </w:rPr>
      </w:pPr>
    </w:p>
    <w:p>
      <w:pPr>
        <w:ind w:left="760" w:right="20" w:hanging="378"/>
        <w:spacing w:after="0" w:line="239"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$7.0 million, or $0.18 per share, for the quarter ended June 30, 2025, compared to a net loss of</w:t>
      </w:r>
      <w:r>
        <w:rPr>
          <w:rFonts w:ascii="Arial" w:cs="Arial" w:eastAsia="Arial" w:hAnsi="Arial"/>
          <w:sz w:val="20"/>
          <w:szCs w:val="20"/>
          <w:b w:val="1"/>
          <w:bCs w:val="1"/>
          <w:color w:val="auto"/>
        </w:rPr>
        <w:t xml:space="preserve"> </w:t>
      </w:r>
      <w:r>
        <w:rPr>
          <w:rFonts w:ascii="Arial" w:cs="Arial" w:eastAsia="Arial" w:hAnsi="Arial"/>
          <w:sz w:val="20"/>
          <w:szCs w:val="20"/>
          <w:color w:val="auto"/>
        </w:rPr>
        <w:t>$26.9 million, or $0.70 per share, for the quarter ended June 30, 2024.</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204" w:lineRule="exact"/>
        <w:rPr>
          <w:sz w:val="20"/>
          <w:szCs w:val="20"/>
          <w:color w:val="auto"/>
        </w:rPr>
      </w:pPr>
    </w:p>
    <w:p>
      <w:pPr>
        <w:ind w:right="100" w:firstLine="55"/>
        <w:spacing w:after="0" w:line="241" w:lineRule="auto"/>
        <w:rPr>
          <w:sz w:val="20"/>
          <w:szCs w:val="20"/>
          <w:color w:val="auto"/>
        </w:rPr>
      </w:pPr>
      <w:r>
        <w:rPr>
          <w:rFonts w:ascii="Arial" w:cs="Arial" w:eastAsia="Arial" w:hAnsi="Arial"/>
          <w:sz w:val="20"/>
          <w:szCs w:val="20"/>
          <w:color w:val="auto"/>
        </w:rPr>
        <w:t>Athira Pharma, Inc., headquartered in the Seattle, Washington area, is a clinical-stage biopharmaceutical company focused on developing small molecules to restore neuronal health and slow neurodegeneration. Athira aims to alter the course of neurological diseases by advancing its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5" w:name="page6"/>
    <w:bookmarkEnd w:id="5"/>
    <w:p>
      <w:pPr>
        <w:ind w:right="120"/>
        <w:spacing w:after="0" w:line="257" w:lineRule="auto"/>
        <w:rPr>
          <w:sz w:val="20"/>
          <w:szCs w:val="20"/>
          <w:color w:val="auto"/>
        </w:rPr>
      </w:pPr>
      <w:r>
        <w:rPr>
          <w:rFonts w:ascii="Arial" w:cs="Arial" w:eastAsia="Arial" w:hAnsi="Arial"/>
          <w:sz w:val="20"/>
          <w:szCs w:val="20"/>
          <w:color w:val="auto"/>
        </w:rPr>
        <w:t xml:space="preserve">candidates that modulate the neurotrophic HGF system. For more information, visit </w:t>
      </w:r>
      <w:r>
        <w:rPr>
          <w:rFonts w:ascii="Arial" w:cs="Arial" w:eastAsia="Arial" w:hAnsi="Arial"/>
          <w:sz w:val="20"/>
          <w:szCs w:val="20"/>
          <w:u w:val="single" w:color="auto"/>
          <w:color w:val="467886"/>
        </w:rPr>
        <w:t>www.athira.com</w:t>
      </w:r>
      <w:r>
        <w:rPr>
          <w:rFonts w:ascii="Arial" w:cs="Arial" w:eastAsia="Arial" w:hAnsi="Arial"/>
          <w:sz w:val="20"/>
          <w:szCs w:val="20"/>
          <w:color w:val="auto"/>
        </w:rPr>
        <w:t xml:space="preserve">. You can also follow Athira on </w:t>
      </w:r>
      <w:r>
        <w:rPr>
          <w:rFonts w:ascii="Arial" w:cs="Arial" w:eastAsia="Arial" w:hAnsi="Arial"/>
          <w:sz w:val="20"/>
          <w:szCs w:val="20"/>
          <w:u w:val="single" w:color="auto"/>
          <w:color w:val="467886"/>
        </w:rPr>
        <w:t>Facebook</w:t>
      </w:r>
      <w:r>
        <w:rPr>
          <w:rFonts w:ascii="Arial" w:cs="Arial" w:eastAsia="Arial" w:hAnsi="Arial"/>
          <w:sz w:val="20"/>
          <w:szCs w:val="20"/>
          <w:color w:val="auto"/>
        </w:rPr>
        <w:t xml:space="preserve">, </w:t>
      </w:r>
      <w:r>
        <w:rPr>
          <w:rFonts w:ascii="Arial" w:cs="Arial" w:eastAsia="Arial" w:hAnsi="Arial"/>
          <w:sz w:val="20"/>
          <w:szCs w:val="20"/>
          <w:u w:val="single" w:color="auto"/>
          <w:color w:val="467886"/>
        </w:rPr>
        <w:t>LinkedIn</w:t>
      </w:r>
      <w:r>
        <w:rPr>
          <w:rFonts w:ascii="Arial" w:cs="Arial" w:eastAsia="Arial" w:hAnsi="Arial"/>
          <w:sz w:val="20"/>
          <w:szCs w:val="20"/>
          <w:color w:val="auto"/>
        </w:rPr>
        <w:t xml:space="preserve">, </w:t>
      </w:r>
      <w:r>
        <w:rPr>
          <w:rFonts w:ascii="Arial" w:cs="Arial" w:eastAsia="Arial" w:hAnsi="Arial"/>
          <w:sz w:val="20"/>
          <w:szCs w:val="20"/>
          <w:u w:val="single" w:color="auto"/>
          <w:color w:val="467886"/>
        </w:rPr>
        <w:t>X</w:t>
      </w:r>
      <w:r>
        <w:rPr>
          <w:rFonts w:ascii="Arial" w:cs="Arial" w:eastAsia="Arial" w:hAnsi="Arial"/>
          <w:sz w:val="20"/>
          <w:szCs w:val="20"/>
          <w:color w:val="auto"/>
        </w:rPr>
        <w:t xml:space="preserve"> (formerly known as Twitter) and </w:t>
      </w:r>
      <w:r>
        <w:rPr>
          <w:rFonts w:ascii="Arial" w:cs="Arial" w:eastAsia="Arial" w:hAnsi="Arial"/>
          <w:sz w:val="20"/>
          <w:szCs w:val="20"/>
          <w:u w:val="single" w:color="auto"/>
          <w:color w:val="467886"/>
        </w:rPr>
        <w:t>Instagram</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Athira’s drug candidates as potential treatments for amyotrophic lateral sclerosis and other neurodegenerative diseases; future development plans and the timing thereof; the potential learnings from preclinical studies and other nonclinical data and their ability to inform and improve future clinical development plans; the implications of learnings from our Phase 1 ATH-1105 clinical trial for future development plans, including the timing and our plans to investigate ATH-1105 in a future clinical trial in people living with ALS either by us or in conjunction with a partner; expectations regarding the potential efficacy and commercial potential of Athira’s drug candidates; Athira’s ability to advance its drug candidates into later stages of development; and Athira’s plans and expectations regarding Athira’s exploration of strategic alternatives and partnering options.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may in the future be instituted against Athira, its directors and officers; possible negative interactions of Athira's drug candidates with other treatments; FDA regulatory delays and uncertainty and new policies implemented under the current administration, including executive orders, changes in the leadership of federal agencies such as the FDA and SEC, staff layoffs, budget cuts to agency programs and research, and changes in drug pricing controls; Athira’s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 and regulations; risks related to Athira’s exploration of strategic alternatives; as well as the other risks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Investor &amp; Media Contact: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line="229" w:lineRule="auto"/>
        <w:rPr>
          <w:sz w:val="20"/>
          <w:szCs w:val="20"/>
          <w:color w:val="auto"/>
        </w:rPr>
      </w:pPr>
      <w:r>
        <w:rPr>
          <w:rFonts w:ascii="Arial" w:cs="Arial" w:eastAsia="Arial" w:hAnsi="Arial"/>
          <w:sz w:val="20"/>
          <w:szCs w:val="20"/>
          <w:color w:val="auto"/>
        </w:rPr>
        <w:t>Athira Pharma</w:t>
      </w:r>
    </w:p>
    <w:p>
      <w:pPr>
        <w:spacing w:after="0" w:line="226" w:lineRule="auto"/>
        <w:rPr>
          <w:sz w:val="20"/>
          <w:szCs w:val="20"/>
          <w:color w:val="auto"/>
        </w:rPr>
      </w:pPr>
      <w:r>
        <w:rPr>
          <w:rFonts w:ascii="Arial" w:cs="Arial" w:eastAsia="Arial" w:hAnsi="Arial"/>
          <w:sz w:val="20"/>
          <w:szCs w:val="20"/>
          <w:color w:val="467886"/>
        </w:rPr>
        <w:t>Julie.rathbun@athira.com</w:t>
      </w: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5000" w:type="dxa"/>
            <w:vAlign w:val="bottom"/>
            <w:shd w:val="clear" w:color="auto" w:fill="D1F3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90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spacing w:after="0"/>
              <w:rPr>
                <w:sz w:val="17"/>
                <w:szCs w:val="17"/>
                <w:color w:val="auto"/>
              </w:rPr>
            </w:pPr>
          </w:p>
        </w:tc>
        <w:tc>
          <w:tcPr>
            <w:tcW w:w="24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spacing w:after="0"/>
              <w:rPr>
                <w:sz w:val="17"/>
                <w:szCs w:val="17"/>
                <w:color w:val="auto"/>
              </w:rPr>
            </w:pP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19,888</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48,438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shd w:val="clear" w:color="auto" w:fill="D1F3FF"/>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190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jc w:val="right"/>
              <w:spacing w:after="0" w:line="202" w:lineRule="exact"/>
              <w:rPr>
                <w:sz w:val="20"/>
                <w:szCs w:val="20"/>
                <w:color w:val="auto"/>
              </w:rPr>
            </w:pPr>
            <w:r>
              <w:rPr>
                <w:rFonts w:ascii="Arial" w:cs="Arial" w:eastAsia="Arial" w:hAnsi="Arial"/>
                <w:sz w:val="18"/>
                <w:szCs w:val="18"/>
                <w:color w:val="auto"/>
              </w:rPr>
              <w:t>9,935</w:t>
            </w:r>
          </w:p>
        </w:tc>
        <w:tc>
          <w:tcPr>
            <w:tcW w:w="24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jc w:val="right"/>
              <w:spacing w:after="0" w:line="202" w:lineRule="exact"/>
              <w:rPr>
                <w:sz w:val="20"/>
                <w:szCs w:val="20"/>
                <w:color w:val="auto"/>
              </w:rPr>
            </w:pPr>
            <w:r>
              <w:rPr>
                <w:rFonts w:ascii="Arial" w:cs="Arial" w:eastAsia="Arial" w:hAnsi="Arial"/>
                <w:sz w:val="18"/>
                <w:szCs w:val="18"/>
                <w:color w:val="auto"/>
              </w:rPr>
              <w:t>2,837</w:t>
            </w: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Other short-term assets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2,395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3,566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Borders>
              <w:bottom w:val="single" w:sz="8" w:color="D1F3FF"/>
            </w:tcBorders>
            <w:shd w:val="clear" w:color="auto" w:fill="D1F3FF"/>
          </w:tcPr>
          <w:p>
            <w:pPr>
              <w:ind w:left="100"/>
              <w:spacing w:after="0" w:line="202" w:lineRule="exact"/>
              <w:rPr>
                <w:sz w:val="20"/>
                <w:szCs w:val="20"/>
                <w:color w:val="auto"/>
              </w:rPr>
            </w:pPr>
            <w:r>
              <w:rPr>
                <w:rFonts w:ascii="Arial" w:cs="Arial" w:eastAsia="Arial" w:hAnsi="Arial"/>
                <w:sz w:val="18"/>
                <w:szCs w:val="18"/>
                <w:color w:val="auto"/>
              </w:rPr>
              <w:t>Other long-term assets</w:t>
            </w:r>
          </w:p>
        </w:tc>
        <w:tc>
          <w:tcPr>
            <w:tcW w:w="190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3,327</w:t>
            </w:r>
          </w:p>
        </w:tc>
        <w:tc>
          <w:tcPr>
            <w:tcW w:w="24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3,938</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00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2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35,545</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58,779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5000" w:type="dxa"/>
            <w:vAlign w:val="bottom"/>
            <w:shd w:val="clear" w:color="auto" w:fill="D1F3FF"/>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900" w:type="dxa"/>
            <w:vAlign w:val="bottom"/>
            <w:shd w:val="clear" w:color="auto" w:fill="D1F3FF"/>
          </w:tcPr>
          <w:p>
            <w:pPr>
              <w:spacing w:after="0"/>
              <w:rPr>
                <w:sz w:val="15"/>
                <w:szCs w:val="15"/>
                <w:color w:val="auto"/>
              </w:rPr>
            </w:pPr>
          </w:p>
        </w:tc>
        <w:tc>
          <w:tcPr>
            <w:tcW w:w="140" w:type="dxa"/>
            <w:vAlign w:val="bottom"/>
            <w:shd w:val="clear" w:color="auto" w:fill="D1F3FF"/>
          </w:tcPr>
          <w:p>
            <w:pPr>
              <w:spacing w:after="0"/>
              <w:rPr>
                <w:sz w:val="15"/>
                <w:szCs w:val="15"/>
                <w:color w:val="auto"/>
              </w:rPr>
            </w:pPr>
          </w:p>
        </w:tc>
        <w:tc>
          <w:tcPr>
            <w:tcW w:w="1280" w:type="dxa"/>
            <w:vAlign w:val="bottom"/>
            <w:shd w:val="clear" w:color="auto" w:fill="D1F3FF"/>
          </w:tcPr>
          <w:p>
            <w:pPr>
              <w:spacing w:after="0"/>
              <w:rPr>
                <w:sz w:val="15"/>
                <w:szCs w:val="15"/>
                <w:color w:val="auto"/>
              </w:rPr>
            </w:pPr>
          </w:p>
        </w:tc>
        <w:tc>
          <w:tcPr>
            <w:tcW w:w="240" w:type="dxa"/>
            <w:vAlign w:val="bottom"/>
            <w:shd w:val="clear" w:color="auto" w:fill="D1F3FF"/>
          </w:tcPr>
          <w:p>
            <w:pPr>
              <w:spacing w:after="0"/>
              <w:rPr>
                <w:sz w:val="15"/>
                <w:szCs w:val="15"/>
                <w:color w:val="auto"/>
              </w:rPr>
            </w:pPr>
          </w:p>
        </w:tc>
        <w:tc>
          <w:tcPr>
            <w:tcW w:w="140" w:type="dxa"/>
            <w:vAlign w:val="bottom"/>
            <w:shd w:val="clear" w:color="auto" w:fill="D1F3FF"/>
          </w:tcPr>
          <w:p>
            <w:pPr>
              <w:spacing w:after="0"/>
              <w:rPr>
                <w:sz w:val="15"/>
                <w:szCs w:val="15"/>
                <w:color w:val="auto"/>
              </w:rPr>
            </w:pPr>
          </w:p>
        </w:tc>
        <w:tc>
          <w:tcPr>
            <w:tcW w:w="1280" w:type="dxa"/>
            <w:vAlign w:val="bottom"/>
            <w:shd w:val="clear" w:color="auto" w:fill="D1F3FF"/>
          </w:tcPr>
          <w:p>
            <w:pPr>
              <w:spacing w:after="0"/>
              <w:rPr>
                <w:sz w:val="15"/>
                <w:szCs w:val="15"/>
                <w:color w:val="auto"/>
              </w:rPr>
            </w:pPr>
          </w:p>
        </w:tc>
        <w:tc>
          <w:tcPr>
            <w:tcW w:w="120" w:type="dxa"/>
            <w:vAlign w:val="bottom"/>
            <w:shd w:val="clear" w:color="auto" w:fill="D1F3FF"/>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Current liabilities</w:t>
            </w:r>
          </w:p>
        </w:tc>
        <w:tc>
          <w:tcPr>
            <w:tcW w:w="2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2,981</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13,135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Borders>
              <w:bottom w:val="single" w:sz="8" w:color="D1F3FF"/>
            </w:tcBorders>
            <w:shd w:val="clear" w:color="auto" w:fill="D1F3FF"/>
          </w:tcPr>
          <w:p>
            <w:pPr>
              <w:ind w:left="100"/>
              <w:spacing w:after="0" w:line="202" w:lineRule="exact"/>
              <w:rPr>
                <w:sz w:val="20"/>
                <w:szCs w:val="20"/>
                <w:color w:val="auto"/>
              </w:rPr>
            </w:pPr>
            <w:r>
              <w:rPr>
                <w:rFonts w:ascii="Arial" w:cs="Arial" w:eastAsia="Arial" w:hAnsi="Arial"/>
                <w:sz w:val="18"/>
                <w:szCs w:val="18"/>
                <w:color w:val="auto"/>
              </w:rPr>
              <w:t>Long-term liabilities</w:t>
            </w:r>
          </w:p>
        </w:tc>
        <w:tc>
          <w:tcPr>
            <w:tcW w:w="190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D1F3FF"/>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578</w:t>
            </w:r>
          </w:p>
        </w:tc>
        <w:tc>
          <w:tcPr>
            <w:tcW w:w="24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D1F3FF"/>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803</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00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3,559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13,938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Borders>
              <w:bottom w:val="single" w:sz="8" w:color="D1F3FF"/>
            </w:tcBorders>
            <w:shd w:val="clear" w:color="auto" w:fill="D1F3FF"/>
          </w:tcPr>
          <w:p>
            <w:pPr>
              <w:spacing w:after="0" w:line="202" w:lineRule="exact"/>
              <w:rPr>
                <w:sz w:val="20"/>
                <w:szCs w:val="20"/>
                <w:color w:val="auto"/>
              </w:rPr>
            </w:pPr>
            <w:r>
              <w:rPr>
                <w:rFonts w:ascii="Arial" w:cs="Arial" w:eastAsia="Arial" w:hAnsi="Arial"/>
                <w:sz w:val="18"/>
                <w:szCs w:val="18"/>
                <w:color w:val="auto"/>
              </w:rPr>
              <w:t>Stockholders' equity</w:t>
            </w:r>
          </w:p>
        </w:tc>
        <w:tc>
          <w:tcPr>
            <w:tcW w:w="190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31,986</w:t>
            </w:r>
          </w:p>
        </w:tc>
        <w:tc>
          <w:tcPr>
            <w:tcW w:w="24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44,841</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00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35,545</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58,779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7"/>
        </w:trPr>
        <w:tc>
          <w:tcPr>
            <w:tcW w:w="5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-2022475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-2022475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-1473835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-1473835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-1207770</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-1207770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Athira Pharma,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 except share and per share amounts)</w:t>
      </w: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040"/>
          </w:cols>
          <w:pgMar w:left="900" w:top="1417" w:right="9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41223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Research and development</w:t>
      </w:r>
    </w:p>
    <w:p>
      <w:pPr>
        <w:ind w:left="160"/>
        <w:spacing w:after="0" w:line="234" w:lineRule="auto"/>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6424930" cy="402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24930" cy="4025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operating expenses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4122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right="1640"/>
        <w:spacing w:after="0" w:line="287" w:lineRule="auto"/>
        <w:rPr>
          <w:sz w:val="20"/>
          <w:szCs w:val="20"/>
          <w:color w:val="auto"/>
        </w:rPr>
      </w:pPr>
      <w:r>
        <w:rPr>
          <w:rFonts w:ascii="Arial" w:cs="Arial" w:eastAsia="Arial" w:hAnsi="Arial"/>
          <w:sz w:val="17"/>
          <w:szCs w:val="17"/>
          <w:color w:val="auto"/>
        </w:rPr>
        <w:t>Unrealized (loss) gain on available-for-sale securities Comprehensive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641223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140" w:right="1760" w:hanging="149"/>
        <w:spacing w:after="0" w:line="239"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1" w:lineRule="exact"/>
        <w:rPr>
          <w:sz w:val="20"/>
          <w:szCs w:val="20"/>
          <w:color w:val="auto"/>
        </w:rPr>
      </w:pPr>
    </w:p>
    <w:p>
      <w:pPr>
        <w:ind w:left="140" w:right="1660" w:hanging="149"/>
        <w:spacing w:after="0" w:line="242" w:lineRule="auto"/>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1416050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-396240</wp:posOffset>
            </wp:positionV>
            <wp:extent cx="6412230"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r>
      <w:tr>
        <w:trPr>
          <w:trHeight w:val="380"/>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3,661</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22,154</w:t>
            </w:r>
          </w:p>
        </w:tc>
        <w:tc>
          <w:tcPr>
            <w:tcW w:w="6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7,291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28,028</w:t>
            </w:r>
          </w:p>
        </w:tc>
        <w:tc>
          <w:tcPr>
            <w:tcW w:w="6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rPr>
              <w:t>(7,291)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rPr>
              <w:t>(28,028)</w:t>
            </w:r>
          </w:p>
        </w:tc>
        <w:tc>
          <w:tcPr>
            <w:tcW w:w="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(6,966)</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(26,859)</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99</w:t>
            </w:r>
          </w:p>
        </w:tc>
        <w:tc>
          <w:tcPr>
            <w:tcW w:w="60" w:type="dxa"/>
            <w:vAlign w:val="bottom"/>
          </w:tcPr>
          <w:p>
            <w:pPr>
              <w:spacing w:after="0"/>
              <w:rPr>
                <w:sz w:val="15"/>
                <w:szCs w:val="15"/>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(6,965)</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(26,760)</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(0.70)</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39,092,961</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38,379,733</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200" w:space="720"/>
            <w:col w:w="3120"/>
          </w:cols>
          <w:pgMar w:left="900" w:top="1417" w:right="959" w:bottom="1440" w:gutter="0" w:footer="0" w:header="0"/>
          <w:type w:val="continuous"/>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2025-08-07T15:28:22Z</dcterms:created>
  <dcterms:modified xsi:type="dcterms:W3CDTF">2025-08-07T15:28:22Z</dcterms:modified>
</cp:coreProperties>
</file>