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Jared N. Fertman, Esq.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Willkie Farr &amp; Gallagher LLP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787 Seventh Avenue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10019-6099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Athira Pharma,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PREC14A filed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A. Kayne et al.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001-39503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Fertman: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circumstances,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ind w:right="18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Capitalized terms used herein but not defined have the meanings ascribed to them in the filing.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PREC14A filed March 30, 2022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Background of the Solicitation, page 1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At the top of page 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the names of the two nominees referred to.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disclose whether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Company, in its March 1 response, commented on any nominee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than Mr. Kayne.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understand that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Kayne played a role in Mr. Pickering's appointment to the Board.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include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regarding that point, or advise us as to why such disclosure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information.</w:t>
            </w:r>
          </w:p>
        </w:tc>
        <w:tc>
          <w:tcPr>
            <w:tcW w:w="2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material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Proposal No. 1 - Election of Directors, page 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2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reference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5 to a potential substitute nominee. Please confirm that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event you select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33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substitute nominee prior to the Annual Meeting, you will file an Jared N. Fertman, Esq.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787 Seventh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proxy statement that (1) identifies the substitute nominee, (2) discloses whether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nominee has consented to being named in the revised proxy statement and to serve if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elected and (3) includes disclosure required by Items 5(b) and 7 of Schedule 14A with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 nominee.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change the references to "an Athira nominee" on page 5 from "an" Athira nominee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"the" Athira nominee. Similarly, throughout the proxy statement and on the proxy card,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use the phrase "the person" instead of "one person." Finally, on the proxy card,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ensure that the instructions correctly refer to the ability to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withhold authority to vote for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single Athira nominee for whom proxy authority is sought, rather than multiple Athira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nominees.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the disclosure required by Rule 14a-4(d)(4)(iv) is included in the proxy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(in addition to the proxy card).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proxy statement uses an outdated Schedule 14A cover page. Please use the correct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 in future filings.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relationship between Dr. Kawas and the Participants, please add Dr. Kawas as a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Participant, or, with a view toward disclosure, advise us as to why Dr. Kawas is not in fact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participant in the solicitation.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David M. Plattner, Special Counsel, at 202-551-8094.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LastNameJared N. Fertman, Esq.</w:t>
            </w:r>
          </w:p>
        </w:tc>
        <w:tc>
          <w:tcPr>
            <w:tcW w:w="2360" w:type="dxa"/>
            <w:vAlign w:val="bottom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Name787 Seventh Avenue</w:t>
            </w:r>
          </w:p>
        </w:tc>
        <w:tc>
          <w:tcPr>
            <w:tcW w:w="236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6, 2022 Page 2</w:t>
            </w: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Mergers and Acquisitions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2022-06-22T23:10:56Z</dcterms:created>
  <dcterms:modified xsi:type="dcterms:W3CDTF">2022-06-22T23:10:56Z</dcterms:modified>
</cp:coreProperties>
</file>