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29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29460"/>
                    </a:xfrm>
                    <a:prstGeom prst="rect">
                      <a:avLst/>
                    </a:prstGeom>
                    <a:noFill/>
                  </pic:spPr>
                </pic:pic>
              </a:graphicData>
            </a:graphic>
          </wp:anchor>
        </w:drawing>
      </w:r>
    </w:p>
    <w:p>
      <w:pPr>
        <w:sectPr>
          <w:pgSz w:w="11900" w:h="16870"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RTW INVESTMENTS, LP</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09/17/2020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21"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Athira Pharma,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ATHA</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4" w:lineRule="exact"/>
        <w:rPr>
          <w:sz w:val="24"/>
          <w:szCs w:val="24"/>
          <w:color w:val="auto"/>
        </w:rPr>
      </w:pPr>
    </w:p>
    <w:p>
      <w:pPr>
        <w:sectPr>
          <w:pgSz w:w="11900" w:h="16870" w:orient="portrait"/>
          <w:cols w:equalWidth="0" w:num="2">
            <w:col w:w="4720" w:space="280"/>
            <w:col w:w="5940"/>
          </w:cols>
          <w:pgMar w:left="480" w:top="230" w:right="479" w:bottom="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940" w:type="dxa"/>
            <w:vAlign w:val="bottom"/>
          </w:tcPr>
          <w:p>
            <w:pPr>
              <w:ind w:left="24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40 10TH AVENUE, FLOOR 7</w:t>
            </w:r>
          </w:p>
        </w:tc>
        <w:tc>
          <w:tcPr>
            <w:tcW w:w="0" w:type="dxa"/>
            <w:vAlign w:val="bottom"/>
          </w:tcPr>
          <w:p>
            <w:pPr>
              <w:spacing w:after="0"/>
              <w:rPr>
                <w:sz w:val="1"/>
                <w:szCs w:val="1"/>
                <w:color w:val="auto"/>
              </w:rPr>
            </w:pPr>
          </w:p>
        </w:tc>
      </w:tr>
      <w:tr>
        <w:trPr>
          <w:trHeight w:val="237"/>
        </w:trPr>
        <w:tc>
          <w:tcPr>
            <w:tcW w:w="820" w:type="dxa"/>
            <w:vAlign w:val="bottom"/>
            <w:tcBorders>
              <w:bottom w:val="single" w:sz="8" w:color="9A9A9A"/>
            </w:tcBorders>
          </w:tcPr>
          <w:p>
            <w:pPr>
              <w:spacing w:after="0"/>
              <w:rPr>
                <w:sz w:val="20"/>
                <w:szCs w:val="20"/>
                <w:color w:val="auto"/>
              </w:rPr>
            </w:pPr>
          </w:p>
        </w:tc>
        <w:tc>
          <w:tcPr>
            <w:tcW w:w="94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NEW</w:t>
            </w:r>
          </w:p>
        </w:tc>
        <w:tc>
          <w:tcPr>
            <w:tcW w:w="94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NY</w:t>
            </w:r>
          </w:p>
        </w:tc>
        <w:tc>
          <w:tcPr>
            <w:tcW w:w="13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10014</w:t>
            </w:r>
          </w:p>
        </w:tc>
        <w:tc>
          <w:tcPr>
            <w:tcW w:w="0" w:type="dxa"/>
            <w:vAlign w:val="bottom"/>
          </w:tcPr>
          <w:p>
            <w:pPr>
              <w:spacing w:after="0"/>
              <w:rPr>
                <w:sz w:val="1"/>
                <w:szCs w:val="1"/>
                <w:color w:val="auto"/>
              </w:rPr>
            </w:pPr>
          </w:p>
        </w:tc>
      </w:tr>
      <w:tr>
        <w:trPr>
          <w:trHeight w:val="134"/>
        </w:trPr>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YORK</w:t>
            </w:r>
          </w:p>
        </w:tc>
        <w:tc>
          <w:tcPr>
            <w:tcW w:w="94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10% Owner</w:t>
      </w:r>
    </w:p>
    <w:p>
      <w:pPr>
        <w:spacing w:after="0" w:line="67"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7"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55" w:lineRule="auto"/>
        <w:rPr>
          <w:sz w:val="20"/>
          <w:szCs w:val="20"/>
          <w:color w:val="auto"/>
        </w:rPr>
      </w:pPr>
      <w:r>
        <w:rPr>
          <w:rFonts w:ascii="Arial" w:cs="Arial" w:eastAsia="Arial" w:hAnsi="Arial"/>
          <w:sz w:val="15"/>
          <w:szCs w:val="15"/>
          <w:color w:val="auto"/>
        </w:rPr>
        <w:t>Form filed by One Reporting Person</w:t>
      </w:r>
    </w:p>
    <w:p>
      <w:pPr>
        <w:spacing w:after="0" w:line="24" w:lineRule="exact"/>
        <w:rPr>
          <w:sz w:val="24"/>
          <w:szCs w:val="24"/>
          <w:color w:val="auto"/>
        </w:rPr>
      </w:pPr>
    </w:p>
    <w:p>
      <w:pPr>
        <w:ind w:left="451" w:right="32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More than One Reporting Person</w:t>
      </w:r>
    </w:p>
    <w:p>
      <w:pPr>
        <w:spacing w:after="0" w:line="200" w:lineRule="exact"/>
        <w:rPr>
          <w:sz w:val="24"/>
          <w:szCs w:val="24"/>
          <w:color w:val="auto"/>
        </w:rPr>
      </w:pPr>
    </w:p>
    <w:p>
      <w:pPr>
        <w:sectPr>
          <w:pgSz w:w="11900" w:h="16870" w:orient="portrait"/>
          <w:cols w:equalWidth="0" w:num="3">
            <w:col w:w="4277" w:space="720"/>
            <w:col w:w="3003" w:space="269"/>
            <w:col w:w="2671"/>
          </w:cols>
          <w:pgMar w:left="480" w:top="230" w:right="479" w:bottom="0" w:gutter="0" w:footer="0" w:header="0"/>
          <w:type w:val="continuous"/>
        </w:sectPr>
      </w:pPr>
    </w:p>
    <w:p>
      <w:pPr>
        <w:spacing w:after="0" w:line="49"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12"/>
        </w:trPr>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13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ind w:left="680"/>
              <w:spacing w:after="0"/>
              <w:rPr>
                <w:sz w:val="20"/>
                <w:szCs w:val="20"/>
                <w:color w:val="auto"/>
              </w:rPr>
            </w:pPr>
            <w:r>
              <w:rPr>
                <w:rFonts w:ascii="Times New Roman" w:cs="Times New Roman" w:eastAsia="Times New Roman" w:hAnsi="Times New Roman"/>
                <w:sz w:val="20"/>
                <w:szCs w:val="20"/>
                <w:color w:val="0000FF"/>
              </w:rPr>
              <w:t>383,782</w:t>
            </w:r>
          </w:p>
        </w:tc>
        <w:tc>
          <w:tcPr>
            <w:tcW w:w="1040" w:type="dxa"/>
            <w:vAlign w:val="bottom"/>
            <w:tcBorders>
              <w:bottom w:val="single" w:sz="8" w:color="2C2C2C"/>
            </w:tcBorders>
          </w:tcPr>
          <w:p>
            <w:pPr>
              <w:ind w:left="920"/>
              <w:spacing w:after="0"/>
              <w:rPr>
                <w:sz w:val="20"/>
                <w:szCs w:val="20"/>
                <w:color w:val="auto"/>
              </w:rPr>
            </w:pPr>
            <w:r>
              <w:rPr>
                <w:rFonts w:ascii="Times New Roman" w:cs="Times New Roman" w:eastAsia="Times New Roman" w:hAnsi="Times New Roman"/>
                <w:sz w:val="20"/>
                <w:szCs w:val="20"/>
                <w:color w:val="0000FF"/>
              </w:rPr>
              <w:t>I</w:t>
            </w:r>
          </w:p>
        </w:tc>
        <w:tc>
          <w:tcPr>
            <w:tcW w:w="192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20"/>
                <w:szCs w:val="20"/>
                <w:color w:val="0000FF"/>
              </w:rPr>
              <w:t>By RTW</w:t>
            </w:r>
            <w:r>
              <w:rPr>
                <w:rFonts w:ascii="Times New Roman" w:cs="Times New Roman" w:eastAsia="Times New Roman" w:hAnsi="Times New Roman"/>
                <w:sz w:val="25"/>
                <w:szCs w:val="25"/>
                <w:color w:val="008000"/>
                <w:vertAlign w:val="superscript"/>
              </w:rPr>
              <w:t>(1)</w:t>
            </w:r>
          </w:p>
        </w:tc>
        <w:tc>
          <w:tcPr>
            <w:tcW w:w="14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300" w:type="dxa"/>
            <w:vAlign w:val="bottom"/>
            <w:tcBorders>
              <w:top w:val="single" w:sz="8" w:color="2C2C2C"/>
            </w:tcBorders>
          </w:tcPr>
          <w:p>
            <w:pPr>
              <w:spacing w:after="0"/>
              <w:rPr>
                <w:sz w:val="21"/>
                <w:szCs w:val="21"/>
                <w:color w:val="auto"/>
              </w:rPr>
            </w:pPr>
          </w:p>
        </w:tc>
        <w:tc>
          <w:tcPr>
            <w:tcW w:w="13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580" w:type="dxa"/>
            <w:vAlign w:val="bottom"/>
            <w:tcBorders>
              <w:top w:val="single" w:sz="8" w:color="2C2C2C"/>
            </w:tcBorders>
            <w:gridSpan w:val="7"/>
          </w:tcPr>
          <w:p>
            <w:pPr>
              <w:ind w:left="2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1"/>
                <w:szCs w:val="21"/>
                <w:color w:val="auto"/>
              </w:rPr>
            </w:pPr>
          </w:p>
        </w:tc>
        <w:tc>
          <w:tcPr>
            <w:tcW w:w="14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578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66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7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760" w:type="dxa"/>
            <w:vAlign w:val="bottom"/>
            <w:gridSpan w:val="3"/>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00" w:type="dxa"/>
            <w:vAlign w:val="bottom"/>
          </w:tcPr>
          <w:p>
            <w:pPr>
              <w:spacing w:after="0"/>
              <w:rPr>
                <w:sz w:val="17"/>
                <w:szCs w:val="17"/>
                <w:color w:val="auto"/>
              </w:rPr>
            </w:pPr>
          </w:p>
        </w:tc>
        <w:tc>
          <w:tcPr>
            <w:tcW w:w="1880" w:type="dxa"/>
            <w:vAlign w:val="bottom"/>
            <w:gridSpan w:val="4"/>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4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0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880" w:type="dxa"/>
            <w:vAlign w:val="bottom"/>
            <w:gridSpan w:val="3"/>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6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98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2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6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0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680" w:type="dxa"/>
            <w:vAlign w:val="bottom"/>
            <w:vMerge w:val="continue"/>
          </w:tcPr>
          <w:p>
            <w:pPr>
              <w:spacing w:after="0"/>
              <w:rPr>
                <w:sz w:val="18"/>
                <w:szCs w:val="18"/>
                <w:color w:val="auto"/>
              </w:rPr>
            </w:pPr>
          </w:p>
        </w:tc>
        <w:tc>
          <w:tcPr>
            <w:tcW w:w="10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66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0000FF"/>
              </w:rPr>
              <w:t>Series B Convertible Preferred</w:t>
            </w:r>
          </w:p>
        </w:tc>
        <w:tc>
          <w:tcPr>
            <w:tcW w:w="1200" w:type="dxa"/>
            <w:vAlign w:val="bottom"/>
            <w:gridSpan w:val="2"/>
            <w:vMerge w:val="restart"/>
          </w:tcPr>
          <w:p>
            <w:pPr>
              <w:ind w:left="620"/>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3"/>
                <w:szCs w:val="13"/>
                <w:color w:val="008000"/>
              </w:rPr>
              <w:t>(2)</w:t>
            </w:r>
          </w:p>
        </w:tc>
        <w:tc>
          <w:tcPr>
            <w:tcW w:w="168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10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1,535,131</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By RTW</w:t>
            </w:r>
            <w:r>
              <w:rPr>
                <w:rFonts w:ascii="Times New Roman" w:cs="Times New Roman" w:eastAsia="Times New Roman" w:hAnsi="Times New Roman"/>
                <w:sz w:val="25"/>
                <w:szCs w:val="25"/>
                <w:color w:val="008000"/>
                <w:vertAlign w:val="superscript"/>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Stock</w:t>
            </w:r>
          </w:p>
        </w:tc>
        <w:tc>
          <w:tcPr>
            <w:tcW w:w="136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880" w:type="dxa"/>
            <w:vAlign w:val="bottom"/>
            <w:gridSpan w:val="3"/>
            <w:vMerge w:val="continue"/>
          </w:tcPr>
          <w:p>
            <w:pPr>
              <w:spacing w:after="0"/>
              <w:rPr>
                <w:sz w:val="17"/>
                <w:szCs w:val="17"/>
                <w:color w:val="auto"/>
              </w:rPr>
            </w:pPr>
          </w:p>
        </w:tc>
        <w:tc>
          <w:tcPr>
            <w:tcW w:w="168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1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860" w:type="dxa"/>
            <w:vAlign w:val="bottom"/>
            <w:tcBorders>
              <w:bottom w:val="single" w:sz="8" w:color="2C2C2C"/>
            </w:tcBorders>
            <w:gridSpan w:val="3"/>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3960" w:type="dxa"/>
            <w:vAlign w:val="bottom"/>
            <w:tcBorders>
              <w:top w:val="single" w:sz="8" w:color="2C2C2C"/>
            </w:tcBorders>
            <w:gridSpan w:val="5"/>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26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5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2"/>
          </w:tcPr>
          <w:p>
            <w:pPr>
              <w:ind w:left="20"/>
              <w:spacing w:after="0"/>
              <w:rPr>
                <w:rFonts w:ascii="Times New Roman" w:cs="Times New Roman" w:eastAsia="Times New Roman" w:hAnsi="Times New Roman"/>
                <w:sz w:val="24"/>
                <w:szCs w:val="24"/>
                <w:u w:val="single" w:color="auto"/>
                <w:color w:val="0000EE"/>
                <w:w w:val="98"/>
              </w:rPr>
            </w:pPr>
            <w:hyperlink r:id="rId10">
              <w:r>
                <w:rPr>
                  <w:rFonts w:ascii="Times New Roman" w:cs="Times New Roman" w:eastAsia="Times New Roman" w:hAnsi="Times New Roman"/>
                  <w:sz w:val="24"/>
                  <w:szCs w:val="24"/>
                  <w:u w:val="single" w:color="auto"/>
                  <w:color w:val="0000EE"/>
                  <w:w w:val="98"/>
                </w:rPr>
                <w:t>RTW INVESTMENTS, LP</w:t>
              </w:r>
            </w:hyperlink>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gridSpan w:val="2"/>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5"/>
                <w:szCs w:val="15"/>
                <w:color w:val="auto"/>
              </w:rPr>
              <w:t>(Last)</w:t>
            </w:r>
          </w:p>
        </w:tc>
        <w:tc>
          <w:tcPr>
            <w:tcW w:w="1360" w:type="dxa"/>
            <w:vAlign w:val="bottom"/>
          </w:tcPr>
          <w:p>
            <w:pPr>
              <w:ind w:left="100"/>
              <w:spacing w:after="0"/>
              <w:rPr>
                <w:sz w:val="20"/>
                <w:szCs w:val="20"/>
                <w:color w:val="auto"/>
              </w:rPr>
            </w:pPr>
            <w:r>
              <w:rPr>
                <w:rFonts w:ascii="Arial" w:cs="Arial" w:eastAsia="Arial" w:hAnsi="Arial"/>
                <w:sz w:val="15"/>
                <w:szCs w:val="15"/>
                <w:color w:val="auto"/>
              </w:rPr>
              <w:t>(First)</w:t>
            </w:r>
          </w:p>
        </w:tc>
        <w:tc>
          <w:tcPr>
            <w:tcW w:w="1200" w:type="dxa"/>
            <w:vAlign w:val="bottom"/>
            <w:gridSpan w:val="2"/>
          </w:tcPr>
          <w:p>
            <w:pPr>
              <w:ind w:left="120"/>
              <w:spacing w:after="0"/>
              <w:rPr>
                <w:sz w:val="20"/>
                <w:szCs w:val="20"/>
                <w:color w:val="auto"/>
              </w:rPr>
            </w:pPr>
            <w:r>
              <w:rPr>
                <w:rFonts w:ascii="Arial" w:cs="Arial" w:eastAsia="Arial" w:hAnsi="Arial"/>
                <w:sz w:val="15"/>
                <w:szCs w:val="15"/>
                <w:color w:val="auto"/>
              </w:rPr>
              <w:t>(Middle)</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40 10TH AVENUE, FLOOR 7</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c>
          <w:tcPr>
            <w:tcW w:w="1360" w:type="dxa"/>
            <w:vAlign w:val="bottom"/>
            <w:tcBorders>
              <w:bottom w:val="single" w:sz="8" w:color="9A9A9A"/>
            </w:tcBorders>
          </w:tcPr>
          <w:p>
            <w:pPr>
              <w:spacing w:after="0"/>
              <w:rPr>
                <w:sz w:val="20"/>
                <w:szCs w:val="20"/>
                <w:color w:val="auto"/>
              </w:rPr>
            </w:pPr>
          </w:p>
        </w:tc>
        <w:tc>
          <w:tcPr>
            <w:tcW w:w="200" w:type="dxa"/>
            <w:vAlign w:val="bottom"/>
            <w:tcBorders>
              <w:bottom w:val="single" w:sz="8" w:color="9A9A9A"/>
            </w:tcBorders>
          </w:tcPr>
          <w:p>
            <w:pPr>
              <w:spacing w:after="0"/>
              <w:rPr>
                <w:sz w:val="20"/>
                <w:szCs w:val="20"/>
                <w:color w:val="auto"/>
              </w:rPr>
            </w:pPr>
          </w:p>
        </w:tc>
        <w:tc>
          <w:tcPr>
            <w:tcW w:w="1000" w:type="dxa"/>
            <w:vAlign w:val="bottom"/>
            <w:tcBorders>
              <w:bottom w:val="single" w:sz="8" w:color="9A9A9A"/>
            </w:tcBorders>
          </w:tcPr>
          <w:p>
            <w:pPr>
              <w:spacing w:after="0"/>
              <w:rPr>
                <w:sz w:val="20"/>
                <w:szCs w:val="20"/>
                <w:color w:val="auto"/>
              </w:rPr>
            </w:pPr>
          </w:p>
        </w:tc>
        <w:tc>
          <w:tcPr>
            <w:tcW w:w="26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0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NEW YORK</w:t>
            </w:r>
          </w:p>
        </w:tc>
        <w:tc>
          <w:tcPr>
            <w:tcW w:w="136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NY</w:t>
            </w: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0000FF"/>
              </w:rPr>
              <w:t>10014</w:t>
            </w: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gridSpan w:val="2"/>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5"/>
                <w:szCs w:val="15"/>
                <w:color w:val="auto"/>
              </w:rPr>
              <w:t>(City)</w:t>
            </w:r>
          </w:p>
        </w:tc>
        <w:tc>
          <w:tcPr>
            <w:tcW w:w="1360" w:type="dxa"/>
            <w:vAlign w:val="bottom"/>
          </w:tcPr>
          <w:p>
            <w:pPr>
              <w:ind w:left="100"/>
              <w:spacing w:after="0"/>
              <w:rPr>
                <w:sz w:val="20"/>
                <w:szCs w:val="20"/>
                <w:color w:val="auto"/>
              </w:rPr>
            </w:pPr>
            <w:r>
              <w:rPr>
                <w:rFonts w:ascii="Arial" w:cs="Arial" w:eastAsia="Arial" w:hAnsi="Arial"/>
                <w:sz w:val="15"/>
                <w:szCs w:val="15"/>
                <w:color w:val="auto"/>
              </w:rPr>
              <w:t>(State)</w:t>
            </w:r>
          </w:p>
        </w:tc>
        <w:tc>
          <w:tcPr>
            <w:tcW w:w="1200" w:type="dxa"/>
            <w:vAlign w:val="bottom"/>
            <w:gridSpan w:val="2"/>
          </w:tcPr>
          <w:p>
            <w:pPr>
              <w:ind w:left="120"/>
              <w:spacing w:after="0"/>
              <w:rPr>
                <w:sz w:val="20"/>
                <w:szCs w:val="20"/>
                <w:color w:val="auto"/>
              </w:rPr>
            </w:pPr>
            <w:r>
              <w:rPr>
                <w:rFonts w:ascii="Arial" w:cs="Arial" w:eastAsia="Arial" w:hAnsi="Arial"/>
                <w:sz w:val="15"/>
                <w:szCs w:val="15"/>
                <w:color w:val="auto"/>
              </w:rPr>
              <w:t>(Zip)</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860" w:type="dxa"/>
            <w:vAlign w:val="bottom"/>
            <w:tcBorders>
              <w:bottom w:val="single" w:sz="8" w:color="2C2C2C"/>
            </w:tcBorders>
            <w:gridSpan w:val="4"/>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3960" w:type="dxa"/>
            <w:vAlign w:val="bottom"/>
            <w:gridSpan w:val="5"/>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2"/>
          </w:tcPr>
          <w:p>
            <w:pPr>
              <w:ind w:left="20"/>
              <w:spacing w:after="0"/>
              <w:rPr>
                <w:rFonts w:ascii="Times New Roman" w:cs="Times New Roman" w:eastAsia="Times New Roman" w:hAnsi="Times New Roman"/>
                <w:sz w:val="24"/>
                <w:szCs w:val="24"/>
                <w:u w:val="single" w:color="auto"/>
                <w:color w:val="0000EE"/>
              </w:rPr>
            </w:pPr>
            <w:hyperlink r:id="rId13">
              <w:r>
                <w:rPr>
                  <w:rFonts w:ascii="Times New Roman" w:cs="Times New Roman" w:eastAsia="Times New Roman" w:hAnsi="Times New Roman"/>
                  <w:sz w:val="24"/>
                  <w:szCs w:val="24"/>
                  <w:u w:val="single" w:color="auto"/>
                  <w:color w:val="0000EE"/>
                </w:rPr>
                <w:t>WONG RODERICK</w:t>
              </w:r>
            </w:hyperlink>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gridSpan w:val="2"/>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5"/>
                <w:szCs w:val="15"/>
                <w:color w:val="auto"/>
              </w:rPr>
              <w:t>(Last)</w:t>
            </w:r>
          </w:p>
        </w:tc>
        <w:tc>
          <w:tcPr>
            <w:tcW w:w="1360" w:type="dxa"/>
            <w:vAlign w:val="bottom"/>
          </w:tcPr>
          <w:p>
            <w:pPr>
              <w:ind w:left="100"/>
              <w:spacing w:after="0"/>
              <w:rPr>
                <w:sz w:val="20"/>
                <w:szCs w:val="20"/>
                <w:color w:val="auto"/>
              </w:rPr>
            </w:pPr>
            <w:r>
              <w:rPr>
                <w:rFonts w:ascii="Arial" w:cs="Arial" w:eastAsia="Arial" w:hAnsi="Arial"/>
                <w:sz w:val="15"/>
                <w:szCs w:val="15"/>
                <w:color w:val="auto"/>
              </w:rPr>
              <w:t>(First)</w:t>
            </w:r>
          </w:p>
        </w:tc>
        <w:tc>
          <w:tcPr>
            <w:tcW w:w="1200" w:type="dxa"/>
            <w:vAlign w:val="bottom"/>
            <w:gridSpan w:val="2"/>
          </w:tcPr>
          <w:p>
            <w:pPr>
              <w:ind w:left="120"/>
              <w:spacing w:after="0"/>
              <w:rPr>
                <w:sz w:val="20"/>
                <w:szCs w:val="20"/>
                <w:color w:val="auto"/>
              </w:rPr>
            </w:pPr>
            <w:r>
              <w:rPr>
                <w:rFonts w:ascii="Arial" w:cs="Arial" w:eastAsia="Arial" w:hAnsi="Arial"/>
                <w:sz w:val="15"/>
                <w:szCs w:val="15"/>
                <w:color w:val="auto"/>
              </w:rPr>
              <w:t>(Middle)</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C/O RTW INVESTMENTS, LP</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40 10TH AVENUE, FLOOR7</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0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NEW YORK</w:t>
            </w:r>
          </w:p>
        </w:tc>
        <w:tc>
          <w:tcPr>
            <w:tcW w:w="136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NY</w:t>
            </w: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0000FF"/>
              </w:rPr>
              <w:t>10014</w:t>
            </w: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gridSpan w:val="2"/>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5"/>
                <w:szCs w:val="15"/>
                <w:color w:val="auto"/>
              </w:rPr>
              <w:t>(City)</w:t>
            </w:r>
          </w:p>
        </w:tc>
        <w:tc>
          <w:tcPr>
            <w:tcW w:w="1360" w:type="dxa"/>
            <w:vAlign w:val="bottom"/>
          </w:tcPr>
          <w:p>
            <w:pPr>
              <w:ind w:left="100"/>
              <w:spacing w:after="0"/>
              <w:rPr>
                <w:sz w:val="20"/>
                <w:szCs w:val="20"/>
                <w:color w:val="auto"/>
              </w:rPr>
            </w:pPr>
            <w:r>
              <w:rPr>
                <w:rFonts w:ascii="Arial" w:cs="Arial" w:eastAsia="Arial" w:hAnsi="Arial"/>
                <w:sz w:val="15"/>
                <w:szCs w:val="15"/>
                <w:color w:val="auto"/>
              </w:rPr>
              <w:t>(State)</w:t>
            </w:r>
          </w:p>
        </w:tc>
        <w:tc>
          <w:tcPr>
            <w:tcW w:w="1200" w:type="dxa"/>
            <w:vAlign w:val="bottom"/>
            <w:gridSpan w:val="2"/>
          </w:tcPr>
          <w:p>
            <w:pPr>
              <w:ind w:left="120"/>
              <w:spacing w:after="0"/>
              <w:rPr>
                <w:sz w:val="20"/>
                <w:szCs w:val="20"/>
                <w:color w:val="auto"/>
              </w:rPr>
            </w:pPr>
            <w:r>
              <w:rPr>
                <w:rFonts w:ascii="Arial" w:cs="Arial" w:eastAsia="Arial" w:hAnsi="Arial"/>
                <w:sz w:val="15"/>
                <w:szCs w:val="15"/>
                <w:color w:val="auto"/>
              </w:rPr>
              <w:t>(Zip)</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-5433060</wp:posOffset>
            </wp:positionV>
            <wp:extent cx="6946900" cy="5507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6946900" cy="5507990"/>
                    </a:xfrm>
                    <a:prstGeom prst="rect">
                      <a:avLst/>
                    </a:prstGeom>
                    <a:noFill/>
                  </pic:spPr>
                </pic:pic>
              </a:graphicData>
            </a:graphic>
          </wp:anchor>
        </w:drawing>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008000"/>
        </w:rPr>
        <w:t>1. The securities reported herein may be deemed beneficially owned by each of: (i) RTW Investments, LP ("RTW"), which is deemed the beneficial owner of shares held by RTW</w:t>
      </w:r>
    </w:p>
    <w:p>
      <w:pPr>
        <w:sectPr>
          <w:pgSz w:w="11900" w:h="16870" w:orient="portrait"/>
          <w:cols w:equalWidth="0" w:num="1">
            <w:col w:w="10940"/>
          </w:cols>
          <w:pgMar w:left="480" w:top="230" w:right="479" w:bottom="0" w:gutter="0" w:footer="0" w:header="0"/>
          <w:type w:val="continuous"/>
        </w:sectPr>
      </w:pPr>
    </w:p>
    <w:bookmarkStart w:id="1" w:name="page2"/>
    <w:bookmarkEnd w:id="1"/>
    <w:p>
      <w:pPr>
        <w:ind w:right="80"/>
        <w:spacing w:after="0" w:line="239" w:lineRule="auto"/>
        <w:rPr>
          <w:sz w:val="20"/>
          <w:szCs w:val="20"/>
          <w:color w:val="auto"/>
        </w:rPr>
      </w:pPr>
      <w:r>
        <w:rPr>
          <w:rFonts w:ascii="Times New Roman" w:cs="Times New Roman" w:eastAsia="Times New Roman" w:hAnsi="Times New Roman"/>
          <w:sz w:val="15"/>
          <w:szCs w:val="15"/>
          <w:color w:val="008000"/>
        </w:rPr>
        <w:t>Master Fund, Ltd., RTW Venture Fund Limited and RTW Innovation Master Fund, Ltd. (the "Funds"), which are investment funds managed by RTW, and (ii) Roderick Wong, M.D., who serves as the Managing Partner and Chief Investment Officer of RTW. Dr. Wong exercises voting and dispositive control over the securities held by RTW and is therefore deemed to be a beneficial owner of securities owned or controlled by RTW. Dr. Wong disclaims beneficial ownership of the reported securities held by the Funds, except to the extent of his pecuniary interest therein.</w:t>
      </w:r>
    </w:p>
    <w:p>
      <w:pPr>
        <w:spacing w:after="0" w:line="33" w:lineRule="exact"/>
        <w:rPr>
          <w:sz w:val="20"/>
          <w:szCs w:val="20"/>
          <w:color w:val="auto"/>
        </w:rPr>
      </w:pPr>
    </w:p>
    <w:p>
      <w:pPr>
        <w:ind w:right="240" w:firstLine="5"/>
        <w:spacing w:after="0" w:line="259"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share of Series B Convertible Preferred Stock is convertible into shares of Common Stock, on a one-for-one basis, has no expiration date and will convert into shares of Common Stock upon the closing of the Issuer's initial public offering.</w:t>
      </w:r>
    </w:p>
    <w:p>
      <w:pPr>
        <w:sectPr>
          <w:pgSz w:w="11900" w:h="16838" w:orient="portrait"/>
          <w:cols w:equalWidth="0" w:num="1">
            <w:col w:w="10820"/>
          </w:cols>
          <w:pgMar w:left="520" w:top="125" w:right="559" w:bottom="1440" w:gutter="0" w:footer="0" w:header="0"/>
        </w:sectPr>
      </w:pPr>
    </w:p>
    <w:p>
      <w:pPr>
        <w:spacing w:after="0" w:line="4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RTW Investments,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2540</wp:posOffset>
            </wp:positionV>
            <wp:extent cx="131381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1313815" cy="9525"/>
                    </a:xfrm>
                    <a:prstGeom prst="rect">
                      <a:avLst/>
                    </a:prstGeom>
                    <a:noFill/>
                  </pic:spPr>
                </pic:pic>
              </a:graphicData>
            </a:graphic>
          </wp:anchor>
        </w:drawing>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5694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95694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9090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89090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Roderick Wong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36015"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13601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77787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777875"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09/17/2020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09/17/2020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2" w:lineRule="exact"/>
        <w:rPr>
          <w:sz w:val="20"/>
          <w:szCs w:val="20"/>
          <w:color w:val="auto"/>
        </w:rPr>
      </w:pPr>
    </w:p>
    <w:p>
      <w:pPr>
        <w:sectPr>
          <w:pgSz w:w="11900" w:h="16838" w:orient="portrait"/>
          <w:cols w:equalWidth="0" w:num="2">
            <w:col w:w="8600" w:space="120"/>
            <w:col w:w="2100"/>
          </w:cols>
          <w:pgMar w:left="520" w:top="125" w:right="55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12"/>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both"/>
        <w:ind w:right="216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25"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10" Type="http://schemas.openxmlformats.org/officeDocument/2006/relationships/hyperlink" Target="http://www.sec.gov/cgi-bin/browse-edgar?action=getcompany&amp;CIK=0001493215" TargetMode="External"/><Relationship Id="rId11" Type="http://schemas.openxmlformats.org/officeDocument/2006/relationships/hyperlink" Target="http://www.sec.gov/cgi-bin/browse-edgar?action=getcompany&amp;CIK=0001620463" TargetMode="External"/><Relationship Id="rId13" Type="http://schemas.openxmlformats.org/officeDocument/2006/relationships/hyperlink" Target="http://www.sec.gov/cgi-bin/browse-edgar?action=getcompany&amp;CIK=00014932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2020-09-17T19:10:28Z</dcterms:created>
  <dcterms:modified xsi:type="dcterms:W3CDTF">2020-09-17T19:10:28Z</dcterms:modified>
</cp:coreProperties>
</file>