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42025_090334.xml.htm"/>
      <w:bookmarkStart w:id="1" w:name="ksform403042025_0903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CHURCH KEVIN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ATHIRA PHARMA,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18706 NORTH CREEK PARKWAY, SUITE 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BOTHELL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Athira 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ATHA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SCIENTIFIC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0.3762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87,845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87,845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87,845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58,563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58,563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58,563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the option shall be scheduled to vest monthly over a term of 48 months on the monthly anniversaries of the grant date, subject to the optionee continuing to be a Service Provider (as defined in the Issuer's 2020 Equity Incentive Plan) through the applicable vesting dates.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(1) share of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100% of the RSUs shall vest on the one (1) year anniversary of the grant date, subject to the Reporting Person continuing to be a Service Provider (as defined in the Issuer's 2020 Equity Incentive Plan (the "Plan")) through the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Worthington Attorney-in-Fact for Kevin Church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2499" TargetMode="External"/><Relationship Id="rId5" Type="http://schemas.openxmlformats.org/officeDocument/2006/relationships/hyperlink" Target="http://www.sec.gov/cgi-bin/browse-edgar?action=getcompany&amp;CIK=00016204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704</Words>
  <Characters>3761</Characters>
  <CharactersWithSpaces>4392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