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(Amendment No. __N/A__)*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04746L104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September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 Rule 13d-1(b)</w:t>
      </w:r>
    </w:p>
    <w:p>
      <w:pPr>
        <w:spacing w:after="0" w:line="225" w:lineRule="exact"/>
        <w:rPr>
          <w:sz w:val="24"/>
          <w:szCs w:val="24"/>
          <w:color w:val="auto"/>
        </w:rPr>
      </w:pPr>
    </w:p>
    <w:p>
      <w:pPr>
        <w:jc w:val="both"/>
        <w:ind w:left="1300" w:right="8640" w:firstLine="4"/>
        <w:spacing w:after="0" w:line="524" w:lineRule="auto"/>
        <w:tabs>
          <w:tab w:leader="none" w:pos="159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13d-1(c) [_]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 w:name="page2"/>
    <w:bookmarkEnd w:id="1"/>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60" w:right="500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RTW Investments, LP</w:t>
      </w: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right="6920" w:hanging="652"/>
        <w:spacing w:after="0" w:line="53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660" w:right="8740" w:hanging="652"/>
        <w:spacing w:after="0" w:line="50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660" w:right="8460" w:hanging="652"/>
        <w:spacing w:after="0" w:line="50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2,668,913*</w:t>
      </w:r>
    </w:p>
    <w:p>
      <w:pPr>
        <w:spacing w:after="0" w:line="1" w:lineRule="exact"/>
        <w:rPr>
          <w:rFonts w:ascii="Times New Roman" w:cs="Times New Roman" w:eastAsia="Times New Roman" w:hAnsi="Times New Roman"/>
          <w:sz w:val="18"/>
          <w:szCs w:val="18"/>
          <w:color w:val="auto"/>
        </w:rPr>
      </w:pPr>
    </w:p>
    <w:p>
      <w:pPr>
        <w:ind w:left="660" w:right="8320" w:hanging="652"/>
        <w:spacing w:after="0" w:line="50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660" w:right="8060" w:hanging="652"/>
        <w:spacing w:after="0" w:line="50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2,668,913*</w:t>
      </w:r>
    </w:p>
    <w:p>
      <w:pPr>
        <w:spacing w:after="0" w:line="1" w:lineRule="exact"/>
        <w:rPr>
          <w:rFonts w:ascii="Times New Roman" w:cs="Times New Roman" w:eastAsia="Times New Roman" w:hAnsi="Times New Roman"/>
          <w:sz w:val="18"/>
          <w:szCs w:val="18"/>
          <w:color w:val="auto"/>
        </w:rPr>
      </w:pPr>
    </w:p>
    <w:p>
      <w:pPr>
        <w:ind w:left="660" w:right="4040" w:hanging="652"/>
        <w:spacing w:after="0" w:line="50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2,668,913*</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 [_]</w:t>
      </w:r>
    </w:p>
    <w:p>
      <w:pPr>
        <w:spacing w:after="0" w:line="225" w:lineRule="exact"/>
        <w:rPr>
          <w:rFonts w:ascii="Times New Roman" w:cs="Times New Roman" w:eastAsia="Times New Roman" w:hAnsi="Times New Roman"/>
          <w:sz w:val="18"/>
          <w:szCs w:val="18"/>
          <w:color w:val="auto"/>
        </w:rPr>
      </w:pPr>
    </w:p>
    <w:p>
      <w:pPr>
        <w:ind w:left="660" w:right="5540" w:hanging="652"/>
        <w:spacing w:after="0" w:line="50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8.66%*</w:t>
      </w:r>
    </w:p>
    <w:p>
      <w:pPr>
        <w:spacing w:after="0" w:line="1" w:lineRule="exact"/>
        <w:rPr>
          <w:rFonts w:ascii="Times New Roman" w:cs="Times New Roman" w:eastAsia="Times New Roman" w:hAnsi="Times New Roman"/>
          <w:sz w:val="18"/>
          <w:szCs w:val="18"/>
          <w:color w:val="auto"/>
        </w:rPr>
      </w:pPr>
    </w:p>
    <w:p>
      <w:pPr>
        <w:ind w:left="660" w:right="6260" w:hanging="652"/>
        <w:spacing w:after="0" w:line="53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60" w:right="500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RTW Master Fund, Ltd.</w:t>
      </w: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right="6920" w:hanging="652"/>
        <w:spacing w:after="0" w:line="53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378" w:lineRule="exact"/>
        <w:rPr>
          <w:sz w:val="20"/>
          <w:szCs w:val="20"/>
          <w:color w:val="auto"/>
        </w:rPr>
      </w:pPr>
    </w:p>
    <w:p>
      <w:pPr>
        <w:ind w:left="660" w:right="8740" w:hanging="652"/>
        <w:spacing w:after="0" w:line="50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660" w:right="8460" w:hanging="652"/>
        <w:spacing w:after="0" w:line="50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1,695,399*</w:t>
      </w:r>
    </w:p>
    <w:p>
      <w:pPr>
        <w:spacing w:after="0" w:line="1" w:lineRule="exact"/>
        <w:rPr>
          <w:rFonts w:ascii="Times New Roman" w:cs="Times New Roman" w:eastAsia="Times New Roman" w:hAnsi="Times New Roman"/>
          <w:sz w:val="18"/>
          <w:szCs w:val="18"/>
          <w:color w:val="auto"/>
        </w:rPr>
      </w:pPr>
    </w:p>
    <w:p>
      <w:pPr>
        <w:ind w:left="660" w:right="8320" w:hanging="652"/>
        <w:spacing w:after="0" w:line="50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660" w:right="8060" w:hanging="652"/>
        <w:spacing w:after="0" w:line="50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1,695,399*</w:t>
      </w:r>
    </w:p>
    <w:p>
      <w:pPr>
        <w:spacing w:after="0" w:line="1" w:lineRule="exact"/>
        <w:rPr>
          <w:rFonts w:ascii="Times New Roman" w:cs="Times New Roman" w:eastAsia="Times New Roman" w:hAnsi="Times New Roman"/>
          <w:sz w:val="18"/>
          <w:szCs w:val="18"/>
          <w:color w:val="auto"/>
        </w:rPr>
      </w:pPr>
    </w:p>
    <w:p>
      <w:pPr>
        <w:ind w:left="660" w:right="4040" w:hanging="652"/>
        <w:spacing w:after="0" w:line="50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1,695,399*</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 [_]</w:t>
      </w:r>
    </w:p>
    <w:p>
      <w:pPr>
        <w:spacing w:after="0" w:line="225" w:lineRule="exact"/>
        <w:rPr>
          <w:rFonts w:ascii="Times New Roman" w:cs="Times New Roman" w:eastAsia="Times New Roman" w:hAnsi="Times New Roman"/>
          <w:sz w:val="18"/>
          <w:szCs w:val="18"/>
          <w:color w:val="auto"/>
        </w:rPr>
      </w:pPr>
    </w:p>
    <w:p>
      <w:pPr>
        <w:ind w:left="660" w:right="5540" w:hanging="652"/>
        <w:spacing w:after="0" w:line="50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5.50%*</w:t>
      </w:r>
    </w:p>
    <w:p>
      <w:pPr>
        <w:spacing w:after="0" w:line="1" w:lineRule="exact"/>
        <w:rPr>
          <w:rFonts w:ascii="Times New Roman" w:cs="Times New Roman" w:eastAsia="Times New Roman" w:hAnsi="Times New Roman"/>
          <w:sz w:val="18"/>
          <w:szCs w:val="18"/>
          <w:color w:val="auto"/>
        </w:rPr>
      </w:pPr>
    </w:p>
    <w:p>
      <w:pPr>
        <w:ind w:left="660" w:right="6260" w:hanging="652"/>
        <w:spacing w:after="0" w:line="53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60" w:right="500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Roderick Wong</w:t>
      </w: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right="6920" w:hanging="652"/>
        <w:spacing w:after="0" w:line="53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pacing w:after="0" w:line="378" w:lineRule="exact"/>
        <w:rPr>
          <w:sz w:val="20"/>
          <w:szCs w:val="20"/>
          <w:color w:val="auto"/>
        </w:rPr>
      </w:pPr>
    </w:p>
    <w:p>
      <w:pPr>
        <w:ind w:left="660" w:right="8740" w:hanging="652"/>
        <w:spacing w:after="0" w:line="50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660" w:right="8460" w:hanging="652"/>
        <w:spacing w:after="0" w:line="50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2,668,913*</w:t>
      </w:r>
    </w:p>
    <w:p>
      <w:pPr>
        <w:spacing w:after="0" w:line="1" w:lineRule="exact"/>
        <w:rPr>
          <w:rFonts w:ascii="Times New Roman" w:cs="Times New Roman" w:eastAsia="Times New Roman" w:hAnsi="Times New Roman"/>
          <w:sz w:val="18"/>
          <w:szCs w:val="18"/>
          <w:color w:val="auto"/>
        </w:rPr>
      </w:pPr>
    </w:p>
    <w:p>
      <w:pPr>
        <w:ind w:left="660" w:right="8320" w:hanging="652"/>
        <w:spacing w:after="0" w:line="50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660" w:right="8060" w:hanging="652"/>
        <w:spacing w:after="0" w:line="50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2,668,913*</w:t>
      </w:r>
    </w:p>
    <w:p>
      <w:pPr>
        <w:spacing w:after="0" w:line="1" w:lineRule="exact"/>
        <w:rPr>
          <w:rFonts w:ascii="Times New Roman" w:cs="Times New Roman" w:eastAsia="Times New Roman" w:hAnsi="Times New Roman"/>
          <w:sz w:val="18"/>
          <w:szCs w:val="18"/>
          <w:color w:val="auto"/>
        </w:rPr>
      </w:pPr>
    </w:p>
    <w:p>
      <w:pPr>
        <w:ind w:left="660" w:right="4040" w:hanging="652"/>
        <w:spacing w:after="0" w:line="50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2,668,913*</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 [_]</w:t>
      </w:r>
    </w:p>
    <w:p>
      <w:pPr>
        <w:spacing w:after="0" w:line="225" w:lineRule="exact"/>
        <w:rPr>
          <w:rFonts w:ascii="Times New Roman" w:cs="Times New Roman" w:eastAsia="Times New Roman" w:hAnsi="Times New Roman"/>
          <w:sz w:val="18"/>
          <w:szCs w:val="18"/>
          <w:color w:val="auto"/>
        </w:rPr>
      </w:pPr>
    </w:p>
    <w:p>
      <w:pPr>
        <w:ind w:left="660" w:right="5540" w:hanging="652"/>
        <w:spacing w:after="0" w:line="50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8.66%*</w:t>
      </w:r>
    </w:p>
    <w:p>
      <w:pPr>
        <w:spacing w:after="0" w:line="1" w:lineRule="exact"/>
        <w:rPr>
          <w:rFonts w:ascii="Times New Roman" w:cs="Times New Roman" w:eastAsia="Times New Roman" w:hAnsi="Times New Roman"/>
          <w:sz w:val="18"/>
          <w:szCs w:val="18"/>
          <w:color w:val="auto"/>
        </w:rPr>
      </w:pPr>
    </w:p>
    <w:p>
      <w:pPr>
        <w:ind w:left="660" w:right="6260" w:hanging="652"/>
        <w:spacing w:after="0" w:line="53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1.  (a).</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9"/>
        </w:trPr>
        <w:tc>
          <w:tcPr>
            <w:tcW w:w="130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Athira Pharma, Inc.</w:t>
            </w:r>
          </w:p>
        </w:tc>
      </w:tr>
      <w:tr>
        <w:trPr>
          <w:trHeight w:val="432"/>
        </w:trPr>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14"/>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4000 Mason Road, Suite 300</w:t>
            </w:r>
          </w:p>
        </w:tc>
      </w:tr>
      <w:tr>
        <w:trPr>
          <w:trHeight w:val="255"/>
        </w:trPr>
        <w:tc>
          <w:tcPr>
            <w:tcW w:w="1300" w:type="dxa"/>
            <w:vAlign w:val="bottom"/>
          </w:tcPr>
          <w:p>
            <w:pPr>
              <w:spacing w:after="0"/>
              <w:rPr>
                <w:sz w:val="22"/>
                <w:szCs w:val="22"/>
                <w:color w:val="auto"/>
              </w:rPr>
            </w:pP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Seattle, WA 98195</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  (a).</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414"/>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RTW Investments, LP</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RTW Master Fund, Ltd.</w:t>
            </w:r>
          </w:p>
        </w:tc>
      </w:tr>
      <w:tr>
        <w:trPr>
          <w:trHeight w:val="255"/>
        </w:trPr>
        <w:tc>
          <w:tcPr>
            <w:tcW w:w="1300" w:type="dxa"/>
            <w:vAlign w:val="bottom"/>
          </w:tcPr>
          <w:p>
            <w:pPr>
              <w:spacing w:after="0"/>
              <w:rPr>
                <w:sz w:val="22"/>
                <w:szCs w:val="22"/>
                <w:color w:val="auto"/>
              </w:rPr>
            </w:pP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Roderick Wong</w:t>
            </w:r>
          </w:p>
        </w:tc>
      </w:tr>
      <w:tr>
        <w:trPr>
          <w:trHeight w:val="432"/>
        </w:trPr>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Address or principal business office or, if none, residence:</w:t>
            </w:r>
          </w:p>
        </w:tc>
      </w:tr>
      <w:tr>
        <w:trPr>
          <w:trHeight w:val="417"/>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RTW Investments, LP</w:t>
            </w:r>
          </w:p>
        </w:tc>
      </w:tr>
      <w:tr>
        <w:trPr>
          <w:trHeight w:val="253"/>
        </w:trPr>
        <w:tc>
          <w:tcPr>
            <w:tcW w:w="1300" w:type="dxa"/>
            <w:vAlign w:val="bottom"/>
          </w:tcPr>
          <w:p>
            <w:pPr>
              <w:spacing w:after="0"/>
              <w:rPr>
                <w:sz w:val="21"/>
                <w:szCs w:val="21"/>
                <w:color w:val="auto"/>
              </w:rPr>
            </w:pPr>
          </w:p>
        </w:tc>
        <w:tc>
          <w:tcPr>
            <w:tcW w:w="994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40 10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Floor 7</w:t>
            </w:r>
          </w:p>
        </w:tc>
      </w:tr>
      <w:tr>
        <w:trPr>
          <w:trHeight w:val="234"/>
        </w:trPr>
        <w:tc>
          <w:tcPr>
            <w:tcW w:w="130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10014</w:t>
            </w:r>
          </w:p>
        </w:tc>
      </w:tr>
      <w:tr>
        <w:trPr>
          <w:trHeight w:val="414"/>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RTW Master Fund, Ltd.</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c/o Intertrust Corporate Services (Cayman) Limited</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190 Elgin Avenue, George Town</w:t>
            </w:r>
          </w:p>
        </w:tc>
      </w:tr>
      <w:tr>
        <w:trPr>
          <w:trHeight w:val="234"/>
        </w:trPr>
        <w:tc>
          <w:tcPr>
            <w:tcW w:w="130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Grand Cayman KY1-9001, Cayman Islands</w:t>
            </w:r>
          </w:p>
        </w:tc>
      </w:tr>
      <w:tr>
        <w:trPr>
          <w:trHeight w:val="414"/>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Roderick Wong</w:t>
            </w:r>
          </w:p>
        </w:tc>
      </w:tr>
      <w:tr>
        <w:trPr>
          <w:trHeight w:val="220"/>
        </w:trPr>
        <w:tc>
          <w:tcPr>
            <w:tcW w:w="130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c/o RTW Investments, LP</w:t>
            </w:r>
          </w:p>
        </w:tc>
      </w:tr>
      <w:tr>
        <w:trPr>
          <w:trHeight w:val="253"/>
        </w:trPr>
        <w:tc>
          <w:tcPr>
            <w:tcW w:w="1300" w:type="dxa"/>
            <w:vAlign w:val="bottom"/>
          </w:tcPr>
          <w:p>
            <w:pPr>
              <w:spacing w:after="0"/>
              <w:rPr>
                <w:sz w:val="21"/>
                <w:szCs w:val="21"/>
                <w:color w:val="auto"/>
              </w:rPr>
            </w:pPr>
          </w:p>
        </w:tc>
        <w:tc>
          <w:tcPr>
            <w:tcW w:w="994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40 10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Floor 7</w:t>
            </w:r>
          </w:p>
        </w:tc>
      </w:tr>
      <w:tr>
        <w:trPr>
          <w:trHeight w:val="255"/>
        </w:trPr>
        <w:tc>
          <w:tcPr>
            <w:tcW w:w="1300" w:type="dxa"/>
            <w:vAlign w:val="bottom"/>
          </w:tcPr>
          <w:p>
            <w:pPr>
              <w:spacing w:after="0"/>
              <w:rPr>
                <w:sz w:val="22"/>
                <w:szCs w:val="22"/>
                <w:color w:val="auto"/>
              </w:rPr>
            </w:pP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10014</w:t>
            </w:r>
          </w:p>
        </w:tc>
      </w:tr>
      <w:tr>
        <w:trPr>
          <w:trHeight w:val="432"/>
        </w:trPr>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Citizenship:</w:t>
            </w:r>
          </w:p>
        </w:tc>
      </w:tr>
      <w:tr>
        <w:trPr>
          <w:trHeight w:val="414"/>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RTW Investments, LP – Delaware</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RTW Master Fund, Ltd. – Cayman Islands</w:t>
            </w:r>
          </w:p>
        </w:tc>
      </w:tr>
      <w:tr>
        <w:trPr>
          <w:trHeight w:val="241"/>
        </w:trPr>
        <w:tc>
          <w:tcPr>
            <w:tcW w:w="1300" w:type="dxa"/>
            <w:vAlign w:val="bottom"/>
          </w:tcPr>
          <w:p>
            <w:pPr>
              <w:spacing w:after="0"/>
              <w:rPr>
                <w:sz w:val="20"/>
                <w:szCs w:val="20"/>
                <w:color w:val="auto"/>
              </w:rPr>
            </w:pP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Roderick Wong – United States of America</w:t>
            </w:r>
          </w:p>
        </w:tc>
      </w:tr>
      <w:tr>
        <w:trPr>
          <w:trHeight w:val="432"/>
        </w:trPr>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53"/>
        </w:trPr>
        <w:tc>
          <w:tcPr>
            <w:tcW w:w="130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432"/>
        </w:trPr>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r>
      <w:tr>
        <w:trPr>
          <w:trHeight w:val="452"/>
        </w:trPr>
        <w:tc>
          <w:tcPr>
            <w:tcW w:w="130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04746L104</w:t>
            </w:r>
          </w:p>
        </w:tc>
      </w:tr>
      <w:tr>
        <w:trPr>
          <w:trHeight w:val="439"/>
        </w:trPr>
        <w:tc>
          <w:tcPr>
            <w:tcW w:w="13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 w:name="page6"/>
    <w:bookmarkEnd w:id="5"/>
    <w:p>
      <w:pPr>
        <w:spacing w:after="0"/>
        <w:tabs>
          <w:tab w:leader="none" w:pos="64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§§.240.13d-1(b) or 240.13d-2(b), or (c), check whether the person filing is a</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Item 4.</w:t>
        <w:tab/>
        <w:t>Ownership.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RTW Investments, LP – 2,668,913*</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RTW Master Fund, Ltd. – 1,695,399*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Roderick Wong – 2,668,913*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14605</wp:posOffset>
            </wp:positionV>
            <wp:extent cx="63093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9360" cy="17145"/>
                    </a:xfrm>
                    <a:prstGeom prst="rect">
                      <a:avLst/>
                    </a:prstGeom>
                    <a:noFill/>
                  </pic:spPr>
                </pic:pic>
              </a:graphicData>
            </a:graphic>
          </wp:anchor>
        </w:drawing>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RTW Investments, LP – 8.66%*</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RTW Master Fund, Ltd. – 5.50%*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Roderick Wong – 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14605</wp:posOffset>
            </wp:positionV>
            <wp:extent cx="63093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9360" cy="17145"/>
                    </a:xfrm>
                    <a:prstGeom prst="rect">
                      <a:avLst/>
                    </a:prstGeom>
                    <a:noFill/>
                  </pic:spPr>
                </pic:pic>
              </a:graphicData>
            </a:graphic>
          </wp:anchor>
        </w:drawing>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Number of shares as to which the person has:</w:t>
      </w:r>
    </w:p>
    <w:p>
      <w:pPr>
        <w:spacing w:after="0" w:line="225" w:lineRule="exact"/>
        <w:rPr>
          <w:sz w:val="20"/>
          <w:szCs w:val="20"/>
          <w:color w:val="auto"/>
        </w:rPr>
      </w:pPr>
    </w:p>
    <w:p>
      <w:pPr>
        <w:jc w:val="center"/>
        <w:ind w:right="6800"/>
        <w:spacing w:after="0"/>
        <w:tabs>
          <w:tab w:leader="none" w:pos="1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Sole power to vote or to direct the vote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RTW Investments, LP – 0</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RTW Master Fund, Ltd. – 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Roderick Wong – 0</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RTW Investments, LP – 2,668,913*</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RTW Master Fund, Ltd. – 1,695,399*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Roderick Wong – 2,668,913*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RTW Investments, LP – 0</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RTW Master Fund, Ltd. – 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Roderick Wong – 0</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RTW Investments, LP – 2,668,913*</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RTW Master Fund, Ltd. – 1,695,399*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Roderick Wong – 2,668,913*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jc w:val="both"/>
        <w:ind w:firstLine="8"/>
        <w:spacing w:after="0" w:line="254" w:lineRule="auto"/>
        <w:tabs>
          <w:tab w:leader="none" w:pos="1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(the “Shares”), of Athira Pharma, Inc. (the “Company”) reported herein are held by RTW Master Fund, Ltd. and one or more private funds (together the “Funds”) managed by RTW Investments, LP (the “Adviser”). The Adviser, in its capacity as the investment manager of the Funds, has the power to vote and the power to direct the disposition of all Shares held by the Funds. Accordingly, for the purposes of Reg. Section 240.13d-3, the Adviser may be deemed to beneficially own an aggregate of 2,668,913 Shares, or 8.66% of the Company’s 30,819,318 Shares deemed issued and outstanding as of September 18, 2020, as disclosed in the Issuer’s prospectus filed with the SEC on September 18, 2020. Roderick Wong is the Managing Partner of the Adviser. This report shall not be deemed an admission that the Adviser, the Funds or any other person is the beneficial owner of the securities reported herein for purposes of Section 13 of the Securities Exchange Act of 1934, as amended, or for any other purpose. Each of the reporting persons herein disclaims beneficial ownership of the Shares reported herein except to the extent of the reporting person’s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tabs>
          <w:tab w:leader="none" w:pos="64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7208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7208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46" w:lineRule="exact"/>
        <w:rPr>
          <w:sz w:val="20"/>
          <w:szCs w:val="20"/>
          <w:color w:val="auto"/>
        </w:rPr>
      </w:pPr>
    </w:p>
    <w:p>
      <w:pPr>
        <w:ind w:left="660" w:right="24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Item 7.</w:t>
        <w:tab/>
        <w:t>Identification and Classification of the Subsidiary Which Acquired the Security Being Reported on by the Parent Holding Company or Control Person.</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7208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Item 8.</w:t>
        <w:tab/>
        <w:t>Identification and Classification of Members of the Group.</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7208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Notice of Dissolution of Group.</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jc w:val="center"/>
        <w:ind w:right="96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7208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 Certification.</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Dated: September 28, 2020</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RTW Investments, LP</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Managing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RTW Master Fund, Ltd.</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Director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Roderick Wong</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Individually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consent and agree to the joint filing of Schedule 13G under the Securities Exchange Act of 1934, as amended, with respect to the Common Stock of Athira Pharma, Inc. beneficially owned by them, together with any or all amendments thereto, when and if appropriate. The parties hereto further consent and agree to file this Joint Filing Statement pursuant to Rule13d-1(k)(1)(iii) as an exhibit to Schedule 13G, thereby incorporating the same into such Schedule13G.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Statement may be terminated by any of the undersigned upon written notice or such lesser period of notice as the undersigned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28, 2020</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RTW Investments, LP</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Managing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RTW Master Fund, Ltd.</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Director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Roderick Wong</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Roderick Wong,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decimal"/>
      <w:start w:val="5"/>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2020-09-28T15:03:29Z</dcterms:created>
  <dcterms:modified xsi:type="dcterms:W3CDTF">2020-09-28T15:03:29Z</dcterms:modified>
</cp:coreProperties>
</file>