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January 15, 2021</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United States Securities and Exchange Commission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30" w:lineRule="auto"/>
        <w:rPr>
          <w:sz w:val="20"/>
          <w:szCs w:val="20"/>
          <w:color w:val="auto"/>
        </w:rPr>
      </w:pPr>
      <w:r>
        <w:rPr>
          <w:rFonts w:ascii="Times New Roman" w:cs="Times New Roman" w:eastAsia="Times New Roman" w:hAnsi="Times New Roman"/>
          <w:sz w:val="22"/>
          <w:szCs w:val="22"/>
          <w:color w:val="auto"/>
        </w:rPr>
        <w:t>Office of Life Sciences</w:t>
      </w:r>
    </w:p>
    <w:p>
      <w:pPr>
        <w:spacing w:after="0" w:line="231" w:lineRule="auto"/>
        <w:rPr>
          <w:sz w:val="20"/>
          <w:szCs w:val="20"/>
          <w:color w:val="auto"/>
        </w:rPr>
      </w:pPr>
      <w:r>
        <w:rPr>
          <w:rFonts w:ascii="Times New Roman" w:cs="Times New Roman" w:eastAsia="Times New Roman" w:hAnsi="Times New Roman"/>
          <w:sz w:val="22"/>
          <w:szCs w:val="22"/>
          <w:color w:val="auto"/>
        </w:rPr>
        <w:t>100 F Street, N.E.</w:t>
      </w:r>
    </w:p>
    <w:p>
      <w:pPr>
        <w:spacing w:after="0"/>
        <w:rPr>
          <w:sz w:val="20"/>
          <w:szCs w:val="20"/>
          <w:color w:val="auto"/>
        </w:rPr>
      </w:pPr>
      <w:r>
        <w:rPr>
          <w:rFonts w:ascii="Times New Roman" w:cs="Times New Roman" w:eastAsia="Times New Roman" w:hAnsi="Times New Roman"/>
          <w:sz w:val="22"/>
          <w:szCs w:val="22"/>
          <w:color w:val="auto"/>
        </w:rPr>
        <w:t>Washington, DC 20549</w:t>
      </w:r>
    </w:p>
    <w:p>
      <w:pPr>
        <w:sectPr>
          <w:pgSz w:w="11900" w:h="16838" w:orient="portrait"/>
          <w:cols w:equalWidth="0" w:num="1">
            <w:col w:w="11240"/>
          </w:cols>
          <w:pgMar w:left="320" w:top="450" w:right="339" w:bottom="1440" w:gutter="0" w:footer="0" w:header="0"/>
        </w:sect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David Gessert</w:t>
      </w:r>
    </w:p>
    <w:p>
      <w:pPr>
        <w:spacing w:after="0" w:line="200" w:lineRule="exact"/>
        <w:rPr>
          <w:sz w:val="24"/>
          <w:szCs w:val="24"/>
          <w:color w:val="auto"/>
        </w:rPr>
      </w:pPr>
    </w:p>
    <w:p>
      <w:pPr>
        <w:sectPr>
          <w:pgSz w:w="11900" w:h="16838" w:orient="portrait"/>
          <w:cols w:equalWidth="0" w:num="2">
            <w:col w:w="1000" w:space="720"/>
            <w:col w:w="9520"/>
          </w:cols>
          <w:pgMar w:left="320" w:top="45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Athira Pharma, Inc.</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Draft Registration Statement on Form S-1 Submitted January 6, 2021</w:t>
      </w:r>
    </w:p>
    <w:p>
      <w:pPr>
        <w:ind w:left="20"/>
        <w:spacing w:after="0" w:line="231" w:lineRule="auto"/>
        <w:rPr>
          <w:sz w:val="20"/>
          <w:szCs w:val="20"/>
          <w:color w:val="auto"/>
        </w:rPr>
      </w:pPr>
      <w:r>
        <w:rPr>
          <w:rFonts w:ascii="Times New Roman" w:cs="Times New Roman" w:eastAsia="Times New Roman" w:hAnsi="Times New Roman"/>
          <w:sz w:val="22"/>
          <w:szCs w:val="22"/>
          <w:b w:val="1"/>
          <w:bCs w:val="1"/>
          <w:color w:val="auto"/>
        </w:rPr>
        <w:t>Registration Statement on Form S-1 to be filed January 19, 2021</w:t>
      </w:r>
    </w:p>
    <w:p>
      <w:pPr>
        <w:spacing w:after="0" w:line="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File No. 333-</w:t>
      </w:r>
    </w:p>
    <w:p>
      <w:pPr>
        <w:spacing w:after="0" w:line="182" w:lineRule="exact"/>
        <w:rPr>
          <w:sz w:val="24"/>
          <w:szCs w:val="24"/>
          <w:color w:val="auto"/>
        </w:rPr>
      </w:pPr>
    </w:p>
    <w:p>
      <w:pPr>
        <w:sectPr>
          <w:pgSz w:w="11900" w:h="16838" w:orient="portrait"/>
          <w:cols w:equalWidth="0" w:num="2">
            <w:col w:w="340" w:space="520"/>
            <w:col w:w="10380"/>
          </w:cols>
          <w:pgMar w:left="320" w:top="45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2"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Pursuant to Rule 460 of the General Rules and Regulations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we wish to advise that as of the time of this filing, the underwriters have not yet made any distribution of the Preliminary Prospectus of Athira Pharma, Inc. (the “</w:t>
      </w:r>
      <w:r>
        <w:rPr>
          <w:rFonts w:ascii="Times New Roman" w:cs="Times New Roman" w:eastAsia="Times New Roman" w:hAnsi="Times New Roman"/>
          <w:sz w:val="22"/>
          <w:szCs w:val="22"/>
          <w:b w:val="1"/>
          <w:bCs w:val="1"/>
          <w:color w:val="auto"/>
        </w:rPr>
        <w:t>Registrant</w:t>
      </w:r>
      <w:r>
        <w:rPr>
          <w:rFonts w:ascii="Times New Roman" w:cs="Times New Roman" w:eastAsia="Times New Roman" w:hAnsi="Times New Roman"/>
          <w:sz w:val="22"/>
          <w:szCs w:val="22"/>
          <w:color w:val="auto"/>
        </w:rPr>
        <w:t>”) dated January 19, 2021. However, the underwriters are taking steps to see that all underwriters, brokers or dealers participating in the public offering of shares of the Registrant’s common stock pursuant to the above-captioned Registration Statement, as amended (the “</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are promptly furnished with sufficient copies of the preliminary and final prospectus to enable them to comply with the prospectus delivery requirements of Sections 5(b)(1) and (2) of the Securities Act.</w:t>
      </w:r>
    </w:p>
    <w:p>
      <w:pPr>
        <w:spacing w:after="0" w:line="180" w:lineRule="exact"/>
        <w:rPr>
          <w:sz w:val="24"/>
          <w:szCs w:val="24"/>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We wish to advise you that the participating underwriters have complied and will continue to comply with the requirements of Rule 15c2-8 under the Securities Exchange Act of 1934, as amended.</w:t>
      </w:r>
    </w:p>
    <w:p>
      <w:pPr>
        <w:spacing w:after="0" w:line="158" w:lineRule="exact"/>
        <w:rPr>
          <w:sz w:val="24"/>
          <w:szCs w:val="24"/>
          <w:color w:val="auto"/>
        </w:rPr>
      </w:pPr>
    </w:p>
    <w:p>
      <w:pPr>
        <w:ind w:right="1020"/>
        <w:spacing w:after="0" w:line="258" w:lineRule="auto"/>
        <w:rPr>
          <w:sz w:val="20"/>
          <w:szCs w:val="20"/>
          <w:color w:val="auto"/>
        </w:rPr>
      </w:pPr>
      <w:r>
        <w:rPr>
          <w:rFonts w:ascii="Times New Roman" w:cs="Times New Roman" w:eastAsia="Times New Roman" w:hAnsi="Times New Roman"/>
          <w:sz w:val="22"/>
          <w:szCs w:val="22"/>
          <w:color w:val="auto"/>
        </w:rPr>
        <w:t>We hereby join in the request of the Registrant that the effectiveness of the above-captioned Registration Statement be accelerated to 4:30 p.m. Eastern Time, on Wednesday, January 20, 2021 or as soon thereafter as practicable.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GOLDMAN SACHS &amp; CO.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JEFFERIES LLC</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As representatives of the Underwriters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Goldman Sachs &amp; Co. LLC</w:t>
            </w:r>
          </w:p>
        </w:tc>
      </w:tr>
      <w:tr>
        <w:trPr>
          <w:trHeight w:val="87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Elizabeth Wood</w:t>
            </w:r>
          </w:p>
        </w:tc>
      </w:tr>
      <w:tr>
        <w:trPr>
          <w:trHeight w:val="200"/>
        </w:trPr>
        <w:tc>
          <w:tcPr>
            <w:tcW w:w="740" w:type="dxa"/>
            <w:vAlign w:val="bottom"/>
          </w:tcPr>
          <w:p>
            <w:pPr>
              <w:spacing w:after="0"/>
              <w:rPr>
                <w:sz w:val="17"/>
                <w:szCs w:val="17"/>
                <w:color w:val="auto"/>
              </w:rPr>
            </w:pPr>
          </w:p>
        </w:tc>
        <w:tc>
          <w:tcPr>
            <w:tcW w:w="8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780" w:type="dxa"/>
            <w:vAlign w:val="bottom"/>
          </w:tcPr>
          <w:p>
            <w:pPr>
              <w:ind w:left="280"/>
              <w:spacing w:after="0" w:line="200" w:lineRule="exact"/>
              <w:rPr>
                <w:sz w:val="20"/>
                <w:szCs w:val="20"/>
                <w:color w:val="auto"/>
              </w:rPr>
            </w:pPr>
            <w:r>
              <w:rPr>
                <w:rFonts w:ascii="Times New Roman" w:cs="Times New Roman" w:eastAsia="Times New Roman" w:hAnsi="Times New Roman"/>
                <w:sz w:val="20"/>
                <w:szCs w:val="20"/>
                <w:color w:val="auto"/>
              </w:rPr>
              <w:t>Elizabeth Wood</w:t>
            </w:r>
          </w:p>
        </w:tc>
      </w:tr>
      <w:tr>
        <w:trPr>
          <w:trHeight w:val="258"/>
        </w:trPr>
        <w:tc>
          <w:tcPr>
            <w:tcW w:w="74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68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Jefferies LLC</w:t>
            </w:r>
          </w:p>
        </w:tc>
      </w:tr>
      <w:tr>
        <w:trPr>
          <w:trHeight w:val="872"/>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Michael Brinkman</w:t>
            </w:r>
          </w:p>
        </w:tc>
      </w:tr>
      <w:tr>
        <w:trPr>
          <w:trHeight w:val="200"/>
        </w:trPr>
        <w:tc>
          <w:tcPr>
            <w:tcW w:w="740" w:type="dxa"/>
            <w:vAlign w:val="bottom"/>
          </w:tcPr>
          <w:p>
            <w:pPr>
              <w:spacing w:after="0"/>
              <w:rPr>
                <w:sz w:val="17"/>
                <w:szCs w:val="17"/>
                <w:color w:val="auto"/>
              </w:rPr>
            </w:pPr>
          </w:p>
        </w:tc>
        <w:tc>
          <w:tcPr>
            <w:tcW w:w="8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780" w:type="dxa"/>
            <w:vAlign w:val="bottom"/>
          </w:tcPr>
          <w:p>
            <w:pPr>
              <w:ind w:left="280"/>
              <w:spacing w:after="0" w:line="200" w:lineRule="exact"/>
              <w:rPr>
                <w:sz w:val="20"/>
                <w:szCs w:val="20"/>
                <w:color w:val="auto"/>
              </w:rPr>
            </w:pPr>
            <w:r>
              <w:rPr>
                <w:rFonts w:ascii="Times New Roman" w:cs="Times New Roman" w:eastAsia="Times New Roman" w:hAnsi="Times New Roman"/>
                <w:sz w:val="20"/>
                <w:szCs w:val="20"/>
                <w:color w:val="auto"/>
              </w:rPr>
              <w:t>Michael Brinkman</w:t>
            </w:r>
          </w:p>
        </w:tc>
      </w:tr>
      <w:tr>
        <w:trPr>
          <w:trHeight w:val="258"/>
        </w:trPr>
        <w:tc>
          <w:tcPr>
            <w:tcW w:w="740" w:type="dxa"/>
            <w:vAlign w:val="bottom"/>
          </w:tcPr>
          <w:p>
            <w:pPr>
              <w:spacing w:after="0"/>
              <w:rPr>
                <w:sz w:val="22"/>
                <w:szCs w:val="2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419"/>
        <w:spacing w:after="0"/>
        <w:rPr>
          <w:sz w:val="20"/>
          <w:szCs w:val="20"/>
          <w:color w:val="auto"/>
        </w:rPr>
      </w:pPr>
      <w:r>
        <w:rPr>
          <w:rFonts w:ascii="Times New Roman" w:cs="Times New Roman" w:eastAsia="Times New Roman" w:hAnsi="Times New Roman"/>
          <w:sz w:val="22"/>
          <w:szCs w:val="22"/>
          <w:i w:val="1"/>
          <w:iCs w:val="1"/>
          <w:color w:val="auto"/>
        </w:rPr>
        <w:t>[Signature Page to Acceleration Request Letter]</w:t>
      </w:r>
    </w:p>
    <w:sectPr>
      <w:pgSz w:w="11900" w:h="16838" w:orient="portrait"/>
      <w:cols w:equalWidth="0" w:num="1">
        <w:col w:w="10139"/>
      </w:cols>
      <w:pgMar w:left="32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2021-02-18T23:04:35Z</dcterms:created>
  <dcterms:modified xsi:type="dcterms:W3CDTF">2021-02-18T23:04:35Z</dcterms:modified>
</cp:coreProperties>
</file>