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91"/>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226" w:right="47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160"/>
          </w:cols>
          <w:pgMar w:left="320" w:top="1226"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ATHA</w:t>
      </w:r>
    </w:p>
    <w:p>
      <w:pPr>
        <w:spacing w:after="0" w:line="20" w:lineRule="exact"/>
        <w:rPr>
          <w:sz w:val="24"/>
          <w:szCs w:val="24"/>
          <w:color w:val="auto"/>
        </w:rPr>
      </w:pPr>
      <w:r>
        <w:rPr>
          <w:sz w:val="24"/>
          <w:szCs w:val="24"/>
          <w:color w:val="auto"/>
        </w:rPr>
        <w:br w:type="column"/>
      </w:r>
    </w:p>
    <w:p>
      <w:pPr>
        <w:jc w:val="right"/>
        <w:ind w:right="82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88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87" w:lineRule="exact"/>
        <w:rPr>
          <w:sz w:val="24"/>
          <w:szCs w:val="24"/>
          <w:color w:val="auto"/>
        </w:rPr>
      </w:pPr>
    </w:p>
    <w:p>
      <w:pPr>
        <w:sectPr>
          <w:pgSz w:w="11900" w:h="16838" w:orient="portrait"/>
          <w:cols w:equalWidth="0" w:num="3">
            <w:col w:w="4680" w:space="720"/>
            <w:col w:w="2120" w:space="720"/>
            <w:col w:w="2860"/>
          </w:cols>
          <w:pgMar w:left="320" w:top="1226"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2113280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8.01. Other Events.</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As previously reported, on October 16, 2024, Athira Pharma, Inc. (the “Company”) received written notice from the Listing Qualifications Department of The Nasdaq Stock Market LLC (“Nasdaq”) notifying the Company that the closing bid price for the Company’s common stock (the “Common Stock”) had fallen below $1.00 per share for 30 consecutive business days, which is the minimum closing bid price required to maintain listing on The Nasdaq Stock Market under applicable Nasdaq Listing Rules (the “Minimum Bid Requirement”).</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On October 2, 2025, the Company received written notice from Nasdaq notifying the Company that since the closing bid price for the Common Stock was $1.00 per share or greater for ten consecutive business days, the Company has regained compliance with the Minimum Bid Requirement and this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Athira Pharma, Inc.</w:t>
            </w:r>
          </w:p>
        </w:tc>
      </w:tr>
      <w:tr>
        <w:trPr>
          <w:trHeight w:val="432"/>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October 3, 2025</w:t>
            </w:r>
          </w:p>
        </w:tc>
        <w:tc>
          <w:tcPr>
            <w:tcW w:w="24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Litton</w:t>
            </w:r>
          </w:p>
        </w:tc>
      </w:tr>
      <w:tr>
        <w:trPr>
          <w:trHeight w:val="191"/>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3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2025-10-03T08:14:58Z</dcterms:created>
  <dcterms:modified xsi:type="dcterms:W3CDTF">2025-10-03T08:14:58Z</dcterms:modified>
</cp:coreProperties>
</file>