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7065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706564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54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Litton Mark James</w:t>
              </w:r>
            </w:hyperlink>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Athira 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ATHA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Borders>
              <w:top w:val="single" w:sz="8" w:color="0000EE"/>
            </w:tcBorders>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ATHIRA PHARMA, INC.</w:t>
            </w:r>
          </w:p>
        </w:tc>
        <w:tc>
          <w:tcPr>
            <w:tcW w:w="1320" w:type="dxa"/>
            <w:vAlign w:val="bottom"/>
          </w:tcPr>
          <w:p>
            <w:pPr>
              <w:spacing w:after="0"/>
              <w:rPr>
                <w:sz w:val="19"/>
                <w:szCs w:val="19"/>
                <w:color w:val="auto"/>
              </w:rPr>
            </w:pP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06/22/2022</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320" w:type="dxa"/>
            <w:vAlign w:val="bottom"/>
            <w:gridSpan w:val="3"/>
            <w:vMerge w:val="continue"/>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jc w:val="center"/>
        <w:ind w:right="11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0"/>
          <w:szCs w:val="20"/>
          <w:color w:val="auto"/>
        </w:rPr>
      </w:pPr>
    </w:p>
    <w:p>
      <w:pPr>
        <w:sectPr>
          <w:pgSz w:w="11900" w:h="16838" w:orient="portrait"/>
          <w:cols w:equalWidth="0" w:num="2">
            <w:col w:w="7660" w:space="75"/>
            <w:col w:w="3265"/>
          </w:cols>
          <w:pgMar w:left="460" w:top="219" w:right="439" w:bottom="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0"/>
          <w:szCs w:val="20"/>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660" w:type="dxa"/>
            <w:vAlign w:val="bottom"/>
            <w:tcBorders>
              <w:bottom w:val="single" w:sz="8" w:color="2C2C2C"/>
            </w:tcBorders>
          </w:tcPr>
          <w:p>
            <w:pPr>
              <w:jc w:val="center"/>
              <w:ind w:left="507"/>
              <w:spacing w:after="0"/>
              <w:rPr>
                <w:sz w:val="20"/>
                <w:szCs w:val="20"/>
                <w:color w:val="auto"/>
              </w:rPr>
            </w:pPr>
            <w:r>
              <w:rPr>
                <w:rFonts w:ascii="Times New Roman" w:cs="Times New Roman" w:eastAsia="Times New Roman" w:hAnsi="Times New Roman"/>
                <w:sz w:val="17"/>
                <w:szCs w:val="17"/>
                <w:color w:val="0000FF"/>
                <w:w w:val="97"/>
              </w:rPr>
              <w:t>05/18/2022</w:t>
            </w:r>
            <w:r>
              <w:rPr>
                <w:rFonts w:ascii="Times New Roman" w:cs="Times New Roman" w:eastAsia="Times New Roman" w:hAnsi="Times New Roman"/>
                <w:sz w:val="22"/>
                <w:szCs w:val="22"/>
                <w:color w:val="008000"/>
                <w:w w:val="97"/>
                <w:vertAlign w:val="superscript"/>
              </w:rPr>
              <w:t>(2)</w:t>
            </w: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757</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7.06</w:t>
            </w:r>
            <w:r>
              <w:rPr>
                <w:rFonts w:ascii="Times New Roman" w:cs="Times New Roman" w:eastAsia="Times New Roman" w:hAnsi="Times New Roman"/>
                <w:sz w:val="22"/>
                <w:szCs w:val="22"/>
                <w:color w:val="008000"/>
                <w:w w:val="92"/>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116,515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06/22/2022</w:t>
            </w: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20,000</w:t>
            </w:r>
            <w:r>
              <w:rPr>
                <w:rFonts w:ascii="Times New Roman" w:cs="Times New Roman" w:eastAsia="Times New Roman" w:hAnsi="Times New Roman"/>
                <w:sz w:val="22"/>
                <w:szCs w:val="22"/>
                <w:color w:val="008000"/>
                <w:w w:val="97"/>
                <w:vertAlign w:val="superscript"/>
              </w:rPr>
              <w:t>(4)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136,515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06/23/2022</w:t>
            </w: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(5)</w:t>
            </w: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7,960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2.69</w:t>
            </w:r>
            <w:r>
              <w:rPr>
                <w:rFonts w:ascii="Times New Roman" w:cs="Times New Roman" w:eastAsia="Times New Roman" w:hAnsi="Times New Roman"/>
                <w:sz w:val="22"/>
                <w:szCs w:val="22"/>
                <w:color w:val="008000"/>
                <w:w w:val="92"/>
                <w:vertAlign w:val="superscript"/>
              </w:rPr>
              <w:t>(6)</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128,555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6,563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20"/>
        </w:trPr>
        <w:tc>
          <w:tcPr>
            <w:tcW w:w="238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93"/>
        </w:trPr>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OSL</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6,563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20"/>
        </w:trPr>
        <w:tc>
          <w:tcPr>
            <w:tcW w:w="238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93"/>
        </w:trPr>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SWL</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6,563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20"/>
        </w:trPr>
        <w:tc>
          <w:tcPr>
            <w:tcW w:w="238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107"/>
        </w:trPr>
        <w:tc>
          <w:tcPr>
            <w:tcW w:w="23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WGL</w:t>
      </w:r>
      <w:r>
        <w:rPr>
          <w:rFonts w:ascii="Times New Roman" w:cs="Times New Roman" w:eastAsia="Times New Roman" w:hAnsi="Times New Roman"/>
          <w:sz w:val="22"/>
          <w:szCs w:val="22"/>
          <w:color w:val="008000"/>
          <w:vertAlign w:val="superscript"/>
        </w:rPr>
        <w:t>(9)</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Athira Pharma, Inc. 2020 Employee Stock Purchase Plan ("ESPP"), for the ESPP Purchase Period (as defined in the ESPP) of November 18, 2021 through May 18, 2022. This transaction is also exempt under Rule 16b-3(c).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Period ended May 18, 2022 and is the Purchase Period comprising the Offering Period (as defined in the ESPP) that began November 18,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on May 18, 2022.</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3, 2021, the reporting person was granted restricted stock units ("RSUs") representing 60,000 shares of Common Stock of the Issuer. The RSUs were scheduled to vest according to the following schedule: (1) one third (1/3rd) of the number of shares subject to the RSU award vest at the completion of the public readout of topline results of the Issuer's ACT-AD Phase 2 clinical trial; (2) one third (1/3rd) of the number of shares subject to the RSU award vest at the completion of the public readout of topline results of the Issuer's LIFT-AD Phase 2/3 clinical trial (the "LIFT-AD Readout") and (3) one third (1/3rd) of the number of shares subject to the RSU award vest six (6) months after the LIFT-AD Readout, in each case subject to continued service with the Issuer through the applicable vesting date. On June 22, 2022, the Issuer completed the public readout of topline results of the ACT-AD Phase 2 clinical trial and 20,000 RSUs vested and settled on such date.</w:t>
      </w:r>
    </w:p>
    <w:p>
      <w:pPr>
        <w:spacing w:after="0" w:line="26" w:lineRule="exact"/>
        <w:rPr>
          <w:rFonts w:ascii="Times New Roman" w:cs="Times New Roman" w:eastAsia="Times New Roman" w:hAnsi="Times New Roman"/>
          <w:sz w:val="13"/>
          <w:szCs w:val="13"/>
          <w:color w:val="008000"/>
        </w:rPr>
      </w:pPr>
    </w:p>
    <w:p>
      <w:pPr>
        <w:ind w:left="40" w:right="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cover the Issuer's tax withholding obligations in connection with the vesting of RSUs. Such sale was made pursuant to an Issuer-mandated policy and was not subject to discretion.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$2.62 to $2.78,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held by Irrevocable Trust of OSL held for the benefit of Dr. Litton's children.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held by Irrevocable Trust of SWL held for the benefit of Dr. Litton's children.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held by Irrevocable Trust of WGL held for the benefit of Dr. Litton's children.</w:t>
      </w:r>
    </w:p>
    <w:p>
      <w:pPr>
        <w:sectPr>
          <w:pgSz w:w="11900" w:h="16838" w:orient="portrait"/>
          <w:cols w:equalWidth="0" w:num="1">
            <w:col w:w="11000"/>
          </w:cols>
          <w:pgMar w:left="460" w:top="219" w:right="439" w:bottom="0" w:gutter="0" w:footer="0" w:header="0"/>
          <w:type w:val="continuous"/>
        </w:sectPr>
      </w:pP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00"/>
          </w:cols>
          <w:pgMar w:left="460" w:top="219" w:right="43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/s/ Glenna Mileson, Attorney-  06/24/2022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73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on behalf of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6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68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4834"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2022-06-24T18:53:33Z</dcterms:created>
  <dcterms:modified xsi:type="dcterms:W3CDTF">2022-06-24T18:53:33Z</dcterms:modified>
</cp:coreProperties>
</file>