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-232410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92710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Athira Pharma, Inc.</w:t>
      </w: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6"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280" w:type="dxa"/>
            <w:vAlign w:val="bottom"/>
            <w:gridSpan w:val="2"/>
          </w:tcPr>
          <w:p>
            <w:pPr>
              <w:jc w:val="right"/>
              <w:ind w:right="1402"/>
              <w:spacing w:after="0"/>
              <w:rPr>
                <w:sz w:val="20"/>
                <w:szCs w:val="20"/>
                <w:color w:val="auto"/>
              </w:rPr>
            </w:pPr>
            <w:r>
              <w:rPr>
                <w:rFonts w:ascii="Arial" w:cs="Arial" w:eastAsia="Arial" w:hAnsi="Arial"/>
                <w:sz w:val="18"/>
                <w:szCs w:val="18"/>
                <w:b w:val="1"/>
                <w:bCs w:val="1"/>
                <w:color w:val="auto"/>
              </w:rPr>
              <w:t>001-39503</w:t>
            </w:r>
          </w:p>
        </w:tc>
        <w:tc>
          <w:tcPr>
            <w:tcW w:w="660" w:type="dxa"/>
            <w:vAlign w:val="bottom"/>
          </w:tcPr>
          <w:p>
            <w:pPr>
              <w:spacing w:after="0"/>
              <w:rPr>
                <w:sz w:val="20"/>
                <w:szCs w:val="20"/>
                <w:color w:val="auto"/>
              </w:rPr>
            </w:pP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220"/>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520" w:type="dxa"/>
            <w:vAlign w:val="bottom"/>
          </w:tcPr>
          <w:p>
            <w:pPr>
              <w:spacing w:after="0"/>
              <w:rPr>
                <w:sz w:val="19"/>
                <w:szCs w:val="19"/>
                <w:color w:val="auto"/>
              </w:rPr>
            </w:pPr>
          </w:p>
        </w:tc>
        <w:tc>
          <w:tcPr>
            <w:tcW w:w="4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6"/>
                <w:szCs w:val="16"/>
                <w:color w:val="auto"/>
              </w:rPr>
            </w:pPr>
          </w:p>
        </w:tc>
        <w:tc>
          <w:tcPr>
            <w:tcW w:w="4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18706 North Creek Parkway, Suite 104</w:t>
            </w:r>
          </w:p>
        </w:tc>
        <w:tc>
          <w:tcPr>
            <w:tcW w:w="17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Bothell, WA 98011</w:t>
            </w:r>
          </w:p>
        </w:tc>
        <w:tc>
          <w:tcPr>
            <w:tcW w:w="17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300"/>
        </w:trPr>
        <w:tc>
          <w:tcPr>
            <w:tcW w:w="2160" w:type="dxa"/>
            <w:vAlign w:val="bottom"/>
          </w:tcPr>
          <w:p>
            <w:pPr>
              <w:spacing w:after="0"/>
              <w:rPr>
                <w:sz w:val="24"/>
                <w:szCs w:val="24"/>
                <w:color w:val="auto"/>
              </w:rPr>
            </w:pPr>
          </w:p>
        </w:tc>
        <w:tc>
          <w:tcPr>
            <w:tcW w:w="4280" w:type="dxa"/>
            <w:vAlign w:val="bottom"/>
            <w:gridSpan w:val="2"/>
          </w:tcPr>
          <w:p>
            <w:pPr>
              <w:jc w:val="right"/>
              <w:ind w:right="1242"/>
              <w:spacing w:after="0"/>
              <w:rPr>
                <w:sz w:val="20"/>
                <w:szCs w:val="20"/>
                <w:color w:val="auto"/>
              </w:rPr>
            </w:pPr>
            <w:r>
              <w:rPr>
                <w:rFonts w:ascii="Arial" w:cs="Arial" w:eastAsia="Arial" w:hAnsi="Arial"/>
                <w:sz w:val="18"/>
                <w:szCs w:val="18"/>
                <w:b w:val="1"/>
                <w:bCs w:val="1"/>
                <w:color w:val="auto"/>
              </w:rPr>
              <w:t>(425) 620-8501</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229"/>
        </w:trPr>
        <w:tc>
          <w:tcPr>
            <w:tcW w:w="2160" w:type="dxa"/>
            <w:vAlign w:val="bottom"/>
          </w:tcPr>
          <w:p>
            <w:pPr>
              <w:spacing w:after="0"/>
              <w:rPr>
                <w:sz w:val="19"/>
                <w:szCs w:val="19"/>
                <w:color w:val="auto"/>
              </w:rPr>
            </w:pPr>
          </w:p>
        </w:tc>
        <w:tc>
          <w:tcPr>
            <w:tcW w:w="4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19"/>
                <w:szCs w:val="19"/>
                <w:color w:val="auto"/>
              </w:rPr>
            </w:pPr>
          </w:p>
        </w:tc>
      </w:tr>
      <w:tr>
        <w:trPr>
          <w:trHeight w:val="80"/>
        </w:trPr>
        <w:tc>
          <w:tcPr>
            <w:tcW w:w="2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780" w:type="dxa"/>
            <w:vAlign w:val="bottom"/>
          </w:tcPr>
          <w:p>
            <w:pPr>
              <w:spacing w:after="0"/>
              <w:rPr>
                <w:sz w:val="6"/>
                <w:szCs w:val="6"/>
                <w:color w:val="auto"/>
              </w:rPr>
            </w:pP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480" w:hanging="361"/>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51" w:lineRule="exact"/>
        <w:rPr>
          <w:rFonts w:ascii="MS PGothic" w:cs="MS PGothic" w:eastAsia="MS PGothic" w:hAnsi="MS PGothic"/>
          <w:sz w:val="18"/>
          <w:szCs w:val="18"/>
          <w:color w:val="auto"/>
        </w:rPr>
      </w:pPr>
    </w:p>
    <w:p>
      <w:pPr>
        <w:ind w:left="480" w:hanging="361"/>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80" w:hanging="361"/>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80" w:hanging="361"/>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598" w:right="499" w:bottom="1440" w:gutter="0" w:footer="0" w:header="0"/>
        </w:sectPr>
      </w:pPr>
    </w:p>
    <w:p>
      <w:pPr>
        <w:spacing w:after="0" w:line="149"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0" w:lineRule="exact"/>
        <w:rPr>
          <w:sz w:val="24"/>
          <w:szCs w:val="24"/>
          <w:color w:val="auto"/>
        </w:rPr>
      </w:pPr>
    </w:p>
    <w:p>
      <w:pPr>
        <w:sectPr>
          <w:pgSz w:w="11900" w:h="16838" w:orient="portrait"/>
          <w:cols w:equalWidth="0" w:num="3">
            <w:col w:w="4340" w:space="720"/>
            <w:col w:w="2160" w:space="720"/>
            <w:col w:w="3140"/>
          </w:cols>
          <w:pgMar w:left="320" w:top="598" w:right="499" w:bottom="1440" w:gutter="0" w:footer="0" w:header="0"/>
          <w:type w:val="continuous"/>
        </w:sectPr>
      </w:pPr>
    </w:p>
    <w:p>
      <w:pPr>
        <w:ind w:left="52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Arial" w:cs="Arial" w:eastAsia="Arial" w:hAnsi="Arial"/>
          <w:sz w:val="16"/>
          <w:szCs w:val="16"/>
          <w:color w:val="auto"/>
        </w:rPr>
        <w:t>The Nasdaq Stock Market LLC</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(The Nasdaq Global Select Market)</w:t>
      </w:r>
    </w:p>
    <w:p>
      <w:pPr>
        <w:spacing w:after="0" w:line="128" w:lineRule="exact"/>
        <w:rPr>
          <w:sz w:val="24"/>
          <w:szCs w:val="24"/>
          <w:color w:val="auto"/>
        </w:rPr>
      </w:pPr>
    </w:p>
    <w:p>
      <w:pPr>
        <w:sectPr>
          <w:pgSz w:w="11900" w:h="16838" w:orient="portrait"/>
          <w:cols w:equalWidth="0" w:num="3">
            <w:col w:w="4680" w:space="720"/>
            <w:col w:w="2000" w:space="720"/>
            <w:col w:w="2960"/>
          </w:cols>
          <w:pgMar w:left="320" w:top="598" w:right="499" w:bottom="1440" w:gutter="0" w:footer="0" w:header="0"/>
          <w:type w:val="continuous"/>
        </w:sect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60"/>
        <w:spacing w:after="0" w:line="241" w:lineRule="exact"/>
        <w:tabs>
          <w:tab w:leader="none" w:pos="2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4"/>
          <w:szCs w:val="24"/>
          <w:color w:val="auto"/>
          <w:highlight w:val="black"/>
          <w:vertAlign w:val="superscript"/>
        </w:rPr>
        <w:t>☒</w:t>
      </w:r>
    </w:p>
    <w:p>
      <w:pPr>
        <w:spacing w:after="0" w:line="158"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98"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On August 10, 2023, Athira Pharma, Inc. (the “Company”) issued a press release reporting its financial results for the quarter ended June 30, 2023.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7.01 Regulation FD Disclosure.</w:t>
      </w:r>
    </w:p>
    <w:p>
      <w:pPr>
        <w:spacing w:after="0" w:line="121"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040" w:type="dxa"/>
            <w:vAlign w:val="bottom"/>
          </w:tcPr>
          <w:p>
            <w:pPr>
              <w:ind w:left="60"/>
              <w:spacing w:after="0" w:line="182" w:lineRule="exact"/>
              <w:rPr>
                <w:sz w:val="20"/>
                <w:szCs w:val="20"/>
                <w:color w:val="auto"/>
              </w:rPr>
            </w:pPr>
            <w:r>
              <w:rPr>
                <w:rFonts w:ascii="Arial" w:cs="Arial" w:eastAsia="Arial" w:hAnsi="Arial"/>
                <w:sz w:val="18"/>
                <w:szCs w:val="18"/>
                <w:color w:val="auto"/>
              </w:rPr>
              <w:t>99.1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80" w:type="dxa"/>
            <w:vAlign w:val="bottom"/>
            <w:gridSpan w:val="2"/>
          </w:tcPr>
          <w:p>
            <w:pPr>
              <w:spacing w:after="0" w:line="182" w:lineRule="exact"/>
              <w:rPr>
                <w:sz w:val="20"/>
                <w:szCs w:val="20"/>
                <w:color w:val="auto"/>
              </w:rPr>
            </w:pPr>
            <w:r>
              <w:rPr>
                <w:rFonts w:ascii="Arial" w:cs="Arial" w:eastAsia="Arial" w:hAnsi="Arial"/>
                <w:sz w:val="18"/>
                <w:szCs w:val="18"/>
                <w:color w:val="0000FF"/>
              </w:rPr>
              <w:t>Athira Pharma, Inc. press release dated August 10, 2023</w:t>
            </w: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412"/>
        </w:trPr>
        <w:tc>
          <w:tcPr>
            <w:tcW w:w="1040" w:type="dxa"/>
            <w:vAlign w:val="bottom"/>
          </w:tcPr>
          <w:p>
            <w:pPr>
              <w:ind w:left="6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256" w:lineRule="exact"/>
        <w:rPr>
          <w:sz w:val="20"/>
          <w:szCs w:val="20"/>
          <w:color w:val="auto"/>
        </w:rPr>
      </w:pPr>
    </w:p>
    <w:p>
      <w:pPr>
        <w:ind w:right="420" w:firstLine="749"/>
        <w:spacing w:after="0" w:line="286" w:lineRule="auto"/>
        <w:rPr>
          <w:sz w:val="20"/>
          <w:szCs w:val="20"/>
          <w:color w:val="auto"/>
        </w:rPr>
      </w:pPr>
      <w:r>
        <w:rPr>
          <w:rFonts w:ascii="Arial" w:cs="Arial" w:eastAsia="Arial" w:hAnsi="Arial"/>
          <w:sz w:val="17"/>
          <w:szCs w:val="17"/>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Athira Pharma, Inc.</w:t>
      </w:r>
    </w:p>
    <w:p>
      <w:pPr>
        <w:spacing w:after="0" w:line="283" w:lineRule="exact"/>
        <w:rPr>
          <w:sz w:val="20"/>
          <w:szCs w:val="20"/>
          <w:color w:val="auto"/>
        </w:rPr>
      </w:pPr>
    </w:p>
    <w:p>
      <w:pPr>
        <w:ind w:left="140"/>
        <w:spacing w:after="0"/>
        <w:tabs>
          <w:tab w:leader="none" w:pos="620" w:val="left"/>
          <w:tab w:leader="none" w:pos="5660" w:val="left"/>
          <w:tab w:leader="none" w:pos="6240" w:val="left"/>
        </w:tabs>
        <w:rPr>
          <w:sz w:val="20"/>
          <w:szCs w:val="20"/>
          <w:color w:val="auto"/>
        </w:rPr>
      </w:pPr>
      <w:r>
        <w:rPr>
          <w:rFonts w:ascii="Arial" w:cs="Arial" w:eastAsia="Arial" w:hAnsi="Arial"/>
          <w:sz w:val="18"/>
          <w:szCs w:val="18"/>
          <w:color w:val="auto"/>
        </w:rPr>
        <w:t>Date:</w:t>
        <w:tab/>
        <w:t>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Mark Litton</w:t>
      </w:r>
    </w:p>
    <w:p>
      <w:pPr>
        <w:spacing w:after="0" w:line="3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32385</wp:posOffset>
            </wp:positionV>
            <wp:extent cx="1491615"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Athira Pharma Reports Second Quarter 2023 Financial Results and Pipeline and Business Updates</w:t>
      </w:r>
    </w:p>
    <w:p>
      <w:pPr>
        <w:spacing w:after="0" w:line="359" w:lineRule="exact"/>
        <w:rPr>
          <w:sz w:val="20"/>
          <w:szCs w:val="20"/>
          <w:color w:val="auto"/>
        </w:rPr>
      </w:pPr>
    </w:p>
    <w:p>
      <w:pPr>
        <w:jc w:val="center"/>
        <w:ind w:right="40"/>
        <w:spacing w:after="0" w:line="263" w:lineRule="auto"/>
        <w:rPr>
          <w:sz w:val="20"/>
          <w:szCs w:val="20"/>
          <w:color w:val="auto"/>
        </w:rPr>
      </w:pPr>
      <w:r>
        <w:rPr>
          <w:rFonts w:ascii="Arial" w:cs="Arial" w:eastAsia="Arial" w:hAnsi="Arial"/>
          <w:sz w:val="20"/>
          <w:szCs w:val="20"/>
          <w:i w:val="1"/>
          <w:iCs w:val="1"/>
          <w:color w:val="auto"/>
        </w:rPr>
        <w:t>Completed end of Phase 2 meetng and contnued engagement with U.S. Food and Drug Administraton Appointed Andrew Gengos as Chief Financial Ofcer and Chief Business Ofcer Maintains strong balance sheet to support innovatve clinical development pipeline in neurodegeneratve diseases through key infecton points</w:t>
      </w:r>
    </w:p>
    <w:p>
      <w:pPr>
        <w:spacing w:after="0" w:line="200" w:lineRule="exact"/>
        <w:rPr>
          <w:sz w:val="20"/>
          <w:szCs w:val="20"/>
          <w:color w:val="auto"/>
        </w:rPr>
      </w:pPr>
    </w:p>
    <w:p>
      <w:pPr>
        <w:spacing w:after="0" w:line="259"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b w:val="1"/>
          <w:bCs w:val="1"/>
          <w:color w:val="auto"/>
        </w:rPr>
        <w:t xml:space="preserve">BOTHELL, Wash., August 10, 2023 </w:t>
      </w:r>
      <w:r>
        <w:rPr>
          <w:rFonts w:ascii="Arial" w:cs="Arial" w:eastAsia="Arial" w:hAnsi="Arial"/>
          <w:sz w:val="20"/>
          <w:szCs w:val="20"/>
          <w:color w:val="auto"/>
        </w:rPr>
        <w:t>—</w:t>
      </w:r>
      <w:r>
        <w:rPr>
          <w:rFonts w:ascii="Arial" w:cs="Arial" w:eastAsia="Arial" w:hAnsi="Arial"/>
          <w:sz w:val="20"/>
          <w:szCs w:val="20"/>
          <w:b w:val="1"/>
          <w:bCs w:val="1"/>
          <w:color w:val="auto"/>
        </w:rPr>
        <w:t xml:space="preserve"> Athira Pharma, Inc. </w:t>
      </w:r>
      <w:r>
        <w:rPr>
          <w:rFonts w:ascii="Arial" w:cs="Arial" w:eastAsia="Arial" w:hAnsi="Arial"/>
          <w:sz w:val="20"/>
          <w:szCs w:val="20"/>
          <w:color w:val="auto"/>
        </w:rPr>
        <w:t>(NASDAQ: ATHA), a late clinical-stage biopharmaceutcal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small molecules to restore neuronal health and slow neurodegeneraton, today reported fnancial results for the quarter ended June 30, 2023, and provided pipeline and business updates.</w:t>
      </w:r>
    </w:p>
    <w:p>
      <w:pPr>
        <w:spacing w:after="0" w:line="213"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“During the second quarter, we advanced and strengthened our pipeline of small molecule therapeutc candidates, with partcular focus on contnued enrollment of the Phase 2/3 LIFT-AD trial of investgatonal fosgonimeton for the treatment of mild-to-moderate Alzheimer’s disease and advancement of our preclinical ATH-1105 program toward clinical testng, initally targetng amyotrophic lateral sclerosis,” said Mark Liton, Ph.D., President and Chief Executve Ofcer of Athira. “At the July Alzheimer’s Associaton Internatonal Conference, we presented new fndings regarding both our fosgonimeton and ATH-1105 programs. These data, along with the totality of evidence generated to date, strengthen our view that our pipeline of drug candidates, which are designed to positvely modulate the HGF/MET neurotrophic system, have the potental to deliver novel treatments for neurodegeneratve diseases.”</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“Our end of Phase 2 meetng with the U.S. Food and Drug Administraton was very productve and enabled alignment with senior leadership from the Ofce of Neuroscience and Division of Neurology 1 on important aspects of the fosgonimeton program. We look forward to contnued communicaton with the FDA including discussions regarding our biomarker strategy and the LIFT-AD results, now expected in the second half of 2024,” concluded Dr. Liton.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Development &amp; Pipeline Programs</w:t>
      </w:r>
    </w:p>
    <w:p>
      <w:pPr>
        <w:spacing w:after="0" w:line="256" w:lineRule="exact"/>
        <w:rPr>
          <w:sz w:val="20"/>
          <w:szCs w:val="20"/>
          <w:color w:val="auto"/>
        </w:rPr>
      </w:pPr>
    </w:p>
    <w:p>
      <w:pPr>
        <w:ind w:right="300"/>
        <w:spacing w:after="0" w:line="274" w:lineRule="auto"/>
        <w:rPr>
          <w:sz w:val="20"/>
          <w:szCs w:val="20"/>
          <w:color w:val="auto"/>
        </w:rPr>
      </w:pPr>
      <w:r>
        <w:rPr>
          <w:rFonts w:ascii="Arial" w:cs="Arial" w:eastAsia="Arial" w:hAnsi="Arial"/>
          <w:sz w:val="20"/>
          <w:szCs w:val="20"/>
          <w:b w:val="1"/>
          <w:bCs w:val="1"/>
          <w:color w:val="auto"/>
        </w:rPr>
        <w:t xml:space="preserve">Fosgonimeton (ATH-1017) </w:t>
      </w:r>
      <w:r>
        <w:rPr>
          <w:rFonts w:ascii="Arial" w:cs="Arial" w:eastAsia="Arial" w:hAnsi="Arial"/>
          <w:sz w:val="20"/>
          <w:szCs w:val="20"/>
          <w:color w:val="auto"/>
        </w:rPr>
        <w:t>– Small molecule designed to enhance the HGF/MET system with the potental to protect and repair neuronal</w:t>
      </w:r>
      <w:r>
        <w:rPr>
          <w:rFonts w:ascii="Arial" w:cs="Arial" w:eastAsia="Arial" w:hAnsi="Arial"/>
          <w:sz w:val="20"/>
          <w:szCs w:val="20"/>
          <w:b w:val="1"/>
          <w:bCs w:val="1"/>
          <w:color w:val="auto"/>
        </w:rPr>
        <w:t xml:space="preserve"> </w:t>
      </w:r>
      <w:r>
        <w:rPr>
          <w:rFonts w:ascii="Arial" w:cs="Arial" w:eastAsia="Arial" w:hAnsi="Arial"/>
          <w:sz w:val="20"/>
          <w:szCs w:val="20"/>
          <w:color w:val="auto"/>
        </w:rPr>
        <w:t>networks.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End of Phase 2 Meetng (EOP2) with the U.S. Food and Drug Administraton (FDA)</w:t>
      </w:r>
    </w:p>
    <w:p>
      <w:pPr>
        <w:spacing w:after="0" w:line="270" w:lineRule="exact"/>
        <w:rPr>
          <w:sz w:val="20"/>
          <w:szCs w:val="20"/>
          <w:color w:val="auto"/>
        </w:rPr>
      </w:pPr>
    </w:p>
    <w:p>
      <w:pPr>
        <w:ind w:left="760" w:right="1000" w:hanging="378"/>
        <w:spacing w:after="0" w:line="302" w:lineRule="auto"/>
        <w:tabs>
          <w:tab w:leader="none" w:pos="76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July, the Company completed an EOP2 meetng with the FDA to gain alignment on its plans for the contnued clinical development of fosgonimeton as a potental treatment for mild-to-moderate Alzheimer’s disease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5" w:name="page6"/>
    <w:bookmarkEnd w:id="5"/>
    <w:p>
      <w:pPr>
        <w:ind w:left="760" w:hanging="378"/>
        <w:spacing w:after="0" w:line="28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provided an update and discussed with FDA the ongoing LIFT-AD trial including use of the 40 mg dose, concomitant acetylcholinesterase inhibitor (AChEIs) use, biomarker analyses including neuroflament light (NfL), and the statstcal analysis plan.</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noted the importance of showing efects on both cogniton (ADAS-Cog11) and functon (ADCS-ADL23) in this populaton.</w:t>
      </w:r>
    </w:p>
    <w:p>
      <w:pPr>
        <w:spacing w:after="0" w:line="51" w:lineRule="exact"/>
        <w:rPr>
          <w:rFonts w:ascii="Arial" w:cs="Arial" w:eastAsia="Arial" w:hAnsi="Arial"/>
          <w:sz w:val="18"/>
          <w:szCs w:val="18"/>
          <w:color w:val="auto"/>
        </w:rPr>
      </w:pPr>
    </w:p>
    <w:p>
      <w:pPr>
        <w:jc w:val="both"/>
        <w:ind w:left="760" w:right="60" w:hanging="378"/>
        <w:spacing w:after="0" w:line="263"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Based on FDA interactons, the Company believes that all registratonal pathways remain viable and contngent on LIFT-AD results. The FDA is open to ongoing dialogue with the Company regarding the LIFT-AD trial once completed as well as other aspects of our program to develop fosgonimeton as a potental treatment for mild-to-moderate AD.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LIFT-AD Phase 2/3 trial in mild-to-moderate Alzheimer’s disease (NCT04488419)</w:t>
      </w:r>
    </w:p>
    <w:p>
      <w:pPr>
        <w:spacing w:after="0" w:line="270" w:lineRule="exact"/>
        <w:rPr>
          <w:sz w:val="20"/>
          <w:szCs w:val="20"/>
          <w:color w:val="auto"/>
        </w:rPr>
      </w:pPr>
    </w:p>
    <w:p>
      <w:pPr>
        <w:ind w:left="760" w:right="120" w:hanging="378"/>
        <w:spacing w:after="0" w:line="257"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September 2022, an independent, unblinded interim efcacy and futlity analysis was performed on 100 patents without concomitant AChEIs who completed the LIFT-AD Phase 2/3 trial. The positve outcome from the independent data monitoring commitee supports the potental clinically meaningful actvity of fosgonimeton and its potental to achieve the primary endpoint of the trial.</w:t>
      </w:r>
    </w:p>
    <w:p>
      <w:pPr>
        <w:ind w:left="760" w:hanging="378"/>
        <w:spacing w:after="0" w:line="258"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LIFT-AD’s primary endpoint is the Global Statstcal Test (GST), a composite of the co-key secondary endpoints ADAS-Cog11 and ADCS-ADL23. The Company expects the GST endpoint to increase the understanding of the clinical impact of fosgonimeton despite the limited trial size, while elucidatng the key drivers of potental treatment efect.</w:t>
      </w:r>
    </w:p>
    <w:p>
      <w:pPr>
        <w:ind w:left="760" w:right="340" w:hanging="378"/>
        <w:spacing w:after="0" w:line="260"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Key secondary and exploratory endpoints include changes in plasma biomarkers of neurodegeneraton, protein pathology, and infammaton.</w:t>
      </w:r>
    </w:p>
    <w:p>
      <w:pPr>
        <w:spacing w:after="0" w:line="1" w:lineRule="exact"/>
        <w:rPr>
          <w:rFonts w:ascii="Arial" w:cs="Arial" w:eastAsia="Arial" w:hAnsi="Arial"/>
          <w:sz w:val="20"/>
          <w:szCs w:val="20"/>
          <w:color w:val="auto"/>
        </w:rPr>
      </w:pPr>
    </w:p>
    <w:p>
      <w:pPr>
        <w:ind w:left="760" w:right="480" w:hanging="378"/>
        <w:spacing w:after="0" w:line="260"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a protocol amendment submited to FDA in May 2023, the LIFT-AD trial was modifed to focus prospectvely only on 40 mg dosing and to use this dosing group compared to placebo for the primary analysis of results.</w:t>
      </w:r>
    </w:p>
    <w:p>
      <w:pPr>
        <w:spacing w:after="0" w:line="1" w:lineRule="exact"/>
        <w:rPr>
          <w:rFonts w:ascii="Arial" w:cs="Arial" w:eastAsia="Arial" w:hAnsi="Arial"/>
          <w:sz w:val="20"/>
          <w:szCs w:val="20"/>
          <w:color w:val="auto"/>
        </w:rPr>
      </w:pP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now expects to report topline LIFT-AD results in the second half of 2024.</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Open Label Extension (OLEX) trial (NCT04886063)</w:t>
      </w:r>
    </w:p>
    <w:p>
      <w:pPr>
        <w:spacing w:after="0" w:line="270" w:lineRule="exact"/>
        <w:rPr>
          <w:sz w:val="20"/>
          <w:szCs w:val="20"/>
          <w:color w:val="auto"/>
        </w:rPr>
      </w:pPr>
    </w:p>
    <w:p>
      <w:pPr>
        <w:ind w:left="760" w:right="20" w:hanging="378"/>
        <w:spacing w:after="0" w:line="270" w:lineRule="auto"/>
        <w:tabs>
          <w:tab w:leader="none" w:pos="76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May, the Company extended the OLEX study for the Phase 2/3 LIFT-AD and Phase 2 ACT-AD trials of fosgonimeton for the treatment of mild-to-moderate AD by an additonal 12 months. Eligible partcipants who have completed the LIFT-AD or ACT-AD trials and elect to partcipate in the ongoing OLEX are now able to receive up to 30 months of open-label treatment. The extension addressed investgator and patent interest in contnuing treatment with fosgonimeton beyond 18 months.</w:t>
      </w:r>
    </w:p>
    <w:p>
      <w:pPr>
        <w:spacing w:after="0" w:line="2" w:lineRule="exact"/>
        <w:rPr>
          <w:rFonts w:ascii="Arial" w:cs="Arial" w:eastAsia="Arial" w:hAnsi="Arial"/>
          <w:sz w:val="19"/>
          <w:szCs w:val="19"/>
          <w:color w:val="auto"/>
        </w:rPr>
      </w:pPr>
    </w:p>
    <w:p>
      <w:pPr>
        <w:ind w:left="760" w:right="1100" w:hanging="378"/>
        <w:spacing w:after="0" w:line="260" w:lineRule="auto"/>
        <w:tabs>
          <w:tab w:leader="none" w:pos="7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believes the extension will also further enhance its long-term safety database and provide insights into fosgonimeton’s long-term efects for up to 3 years.</w:t>
      </w:r>
    </w:p>
    <w:p>
      <w:pPr>
        <w:spacing w:after="0" w:line="1" w:lineRule="exact"/>
        <w:rPr>
          <w:rFonts w:ascii="Arial" w:cs="Arial" w:eastAsia="Arial" w:hAnsi="Arial"/>
          <w:sz w:val="20"/>
          <w:szCs w:val="20"/>
          <w:color w:val="auto"/>
        </w:rPr>
      </w:pPr>
    </w:p>
    <w:p>
      <w:pPr>
        <w:ind w:left="760" w:right="380" w:hanging="378"/>
        <w:spacing w:after="0" w:line="274" w:lineRule="auto"/>
        <w:tabs>
          <w:tab w:leader="none" w:pos="7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OLEX contnues to enroll with greater than 85% of partcipants who completed either study having elected to enroll in the OLEX study.</w:t>
      </w:r>
    </w:p>
    <w:p>
      <w:pPr>
        <w:spacing w:after="0" w:line="204" w:lineRule="exact"/>
        <w:rPr>
          <w:sz w:val="20"/>
          <w:szCs w:val="20"/>
          <w:color w:val="auto"/>
        </w:rPr>
      </w:pPr>
    </w:p>
    <w:p>
      <w:pPr>
        <w:ind w:right="200"/>
        <w:spacing w:after="0" w:line="274" w:lineRule="auto"/>
        <w:rPr>
          <w:sz w:val="20"/>
          <w:szCs w:val="20"/>
          <w:color w:val="auto"/>
        </w:rPr>
      </w:pPr>
      <w:r>
        <w:rPr>
          <w:rFonts w:ascii="Arial" w:cs="Arial" w:eastAsia="Arial" w:hAnsi="Arial"/>
          <w:sz w:val="20"/>
          <w:szCs w:val="20"/>
          <w:b w:val="1"/>
          <w:bCs w:val="1"/>
          <w:color w:val="auto"/>
        </w:rPr>
        <w:t xml:space="preserve">ATH-1105 </w:t>
      </w:r>
      <w:r>
        <w:rPr>
          <w:rFonts w:ascii="Arial" w:cs="Arial" w:eastAsia="Arial" w:hAnsi="Arial"/>
          <w:sz w:val="20"/>
          <w:szCs w:val="20"/>
          <w:color w:val="auto"/>
        </w:rPr>
        <w:t>– A novel, orally available, small molecule designed to be a positve modulator of the HGF/MET system as a potental treatment</w:t>
      </w:r>
      <w:r>
        <w:rPr>
          <w:rFonts w:ascii="Arial" w:cs="Arial" w:eastAsia="Arial" w:hAnsi="Arial"/>
          <w:sz w:val="20"/>
          <w:szCs w:val="20"/>
          <w:b w:val="1"/>
          <w:bCs w:val="1"/>
          <w:color w:val="auto"/>
        </w:rPr>
        <w:t xml:space="preserve"> </w:t>
      </w:r>
      <w:r>
        <w:rPr>
          <w:rFonts w:ascii="Arial" w:cs="Arial" w:eastAsia="Arial" w:hAnsi="Arial"/>
          <w:sz w:val="20"/>
          <w:szCs w:val="20"/>
          <w:color w:val="auto"/>
        </w:rPr>
        <w:t>candidate initally for amyotrophic lateral sclerosis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363855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6" w:name="page7"/>
    <w:bookmarkEnd w:id="6"/>
    <w:p>
      <w:pPr>
        <w:ind w:left="760" w:right="660" w:hanging="378"/>
        <w:spacing w:after="0" w:line="260" w:lineRule="auto"/>
        <w:tabs>
          <w:tab w:leader="none" w:pos="7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ATH-1105 is supported by preclinical fndings that demonstrated statstcally signifcant improvements on nerve and motor functon, biomarkers of infammaton and neurodegeneraton, and survival in an ALS animal model.</w:t>
      </w:r>
    </w:p>
    <w:p>
      <w:pPr>
        <w:spacing w:after="0" w:line="1" w:lineRule="exact"/>
        <w:rPr>
          <w:rFonts w:ascii="Arial" w:cs="Arial" w:eastAsia="Arial" w:hAnsi="Arial"/>
          <w:sz w:val="20"/>
          <w:szCs w:val="20"/>
          <w:color w:val="auto"/>
        </w:rPr>
      </w:pPr>
    </w:p>
    <w:p>
      <w:pPr>
        <w:ind w:left="760" w:right="380" w:hanging="378"/>
        <w:spacing w:after="0" w:line="274" w:lineRule="auto"/>
        <w:tabs>
          <w:tab w:leader="none" w:pos="7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IND-enabling studies will contnue through the remainder of 2023 in order to support the potental initaton of frst-in-human studies in the frst half of 2024 to evaluate this promising drug candidate as a treatment for ALS.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Presentatons and Publicatons</w:t>
      </w:r>
    </w:p>
    <w:p>
      <w:pPr>
        <w:spacing w:after="0" w:line="256"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color w:val="auto"/>
        </w:rPr>
        <w:t>In July, the Company presented three posters at the Alzheimer’s Associaton Internatonal Conference 2023 (AAIC) that highlighted its pipeline of small molecule therapeutc candidates targetng HGF/MET. Data presented included:</w:t>
      </w:r>
    </w:p>
    <w:p>
      <w:pPr>
        <w:spacing w:after="0" w:line="244" w:lineRule="exact"/>
        <w:rPr>
          <w:sz w:val="20"/>
          <w:szCs w:val="20"/>
          <w:color w:val="auto"/>
        </w:rPr>
      </w:pPr>
    </w:p>
    <w:p>
      <w:pPr>
        <w:ind w:left="760" w:right="300" w:hanging="378"/>
        <w:spacing w:after="0" w:line="257"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 post-hoc analysis of the Phase 2 ACT-AD study and data from the OLEX study in patents with mild-to-moderate AD. The data suggested that improvements in plasma biomarkers of neurodegeneraton (NfL) and neuroinfammaton (glial fbrillary acidic protein, or GFAP) signifcantly correlate with GST, a composite score of cogniton and functon, further supportng the potental clinical utlity of these biomarkers.</w:t>
      </w:r>
    </w:p>
    <w:p>
      <w:pPr>
        <w:ind w:left="760" w:hanging="378"/>
        <w:spacing w:after="0" w:line="260"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Preclinical data demonstratng that fosgonimeton atenuates amyloid-b-mediated toxicity in vitro and highlightng its potental as a therapeutc candidate to slow disease progression and restore neuronal health.</w:t>
      </w:r>
    </w:p>
    <w:p>
      <w:pPr>
        <w:spacing w:after="0" w:line="1" w:lineRule="exact"/>
        <w:rPr>
          <w:rFonts w:ascii="Arial" w:cs="Arial" w:eastAsia="Arial" w:hAnsi="Arial"/>
          <w:sz w:val="20"/>
          <w:szCs w:val="20"/>
          <w:color w:val="auto"/>
        </w:rPr>
      </w:pPr>
    </w:p>
    <w:p>
      <w:pPr>
        <w:ind w:left="760" w:right="320" w:hanging="378"/>
        <w:spacing w:after="0" w:line="274"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Preclinical data demonstratng that ATH-1105 ofers protecton against several pathologies common to ALS and frontotemporal dementa and supportng its therapeutc potental for the treatment of these indicatons.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56" w:lineRule="exact"/>
        <w:rPr>
          <w:sz w:val="20"/>
          <w:szCs w:val="20"/>
          <w:color w:val="auto"/>
        </w:rPr>
      </w:pPr>
    </w:p>
    <w:p>
      <w:pPr>
        <w:ind w:right="260"/>
        <w:spacing w:after="0" w:line="274" w:lineRule="auto"/>
        <w:rPr>
          <w:sz w:val="20"/>
          <w:szCs w:val="20"/>
          <w:color w:val="auto"/>
        </w:rPr>
      </w:pPr>
      <w:r>
        <w:rPr>
          <w:rFonts w:ascii="Arial" w:cs="Arial" w:eastAsia="Arial" w:hAnsi="Arial"/>
          <w:sz w:val="20"/>
          <w:szCs w:val="20"/>
          <w:color w:val="auto"/>
        </w:rPr>
        <w:t>The Company appointed seasoned fnance and corporate strategy executve Andrew Gengos as Chief Financial Ofcer and Chief Business Ofcer.</w:t>
      </w:r>
    </w:p>
    <w:p>
      <w:pPr>
        <w:spacing w:after="0" w:line="217" w:lineRule="exact"/>
        <w:rPr>
          <w:sz w:val="20"/>
          <w:szCs w:val="20"/>
          <w:color w:val="auto"/>
        </w:rPr>
      </w:pPr>
    </w:p>
    <w:p>
      <w:pPr>
        <w:ind w:left="760" w:right="140" w:hanging="378"/>
        <w:spacing w:after="0" w:line="258" w:lineRule="auto"/>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Most recently, Mr. Gengos served as the Chief Business Ofcer at Cyteir Therapeutcs and has held executve roles at ImmunoCellular Therapeutcs, Neuraltus Pharmaceutcals, AOBiome Therapeutcs, and Synlogic. Previously, Mr. Gengos was Vice President of Strategy and Corporate Development at Amgen for eight years.</w:t>
      </w:r>
    </w:p>
    <w:p>
      <w:pPr>
        <w:ind w:left="760" w:right="100" w:hanging="378"/>
        <w:spacing w:after="0" w:line="274" w:lineRule="auto"/>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Mr. Gengos holds a Master of Business Administraton from the UCLA Anderson School of Management and a Bachelor of Science in Chemical Engineering from the Massachusets Insttute of Technology.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270" w:lineRule="exact"/>
        <w:rPr>
          <w:sz w:val="20"/>
          <w:szCs w:val="20"/>
          <w:color w:val="auto"/>
        </w:rPr>
      </w:pPr>
    </w:p>
    <w:p>
      <w:pPr>
        <w:ind w:left="760" w:right="160" w:hanging="378"/>
        <w:spacing w:after="0" w:line="264"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Cash Positon. </w:t>
      </w:r>
      <w:r>
        <w:rPr>
          <w:rFonts w:ascii="Arial" w:cs="Arial" w:eastAsia="Arial" w:hAnsi="Arial"/>
          <w:sz w:val="20"/>
          <w:szCs w:val="20"/>
          <w:color w:val="auto"/>
        </w:rPr>
        <w:t>Cash, cash equivalents and investments were $196.3 million as of June 30, 2023, compared with $245.2 million as</w:t>
      </w:r>
      <w:r>
        <w:rPr>
          <w:rFonts w:ascii="Arial" w:cs="Arial" w:eastAsia="Arial" w:hAnsi="Arial"/>
          <w:sz w:val="20"/>
          <w:szCs w:val="20"/>
          <w:b w:val="1"/>
          <w:bCs w:val="1"/>
          <w:color w:val="auto"/>
        </w:rPr>
        <w:t xml:space="preserve"> </w:t>
      </w:r>
      <w:r>
        <w:rPr>
          <w:rFonts w:ascii="Arial" w:cs="Arial" w:eastAsia="Arial" w:hAnsi="Arial"/>
          <w:sz w:val="20"/>
          <w:szCs w:val="20"/>
          <w:color w:val="auto"/>
        </w:rPr>
        <w:t>of December 31, 2022. Net cash used in operatons was $50.5 million for the six months ended June 30, 2023, compared with $35.2 million 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7" w:name="page8"/>
    <w:bookmarkEnd w:id="7"/>
    <w:p>
      <w:pPr>
        <w:ind w:left="760" w:hanging="378"/>
        <w:spacing w:after="0" w:line="264" w:lineRule="auto"/>
        <w:tabs>
          <w:tab w:leader="none" w:pos="76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were $21.6 million for the quarter ended June 30, 2023,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with $14.8 million for the quarter ended June 30, 2022. The increase was driven primarily by costs related to increased clinical trial actvites, manufacturing actvites, headcount and increased preclinical R&amp;D.</w:t>
      </w:r>
    </w:p>
    <w:p>
      <w:pPr>
        <w:spacing w:after="0" w:line="226" w:lineRule="exact"/>
        <w:rPr>
          <w:rFonts w:ascii="Arial" w:cs="Arial" w:eastAsia="Arial" w:hAnsi="Arial"/>
          <w:sz w:val="20"/>
          <w:szCs w:val="20"/>
          <w:color w:val="auto"/>
        </w:rPr>
      </w:pPr>
    </w:p>
    <w:p>
      <w:pPr>
        <w:ind w:left="760" w:right="220" w:hanging="378"/>
        <w:spacing w:after="0" w:line="260" w:lineRule="auto"/>
        <w:tabs>
          <w:tab w:leader="none" w:pos="76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General and Administratve (G&amp;A) Expenses. </w:t>
      </w:r>
      <w:r>
        <w:rPr>
          <w:rFonts w:ascii="Arial" w:cs="Arial" w:eastAsia="Arial" w:hAnsi="Arial"/>
          <w:sz w:val="20"/>
          <w:szCs w:val="20"/>
          <w:color w:val="auto"/>
        </w:rPr>
        <w:t>G&amp;A expenses were $10.0 million for the quarter ended June 30, 2023,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with $8.8 million for the quarter ended June 30, 2022. The increase was primarily due to increases in consultng, professional services, and business development expenses, and an increase in personnel expenses as the Company’s headcount expanded to support its growth, partally ofset by a decrease in legal expenses.</w:t>
      </w:r>
    </w:p>
    <w:p>
      <w:pPr>
        <w:spacing w:after="0" w:line="231" w:lineRule="exact"/>
        <w:rPr>
          <w:rFonts w:ascii="Arial" w:cs="Arial" w:eastAsia="Arial" w:hAnsi="Arial"/>
          <w:sz w:val="20"/>
          <w:szCs w:val="20"/>
          <w:color w:val="auto"/>
        </w:rPr>
      </w:pPr>
    </w:p>
    <w:p>
      <w:pPr>
        <w:ind w:left="760" w:right="220" w:hanging="378"/>
        <w:spacing w:after="0" w:line="274" w:lineRule="auto"/>
        <w:tabs>
          <w:tab w:leader="none" w:pos="76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$29.6 million, or $0.78 per share, for the quarter ended June 30, 2023, compared with a net loss of $24.3</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$0.65 per share, for the quarter ended June 30, 2022.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2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Athira Pharma, Inc., headquartered in the Seatle, Washington area, is a late clinical-stage biopharmaceutcal company focused on developing small molecules to restore neuronal health and slow neurodegeneraton. Athira aims to alter the course of neurological disease by advancing its pipeline of therapeutc candidates targetng the HGF/MET neurotrophic system for Alzheimer’s and Parkinson’s disease, Dementa with Lewy bodies, and amyotrophic lateral sclerosis. For more informaton, visit www.athira.com. You can also follow Athira on Facebook, LinkedIn and @athirapharma on X, formerly known as Twiter, and Instagram.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This communicaton contains “forward-looking statements” within the meaning of Secton 27A of the Securites Act of 1933, Secton 21E of the Securites Exchange Act of 1934 and the Private Securites Litgaton Reform Act of 1995. These forward-looking statements are not based on historical fact and include statements regarding: product candidates as a potental treatment for Alzheimer’s disease and other neurodegeneratve diseases, such as amyotrophic lateral sclerosis and frontotemporal dementa; Athira’s platorm technology and potental therapies; future development plans; expectatons regarding the potental efcacy and commercial potental of Athira’s product candidates; the antcipated reportng of data; the impact of Athira’s July 2023 End of Phase 2 Metng with the U.S. Food and Drug Administraton on its future development plans and pipeline candidates; and Athira’s ability to advance its product candidates into later stages of development. Forward-looking statements generally include statements that are predictve in nature and depend upon or refer to future events or conditons, and include words such as “may,” “will,” “should,” “on track,” “would,” “expect,” “plan,” “believe,” “intend,” “pursue,” “contnue,” “suggest,” “potental,” and other similar expressions, among others.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data for our product candidates from our preclinical and clinical trials not supportng the safety, efcacy and tolerability of our product candidates; cessaton or delay of Athira’s development of product candidates may occur; regulatory authorites could object to protocols, amendments and other submissions; future potental regulatory milestones for product candidates, including those related to current and planned clinical studies, may be insufcient to support regulatory submissions or approval; the impact of the COVID-19 pandemic on Athira’s business,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 w:name="page9"/>
    <w:bookmarkEnd w:id="8"/>
    <w:p>
      <w:pPr>
        <w:spacing w:after="0" w:line="270" w:lineRule="auto"/>
        <w:rPr>
          <w:sz w:val="20"/>
          <w:szCs w:val="20"/>
          <w:color w:val="auto"/>
        </w:rPr>
      </w:pPr>
      <w:r>
        <w:rPr>
          <w:rFonts w:ascii="Arial" w:cs="Arial" w:eastAsia="Arial" w:hAnsi="Arial"/>
          <w:sz w:val="19"/>
          <w:szCs w:val="19"/>
          <w:color w:val="auto"/>
        </w:rPr>
        <w:t>clinical development plans and tmelines, and the regulatory process for Athira product candidates; Athira may not be able to recruit sufcient patents for its clinical trials; the outcome of legal proceedings that have been or may in the future be insttuted against us and certain of our directors and ofcers; clinical trials may not demonstrate safety and efcacy of any of Athira’s product candidates; possible negatve interactons of Athira's product candidates with other treatments; Athira’s assumptons regarding the sufciency of its cash, cash equivalents and investments to fund its planned operatons may be incorrect; adverse conditons in the general domestc and global economic markets; the impact of competton; regulatory agencies may be delayed in reviewing, commentng on or approving any of Athira’s clinical development plans as a result of the COVID-19 pandemic, which could further delay development tmelines; the impact of expanded product development and clinical actvites on operatng expenses; the impact of new or changing laws and regulatons; as well as the other risks detailed in Athira’s flings with the Securites and Exchange Commission. These forward-looking statements speak only as of the date hereof and Athira undertakes no obligaton to update forward-looking statements. Athira may not actually achieve the plans, intentons, or expectatons disclosed in its forward-looking statements, and you should not place undue reliance on the forward-looking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Athira Pharma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Julie.rathbun@athira.com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7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8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9"/>
        </w:trPr>
        <w:tc>
          <w:tcPr>
            <w:tcW w:w="58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113,628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95,966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104,378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Other short-term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208,048</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258,153</w:t>
            </w:r>
          </w:p>
        </w:tc>
        <w:tc>
          <w:tcPr>
            <w:tcW w:w="12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196"/>
        </w:trPr>
        <w:tc>
          <w:tcPr>
            <w:tcW w:w="580" w:type="dxa"/>
            <w:vAlign w:val="bottom"/>
          </w:tcPr>
          <w:p>
            <w:pPr>
              <w:spacing w:after="0"/>
              <w:rPr>
                <w:sz w:val="17"/>
                <w:szCs w:val="17"/>
                <w:color w:val="auto"/>
              </w:rPr>
            </w:pPr>
          </w:p>
        </w:tc>
        <w:tc>
          <w:tcPr>
            <w:tcW w:w="67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19"/>
                <w:szCs w:val="19"/>
                <w:color w:val="auto"/>
              </w:rPr>
            </w:pPr>
          </w:p>
        </w:tc>
        <w:tc>
          <w:tcPr>
            <w:tcW w:w="6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184,979</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208,048</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258,153</w:t>
            </w:r>
          </w:p>
        </w:tc>
        <w:tc>
          <w:tcPr>
            <w:tcW w:w="12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1040"/>
        </w:trPr>
        <w:tc>
          <w:tcPr>
            <w:tcW w:w="580" w:type="dxa"/>
            <w:vAlign w:val="bottom"/>
            <w:tcBorders>
              <w:bottom w:val="single" w:sz="8" w:color="9A9A9A"/>
            </w:tcBorders>
          </w:tcPr>
          <w:p>
            <w:pPr>
              <w:spacing w:after="0"/>
              <w:rPr>
                <w:sz w:val="24"/>
                <w:szCs w:val="24"/>
                <w:color w:val="auto"/>
              </w:rPr>
            </w:pPr>
          </w:p>
        </w:tc>
        <w:tc>
          <w:tcPr>
            <w:tcW w:w="67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-1610995</wp:posOffset>
            </wp:positionV>
            <wp:extent cx="118300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3005" cy="16256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-710565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-693420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-710565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-693420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color w:val="auto"/>
        </w:rPr>
        <w:t>(Amounts 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6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23"/>
        </w:trPr>
        <w:tc>
          <w:tcPr>
            <w:tcW w:w="67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w w:val="96"/>
              </w:rPr>
              <w:t>2023</w:t>
            </w:r>
          </w:p>
        </w:tc>
        <w:tc>
          <w:tcPr>
            <w:tcW w:w="3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w w:val="96"/>
              </w:rPr>
              <w:t>2022</w:t>
            </w:r>
          </w:p>
        </w:tc>
      </w:tr>
      <w:tr>
        <w:trPr>
          <w:trHeight w:val="237"/>
        </w:trPr>
        <w:tc>
          <w:tcPr>
            <w:tcW w:w="6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9"/>
        </w:trPr>
        <w:tc>
          <w:tcPr>
            <w:tcW w:w="670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21,615</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14,803</w:t>
            </w:r>
          </w:p>
        </w:tc>
      </w:tr>
      <w:tr>
        <w:trPr>
          <w:trHeight w:val="243"/>
        </w:trPr>
        <w:tc>
          <w:tcPr>
            <w:tcW w:w="67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10,025</w:t>
            </w:r>
          </w:p>
        </w:tc>
        <w:tc>
          <w:tcPr>
            <w:tcW w:w="340" w:type="dxa"/>
            <w:vAlign w:val="bottom"/>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8,766</w:t>
            </w:r>
          </w:p>
        </w:tc>
      </w:tr>
      <w:tr>
        <w:trPr>
          <w:trHeight w:val="223"/>
        </w:trPr>
        <w:tc>
          <w:tcPr>
            <w:tcW w:w="6700" w:type="dxa"/>
            <w:vAlign w:val="bottom"/>
          </w:tcPr>
          <w:p>
            <w:pPr>
              <w:ind w:left="82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31,640</w:t>
            </w:r>
          </w:p>
        </w:tc>
        <w:tc>
          <w:tcPr>
            <w:tcW w:w="3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23,569</w:t>
            </w:r>
          </w:p>
        </w:tc>
      </w:tr>
      <w:tr>
        <w:trPr>
          <w:trHeight w:val="223"/>
        </w:trPr>
        <w:tc>
          <w:tcPr>
            <w:tcW w:w="6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(31,640)</w:t>
            </w: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(23,569)</w:t>
            </w:r>
          </w:p>
        </w:tc>
      </w:tr>
      <w:tr>
        <w:trPr>
          <w:trHeight w:val="229"/>
        </w:trPr>
        <w:tc>
          <w:tcPr>
            <w:tcW w:w="670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880" w:type="dxa"/>
            <w:vAlign w:val="bottom"/>
          </w:tcPr>
          <w:p>
            <w:pPr>
              <w:spacing w:after="0"/>
              <w:rPr>
                <w:sz w:val="19"/>
                <w:szCs w:val="19"/>
                <w:color w:val="auto"/>
              </w:rPr>
            </w:pPr>
          </w:p>
        </w:tc>
        <w:tc>
          <w:tcPr>
            <w:tcW w:w="218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(1,259)</w:t>
            </w:r>
          </w:p>
        </w:tc>
      </w:tr>
      <w:tr>
        <w:trPr>
          <w:trHeight w:val="230"/>
        </w:trPr>
        <w:tc>
          <w:tcPr>
            <w:tcW w:w="6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income, net</w:t>
            </w:r>
          </w:p>
        </w:tc>
        <w:tc>
          <w:tcPr>
            <w:tcW w:w="8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2,043</w:t>
            </w:r>
          </w:p>
        </w:tc>
        <w:tc>
          <w:tcPr>
            <w:tcW w:w="3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493</w:t>
            </w:r>
          </w:p>
        </w:tc>
      </w:tr>
      <w:tr>
        <w:trPr>
          <w:trHeight w:val="223"/>
        </w:trPr>
        <w:tc>
          <w:tcPr>
            <w:tcW w:w="67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(29,597)</w:t>
            </w:r>
          </w:p>
        </w:tc>
        <w:tc>
          <w:tcPr>
            <w:tcW w:w="3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(24,335)</w:t>
            </w: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Unrealized gain (loss) on available-for-sale securities</w:t>
            </w:r>
          </w:p>
        </w:tc>
        <w:tc>
          <w:tcPr>
            <w:tcW w:w="8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90</w:t>
            </w:r>
          </w:p>
        </w:tc>
        <w:tc>
          <w:tcPr>
            <w:tcW w:w="3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(469)</w:t>
            </w:r>
          </w:p>
        </w:tc>
      </w:tr>
      <w:tr>
        <w:trPr>
          <w:trHeight w:val="223"/>
        </w:trPr>
        <w:tc>
          <w:tcPr>
            <w:tcW w:w="6700" w:type="dxa"/>
            <w:vAlign w:val="bottom"/>
          </w:tcPr>
          <w:p>
            <w:pPr>
              <w:ind w:left="100"/>
              <w:spacing w:after="0"/>
              <w:rPr>
                <w:sz w:val="20"/>
                <w:szCs w:val="20"/>
                <w:color w:val="auto"/>
              </w:rPr>
            </w:pPr>
            <w:r>
              <w:rPr>
                <w:rFonts w:ascii="Arial" w:cs="Arial" w:eastAsia="Arial" w:hAnsi="Arial"/>
                <w:sz w:val="18"/>
                <w:szCs w:val="18"/>
                <w:color w:val="auto"/>
              </w:rPr>
              <w:t>Comprehensive loss attributable to common stockholders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(29,507)</w:t>
            </w:r>
          </w:p>
        </w:tc>
        <w:tc>
          <w:tcPr>
            <w:tcW w:w="3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(24,804)</w:t>
            </w: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4"/>
        </w:trPr>
        <w:tc>
          <w:tcPr>
            <w:tcW w:w="6700" w:type="dxa"/>
            <w:vAlign w:val="bottom"/>
            <w:shd w:val="clear" w:color="auto" w:fill="CFF0FC"/>
          </w:tcPr>
          <w:p>
            <w:pPr>
              <w:ind w:left="100"/>
              <w:spacing w:after="0" w:line="183" w:lineRule="exact"/>
              <w:rPr>
                <w:sz w:val="20"/>
                <w:szCs w:val="20"/>
                <w:color w:val="auto"/>
              </w:rPr>
            </w:pPr>
            <w:r>
              <w:rPr>
                <w:rFonts w:ascii="Arial" w:cs="Arial" w:eastAsia="Arial" w:hAnsi="Arial"/>
                <w:sz w:val="18"/>
                <w:szCs w:val="18"/>
                <w:color w:val="auto"/>
              </w:rPr>
              <w:t>Net loss per share attributable to common stockholders,</w:t>
            </w: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282"/>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(0.78)</w:t>
            </w:r>
          </w:p>
        </w:tc>
        <w:tc>
          <w:tcPr>
            <w:tcW w:w="3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(0.65)</w:t>
            </w:r>
          </w:p>
        </w:tc>
      </w:tr>
      <w:tr>
        <w:trPr>
          <w:trHeight w:val="184"/>
        </w:trPr>
        <w:tc>
          <w:tcPr>
            <w:tcW w:w="6700" w:type="dxa"/>
            <w:vAlign w:val="bottom"/>
          </w:tcPr>
          <w:p>
            <w:pPr>
              <w:ind w:left="100"/>
              <w:spacing w:after="0" w:line="183" w:lineRule="exact"/>
              <w:rPr>
                <w:sz w:val="20"/>
                <w:szCs w:val="20"/>
                <w:color w:val="auto"/>
              </w:rPr>
            </w:pPr>
            <w:r>
              <w:rPr>
                <w:rFonts w:ascii="Arial" w:cs="Arial" w:eastAsia="Arial" w:hAnsi="Arial"/>
                <w:sz w:val="18"/>
                <w:szCs w:val="18"/>
                <w:color w:val="auto"/>
              </w:rPr>
              <w:t>Weighted-average shares used in computing net loss per</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6700" w:type="dxa"/>
            <w:vAlign w:val="bottom"/>
          </w:tcPr>
          <w:p>
            <w:pPr>
              <w:ind w:left="260"/>
              <w:spacing w:after="0" w:line="202" w:lineRule="exact"/>
              <w:rPr>
                <w:sz w:val="20"/>
                <w:szCs w:val="20"/>
                <w:color w:val="auto"/>
              </w:rPr>
            </w:pPr>
            <w:r>
              <w:rPr>
                <w:rFonts w:ascii="Arial" w:cs="Arial" w:eastAsia="Arial" w:hAnsi="Arial"/>
                <w:sz w:val="18"/>
                <w:szCs w:val="18"/>
                <w:color w:val="auto"/>
              </w:rPr>
              <w:t>share attributable to common stockholders, basic</w:t>
            </w: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69"/>
        </w:trPr>
        <w:tc>
          <w:tcPr>
            <w:tcW w:w="6700" w:type="dxa"/>
            <w:vAlign w:val="bottom"/>
          </w:tcPr>
          <w:p>
            <w:pPr>
              <w:ind w:left="260"/>
              <w:spacing w:after="0"/>
              <w:rPr>
                <w:sz w:val="20"/>
                <w:szCs w:val="20"/>
                <w:color w:val="auto"/>
              </w:rPr>
            </w:pPr>
            <w:r>
              <w:rPr>
                <w:rFonts w:ascii="Arial" w:cs="Arial" w:eastAsia="Arial" w:hAnsi="Arial"/>
                <w:sz w:val="18"/>
                <w:szCs w:val="18"/>
                <w:color w:val="auto"/>
              </w:rPr>
              <w:t>and diluted</w:t>
            </w:r>
          </w:p>
        </w:tc>
        <w:tc>
          <w:tcPr>
            <w:tcW w:w="8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37,999,578</w:t>
            </w:r>
          </w:p>
        </w:tc>
        <w:tc>
          <w:tcPr>
            <w:tcW w:w="34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37,667,971</w:t>
            </w: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69"/>
        </w:trPr>
        <w:tc>
          <w:tcPr>
            <w:tcW w:w="6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-3037840</wp:posOffset>
            </wp:positionV>
            <wp:extent cx="24003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30"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-2091055</wp:posOffset>
            </wp:positionV>
            <wp:extent cx="2146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-1628140</wp:posOffset>
            </wp:positionV>
            <wp:extent cx="214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-1610995</wp:posOffset>
            </wp:positionV>
            <wp:extent cx="214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2023-08-10T15:25:19Z</dcterms:created>
  <dcterms:modified xsi:type="dcterms:W3CDTF">2023-08-10T15:25:19Z</dcterms:modified>
</cp:coreProperties>
</file>