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tha-s8.htm"/>
      <w:bookmarkStart w:id="1" w:name="ksathas8"/>
      <w:bookmarkEnd w:id="0"/>
      <w:bookmarkEnd w:id="1"/>
      <w:r>
        <w:rPr/>
        <w:t> </w:t>
      </w:r>
    </w:p>
    <w:p>
      <w:pPr>
        <w:pStyle w:val="TextBody"/>
        <w:spacing w:before="0" w:after="0"/>
        <w:jc w:val="right"/>
        <w:rPr>
          <w:rFonts w:ascii="Times New Roman" w:hAnsi="Times New Roman"/>
          <w:b/>
          <w:i w:val="false"/>
          <w:caps w:val="false"/>
          <w:smallCaps w:val="false"/>
          <w:spacing w:val="-4"/>
          <w:sz w:val="18"/>
        </w:rPr>
      </w:pPr>
      <w:r>
        <w:rPr>
          <w:rFonts w:ascii="Times New Roman" w:hAnsi="Times New Roman"/>
          <w:b/>
          <w:i w:val="false"/>
          <w:caps w:val="false"/>
          <w:smallCaps w:val="false"/>
          <w:spacing w:val="-4"/>
          <w:sz w:val="18"/>
        </w:rPr>
        <w:t>As filed with the Securities and Exchange Commission on March 25, 2021</w:t>
      </w:r>
    </w:p>
    <w:p>
      <w:pPr>
        <w:pStyle w:val="TextBody"/>
        <w:spacing w:before="0" w:after="0"/>
        <w:jc w:val="right"/>
        <w:rPr>
          <w:rFonts w:ascii="Times New Roman" w:hAnsi="Times New Roman"/>
          <w:b/>
          <w:i w:val="false"/>
          <w:caps w:val="false"/>
          <w:smallCaps w:val="false"/>
          <w:spacing w:val="-4"/>
          <w:sz w:val="18"/>
        </w:rPr>
      </w:pPr>
      <w:r>
        <w:rPr>
          <w:rFonts w:ascii="Times New Roman" w:hAnsi="Times New Roman"/>
          <w:b/>
          <w:i w:val="false"/>
          <w:caps w:val="false"/>
          <w:smallCaps w:val="false"/>
          <w:spacing w:val="-4"/>
          <w:sz w:val="18"/>
        </w:rPr>
        <w:t>Registration No. 333-            </w:t>
      </w:r>
    </w:p>
    <w:p>
      <w:pPr>
        <w:pStyle w:val="TextBody"/>
        <w:pBdr>
          <w:bottom w:val="double" w:sz="6" w:space="1" w:color="000000"/>
        </w:pBdr>
        <w:spacing w:before="0" w:after="0"/>
        <w:jc w:val="center"/>
        <w:rPr/>
      </w:pPr>
      <w:r>
        <w:rPr/>
        <w:t> </w:t>
      </w:r>
    </w:p>
    <w:p>
      <w:pPr>
        <w:pStyle w:val="TextBody"/>
        <w:spacing w:before="40" w:after="0"/>
        <w:jc w:val="center"/>
        <w:rPr>
          <w:rFonts w:ascii="Times New Roman" w:hAnsi="Times New Roman"/>
          <w:b/>
          <w:i w:val="false"/>
          <w:caps w:val="false"/>
          <w:smallCaps w:val="false"/>
          <w:spacing w:val="-4"/>
          <w:sz w:val="36"/>
        </w:rPr>
      </w:pPr>
      <w:r>
        <w:rPr>
          <w:rFonts w:ascii="Times New Roman" w:hAnsi="Times New Roman"/>
          <w:b/>
          <w:i w:val="false"/>
          <w:caps w:val="false"/>
          <w:smallCaps w:val="false"/>
          <w:spacing w:val="-4"/>
          <w:sz w:val="36"/>
        </w:rPr>
        <w:t>UNITED STATES</w:t>
      </w:r>
    </w:p>
    <w:p>
      <w:pPr>
        <w:pStyle w:val="TextBody"/>
        <w:spacing w:before="0" w:after="0"/>
        <w:jc w:val="center"/>
        <w:rPr>
          <w:rFonts w:ascii="Times New Roman" w:hAnsi="Times New Roman"/>
          <w:b/>
          <w:i w:val="false"/>
          <w:caps w:val="false"/>
          <w:smallCaps w:val="false"/>
          <w:spacing w:val="-4"/>
          <w:sz w:val="36"/>
        </w:rPr>
      </w:pPr>
      <w:r>
        <w:rPr>
          <w:rFonts w:ascii="Times New Roman" w:hAnsi="Times New Roman"/>
          <w:b/>
          <w:i w:val="false"/>
          <w:caps w:val="false"/>
          <w:smallCaps w:val="false"/>
          <w:spacing w:val="-4"/>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S</w:t>
        <w:noBreakHyphen/>
        <w:t>8</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REGISTRATION STATEMENT</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Under</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The Securities Act of 1933</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pacing w:val="-4"/>
          <w:sz w:val="48"/>
        </w:rPr>
      </w:pPr>
      <w:r>
        <w:rPr>
          <w:rFonts w:ascii="Times New Roman" w:hAnsi="Times New Roman"/>
          <w:b/>
          <w:i w:val="false"/>
          <w:caps w:val="false"/>
          <w:smallCaps w:val="false"/>
          <w:spacing w:val="-4"/>
          <w:sz w:val="48"/>
        </w:rPr>
        <w:t>ATHIRA PHARMA, INC.</w:t>
      </w:r>
    </w:p>
    <w:p>
      <w:pPr>
        <w:pStyle w:val="TextBody"/>
        <w:spacing w:before="0" w:after="0"/>
        <w:jc w:val="center"/>
        <w:rPr>
          <w:rFonts w:ascii="Times New Roman" w:hAnsi="Times New Roman"/>
          <w:b/>
          <w:i w:val="false"/>
          <w:caps w:val="false"/>
          <w:smallCaps w:val="false"/>
          <w:spacing w:val="-2"/>
          <w:sz w:val="16"/>
        </w:rPr>
      </w:pPr>
      <w:r>
        <w:rPr>
          <w:rFonts w:ascii="Times New Roman" w:hAnsi="Times New Roman"/>
          <w:b/>
          <w:i w:val="false"/>
          <w:caps w:val="false"/>
          <w:smallCaps w:val="false"/>
          <w:spacing w:val="-2"/>
          <w:sz w:val="16"/>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jc w:val="center"/>
        <w:rPr/>
      </w:pPr>
      <w:r>
        <w:rPr/>
        <w:t> </w:t>
      </w:r>
    </w:p>
    <w:tbl>
      <w:tblPr>
        <w:tblW w:w="3979" w:type="dxa"/>
        <w:jc w:val="left"/>
        <w:tblInd w:w="0" w:type="dxa"/>
        <w:tblCellMar>
          <w:top w:w="0" w:type="dxa"/>
          <w:left w:w="0" w:type="dxa"/>
          <w:bottom w:w="0" w:type="dxa"/>
          <w:right w:w="0" w:type="dxa"/>
        </w:tblCellMar>
      </w:tblPr>
      <w:tblGrid>
        <w:gridCol w:w="2270"/>
        <w:gridCol w:w="60"/>
        <w:gridCol w:w="1649"/>
      </w:tblGrid>
      <w:tr>
        <w:trPr/>
        <w:tc>
          <w:tcPr>
            <w:tcW w:w="22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60" w:type="dxa"/>
            <w:tcBorders/>
            <w:shd w:fill="auto" w:val="clear"/>
          </w:tcPr>
          <w:p>
            <w:pPr>
              <w:pStyle w:val="TableContents"/>
              <w:spacing w:before="0" w:after="0"/>
              <w:ind w:left="0" w:right="0" w:hanging="0"/>
              <w:jc w:val="center"/>
              <w:rPr/>
            </w:pPr>
            <w:r>
              <w:rPr/>
              <w:t> </w:t>
            </w:r>
          </w:p>
        </w:tc>
        <w:tc>
          <w:tcPr>
            <w:tcW w:w="1649"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45-3368487</w:t>
            </w:r>
          </w:p>
        </w:tc>
      </w:tr>
      <w:tr>
        <w:trPr/>
        <w:tc>
          <w:tcPr>
            <w:tcW w:w="2270" w:type="dxa"/>
            <w:tcBorders/>
            <w:shd w:fill="auto" w:val="clear"/>
          </w:tcPr>
          <w:p>
            <w:pPr>
              <w:pStyle w:val="TableContents"/>
              <w:spacing w:before="0" w:after="0"/>
              <w:ind w:left="0" w:right="0" w:hanging="0"/>
              <w:jc w:val="center"/>
              <w:rPr>
                <w:rFonts w:ascii="Times New Roman" w:hAnsi="Times New Roman"/>
                <w:b/>
                <w:i w:val="false"/>
                <w:caps w:val="false"/>
                <w:smallCaps w:val="false"/>
                <w:spacing w:val="-2"/>
                <w:sz w:val="16"/>
              </w:rPr>
            </w:pPr>
            <w:r>
              <w:rPr>
                <w:rFonts w:ascii="Times New Roman" w:hAnsi="Times New Roman"/>
                <w:b/>
                <w:i w:val="false"/>
                <w:caps w:val="false"/>
                <w:smallCaps w:val="false"/>
                <w:spacing w:val="-2"/>
                <w:sz w:val="16"/>
              </w:rPr>
              <w:t>(State or other jurisdiction of</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incorporation or organization)</w:t>
            </w:r>
          </w:p>
        </w:tc>
        <w:tc>
          <w:tcPr>
            <w:tcW w:w="60" w:type="dxa"/>
            <w:tcBorders/>
            <w:shd w:fill="auto" w:val="clear"/>
          </w:tcPr>
          <w:p>
            <w:pPr>
              <w:pStyle w:val="TableContents"/>
              <w:spacing w:before="0" w:after="0"/>
              <w:ind w:left="0" w:right="0" w:hanging="0"/>
              <w:jc w:val="center"/>
              <w:rPr/>
            </w:pPr>
            <w:r>
              <w:rPr/>
              <w:t> </w:t>
            </w:r>
          </w:p>
        </w:tc>
        <w:tc>
          <w:tcPr>
            <w:tcW w:w="1649" w:type="dxa"/>
            <w:tcBorders/>
            <w:shd w:fill="auto" w:val="clear"/>
          </w:tcPr>
          <w:p>
            <w:pPr>
              <w:pStyle w:val="TableContents"/>
              <w:spacing w:before="0" w:after="0"/>
              <w:ind w:left="0" w:right="0" w:hanging="0"/>
              <w:jc w:val="center"/>
              <w:rPr>
                <w:rFonts w:ascii="Times New Roman" w:hAnsi="Times New Roman"/>
                <w:b/>
                <w:i w:val="false"/>
                <w:caps w:val="false"/>
                <w:smallCaps w:val="false"/>
                <w:spacing w:val="-2"/>
                <w:sz w:val="16"/>
              </w:rPr>
            </w:pPr>
            <w:r>
              <w:rPr>
                <w:rFonts w:ascii="Times New Roman" w:hAnsi="Times New Roman"/>
                <w:b/>
                <w:i w:val="false"/>
                <w:caps w:val="false"/>
                <w:smallCaps w:val="false"/>
                <w:spacing w:val="-2"/>
                <w:sz w:val="16"/>
              </w:rPr>
              <w:t>(I.R.S. Employer</w:t>
            </w:r>
          </w:p>
          <w:p>
            <w:pPr>
              <w:pStyle w:val="TableContents"/>
              <w:spacing w:before="0" w:after="0"/>
              <w:ind w:left="0" w:right="0" w:hanging="0"/>
              <w:jc w:val="center"/>
              <w:rPr>
                <w:rFonts w:ascii="Times New Roman" w:hAnsi="Times New Roman"/>
                <w:b/>
                <w:i w:val="false"/>
                <w:caps w:val="false"/>
                <w:smallCaps w:val="false"/>
                <w:spacing w:val="-2"/>
                <w:sz w:val="16"/>
              </w:rPr>
            </w:pPr>
            <w:r>
              <w:rPr>
                <w:rFonts w:ascii="Times New Roman" w:hAnsi="Times New Roman"/>
                <w:b/>
                <w:i w:val="false"/>
                <w:caps w:val="false"/>
                <w:smallCaps w:val="false"/>
                <w:spacing w:val="-2"/>
                <w:sz w:val="16"/>
              </w:rPr>
              <w:t>Identification Number)</w:t>
            </w:r>
          </w:p>
        </w:tc>
      </w:tr>
    </w:tbl>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18706 North Creek Parkway, Suite 104</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Bothell, WA 98011</w:t>
      </w:r>
    </w:p>
    <w:p>
      <w:pPr>
        <w:pStyle w:val="TextBody"/>
        <w:spacing w:before="0" w:after="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(Address of principal executive offices, including zip code)</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2020 Equity Incentive Plan</w:t>
        <w:br/>
        <w:t>2020 Employee Stock Purchase Plan</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(Full title of the plans)</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Leen Kawas, Ph.D.</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President and Chief Executive Officer</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Athira Pharma, Inc.</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18706 North Creek Parkway, Suite 104</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Bothell, WA 98011</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(206) 221-8112</w:t>
      </w:r>
    </w:p>
    <w:p>
      <w:pPr>
        <w:pStyle w:val="TextBody"/>
        <w:spacing w:before="0" w:after="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(Name, address and telephone number, including area code, of agent for service)</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Copies to:</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Michael Nordtvedt</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Bryan D. King</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Donna Petkanics</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Wilson Sonsini Goodrich &amp; Rosati,</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Professional Corporation</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701 Fifth Avenue, Suite 5100</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Seattle, WA 98104</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(206) 883-2500</w:t>
      </w:r>
    </w:p>
    <w:p>
      <w:pPr>
        <w:pStyle w:val="TextBody"/>
        <w:pBdr>
          <w:bottom w:val="single" w:sz="6" w:space="1" w:color="000000"/>
        </w:pBdr>
        <w:spacing w:before="0" w:after="0"/>
        <w:jc w:val="center"/>
        <w:rPr/>
      </w:pPr>
      <w:r>
        <w:rPr/>
        <w:t> </w:t>
      </w:r>
    </w:p>
    <w:p>
      <w:pPr>
        <w:pStyle w:val="TextBody"/>
        <w:spacing w:before="0" w:after="0"/>
        <w:jc w:val="center"/>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030" w:type="dxa"/>
        <w:jc w:val="center"/>
        <w:tblInd w:w="0" w:type="dxa"/>
        <w:tblCellMar>
          <w:top w:w="0" w:type="dxa"/>
          <w:left w:w="0" w:type="dxa"/>
          <w:bottom w:w="0" w:type="dxa"/>
          <w:right w:w="0" w:type="dxa"/>
        </w:tblCellMar>
      </w:tblPr>
      <w:tblGrid>
        <w:gridCol w:w="1850"/>
        <w:gridCol w:w="2180"/>
      </w:tblGrid>
      <w:tr>
        <w:trPr/>
        <w:tc>
          <w:tcPr>
            <w:tcW w:w="1850"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Large accelerated filer  ☐</w:t>
            </w:r>
          </w:p>
        </w:tc>
        <w:tc>
          <w:tcPr>
            <w:tcW w:w="2180"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Accelerated filer                   ☐</w:t>
            </w:r>
          </w:p>
        </w:tc>
      </w:tr>
      <w:tr>
        <w:trPr/>
        <w:tc>
          <w:tcPr>
            <w:tcW w:w="1850" w:type="dxa"/>
            <w:tcBorders/>
            <w:shd w:fill="auto" w:val="clear"/>
          </w:tcPr>
          <w:p>
            <w:pPr>
              <w:pStyle w:val="TableContents"/>
              <w:spacing w:before="0" w:after="0"/>
              <w:ind w:left="0" w:right="0" w:hanging="0"/>
              <w:jc w:val="lef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Non-accelerated filer    ☒ </w:t>
            </w:r>
          </w:p>
        </w:tc>
        <w:tc>
          <w:tcPr>
            <w:tcW w:w="2180"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Smaller reporting company  ☒</w:t>
            </w:r>
          </w:p>
        </w:tc>
      </w:tr>
      <w:tr>
        <w:trPr/>
        <w:tc>
          <w:tcPr>
            <w:tcW w:w="1850" w:type="dxa"/>
            <w:tcBorders/>
            <w:shd w:fill="auto" w:val="clear"/>
          </w:tcPr>
          <w:p>
            <w:pPr>
              <w:pStyle w:val="TableContents"/>
              <w:spacing w:before="0" w:after="0"/>
              <w:ind w:left="0" w:right="0" w:hanging="0"/>
              <w:jc w:val="left"/>
              <w:rPr/>
            </w:pPr>
            <w:r>
              <w:rPr/>
              <w:t> </w:t>
            </w:r>
          </w:p>
        </w:tc>
        <w:tc>
          <w:tcPr>
            <w:tcW w:w="2180"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Emerging growth company  ☒</w:t>
            </w:r>
          </w:p>
        </w:tc>
      </w:tr>
    </w:tbl>
    <w:p>
      <w:pPr>
        <w:pStyle w:val="TextBody"/>
        <w:spacing w:before="0" w:after="0"/>
        <w:jc w:val="left"/>
        <w:rPr/>
      </w:pPr>
      <w:r>
        <w:rPr/>
        <w:t> </w:t>
      </w:r>
    </w:p>
    <w:p>
      <w:pPr>
        <w:pStyle w:val="TextBody"/>
        <w:spacing w:before="0" w:after="0"/>
        <w:jc w:val="lef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pBdr>
          <w:bottom w:val="double" w:sz="6" w:space="1" w:color="000000"/>
        </w:pBdr>
        <w:spacing w:before="0" w:after="0"/>
        <w:jc w:val="center"/>
        <w:rPr/>
      </w:pPr>
      <w:r>
        <w:rPr/>
        <w:t> </w:t>
      </w:r>
    </w:p>
    <w:p>
      <w:pPr>
        <w:pStyle w:val="TextBody"/>
        <w:spacing w:before="0" w:after="0"/>
        <w:jc w:val="left"/>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CALCULATION OF REGISTRATION FEE </w:t>
      </w:r>
    </w:p>
    <w:tbl>
      <w:tblPr>
        <w:tblW w:w="10205" w:type="dxa"/>
        <w:jc w:val="center"/>
        <w:tblInd w:w="0" w:type="dxa"/>
        <w:tblCellMar>
          <w:top w:w="0" w:type="dxa"/>
          <w:left w:w="0" w:type="dxa"/>
          <w:bottom w:w="0" w:type="dxa"/>
          <w:right w:w="0" w:type="dxa"/>
        </w:tblCellMar>
      </w:tblPr>
      <w:tblGrid>
        <w:gridCol w:w="5268"/>
        <w:gridCol w:w="60"/>
        <w:gridCol w:w="1096"/>
        <w:gridCol w:w="60"/>
        <w:gridCol w:w="1048"/>
        <w:gridCol w:w="60"/>
        <w:gridCol w:w="1351"/>
        <w:gridCol w:w="60"/>
        <w:gridCol w:w="1202"/>
      </w:tblGrid>
      <w:tr>
        <w:trPr/>
        <w:tc>
          <w:tcPr>
            <w:tcW w:w="5268"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048"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51"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202" w:type="dxa"/>
            <w:tcBorders/>
            <w:shd w:fill="auto" w:val="clear"/>
            <w:vAlign w:val="center"/>
          </w:tcPr>
          <w:p>
            <w:pPr>
              <w:pStyle w:val="TableContents"/>
              <w:spacing w:before="0" w:after="0"/>
              <w:ind w:left="0" w:right="0" w:hanging="0"/>
              <w:rPr/>
            </w:pPr>
            <w:r>
              <w:rPr/>
              <w:t> </w:t>
            </w:r>
          </w:p>
        </w:tc>
      </w:tr>
      <w:tr>
        <w:trPr/>
        <w:tc>
          <w:tcPr>
            <w:tcW w:w="10205" w:type="dxa"/>
            <w:gridSpan w:val="9"/>
            <w:tcBorders/>
            <w:shd w:fill="auto" w:val="clear"/>
            <w:vAlign w:val="bottom"/>
          </w:tcPr>
          <w:p>
            <w:pPr>
              <w:pStyle w:val="TableContents"/>
              <w:pBdr>
                <w:top w:val="single" w:sz="6" w:space="1" w:color="000000"/>
              </w:pBdr>
              <w:spacing w:before="0" w:after="0"/>
              <w:ind w:left="0" w:right="0" w:hanging="0"/>
              <w:rPr/>
            </w:pPr>
            <w:r>
              <w:rPr/>
              <w:t> </w:t>
            </w:r>
          </w:p>
        </w:tc>
      </w:tr>
      <w:tr>
        <w:trPr/>
        <w:tc>
          <w:tcPr>
            <w:tcW w:w="526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Title of Each Class of Securities</w:t>
              <w:br/>
              <w:t>to be Registered</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96"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 be</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Registered(1)</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4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Proposed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Maximum</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Offering Price</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 Share</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351"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Proposed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Maximum</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Offering Price</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202"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 of</w:t>
            </w:r>
          </w:p>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Registration Fee</w:t>
            </w:r>
          </w:p>
        </w:tc>
      </w:tr>
      <w:tr>
        <w:trPr/>
        <w:tc>
          <w:tcPr>
            <w:tcW w:w="5268" w:type="dxa"/>
            <w:tcBorders>
              <w:top w:val="single" w:sz="6" w:space="0" w:color="000000"/>
            </w:tcBorders>
            <w:shd w:fill="auto" w:val="clear"/>
            <w:tcMar>
              <w:top w:w="28"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$0.0001 par value per share:</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96" w:type="dxa"/>
            <w:tcBorders>
              <w:top w:val="single" w:sz="6" w:space="0" w:color="000000"/>
            </w:tcBorders>
            <w:shd w:fill="auto" w:val="clear"/>
            <w:tcMar>
              <w:top w:w="28" w:type="dxa"/>
            </w:tcMar>
            <w:vAlign w:val="bottom"/>
          </w:tcPr>
          <w:p>
            <w:pPr>
              <w:pStyle w:val="TableContents"/>
              <w:spacing w:before="0" w:after="0"/>
              <w:ind w:left="0" w:right="0" w:hanging="0"/>
              <w:rPr/>
            </w:pPr>
            <w:r>
              <w:rPr/>
              <w:t> </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48" w:type="dxa"/>
            <w:tcBorders>
              <w:top w:val="single" w:sz="6" w:space="0" w:color="000000"/>
            </w:tcBorders>
            <w:shd w:fill="auto" w:val="clear"/>
            <w:tcMar>
              <w:top w:w="28" w:type="dxa"/>
            </w:tcMar>
            <w:vAlign w:val="bottom"/>
          </w:tcPr>
          <w:p>
            <w:pPr>
              <w:pStyle w:val="TableContents"/>
              <w:spacing w:before="0" w:after="0"/>
              <w:ind w:left="0" w:right="0" w:hanging="0"/>
              <w:rPr/>
            </w:pPr>
            <w:r>
              <w:rPr/>
              <w:t> </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351" w:type="dxa"/>
            <w:tcBorders>
              <w:top w:val="single" w:sz="6" w:space="0" w:color="000000"/>
            </w:tcBorders>
            <w:shd w:fill="auto" w:val="clear"/>
            <w:tcMar>
              <w:top w:w="28" w:type="dxa"/>
            </w:tcMar>
            <w:vAlign w:val="bottom"/>
          </w:tcPr>
          <w:p>
            <w:pPr>
              <w:pStyle w:val="TableContents"/>
              <w:spacing w:before="0" w:after="0"/>
              <w:ind w:left="0" w:right="0" w:hanging="0"/>
              <w:rPr/>
            </w:pPr>
            <w:r>
              <w:rPr/>
              <w:t> </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202" w:type="dxa"/>
            <w:tcBorders>
              <w:top w:val="single" w:sz="6" w:space="0" w:color="000000"/>
            </w:tcBorders>
            <w:shd w:fill="auto" w:val="clear"/>
            <w:tcMar>
              <w:top w:w="28" w:type="dxa"/>
            </w:tcMar>
            <w:vAlign w:val="bottom"/>
          </w:tcPr>
          <w:p>
            <w:pPr>
              <w:pStyle w:val="TableContents"/>
              <w:spacing w:before="0" w:after="0"/>
              <w:ind w:left="0" w:right="0" w:hanging="0"/>
              <w:rPr/>
            </w:pPr>
            <w:r>
              <w:rPr/>
              <w:t> </w:t>
            </w:r>
          </w:p>
        </w:tc>
      </w:tr>
      <w:tr>
        <w:trPr/>
        <w:tc>
          <w:tcPr>
            <w:tcW w:w="5268" w:type="dxa"/>
            <w:tcBorders>
              <w:top w:val="single" w:sz="6" w:space="0" w:color="000000"/>
            </w:tcBorders>
            <w:shd w:fill="auto" w:val="clear"/>
            <w:tcMar>
              <w:top w:w="28"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Reserved for issuance under the 2020 Equity Incentive Plan</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96"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highlight w:val="white"/>
              </w:rPr>
              <w:t>1,624,259</w:t>
            </w:r>
            <w:r>
              <w:rPr>
                <w:rFonts w:ascii="Times New Roman" w:hAnsi="Times New Roman"/>
                <w:b w:val="false"/>
                <w:i w:val="false"/>
                <w:caps w:val="false"/>
                <w:smallCaps w:val="false"/>
                <w:color w:val="000000"/>
                <w:sz w:val="20"/>
              </w:rPr>
              <w:t xml:space="preserve"> (2)</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4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$19.34 (4)</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351"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$31,413,169.06 </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202"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$3,427.18</w:t>
            </w:r>
          </w:p>
        </w:tc>
      </w:tr>
      <w:tr>
        <w:trPr/>
        <w:tc>
          <w:tcPr>
            <w:tcW w:w="5268" w:type="dxa"/>
            <w:tcBorders>
              <w:top w:val="single" w:sz="6" w:space="0" w:color="000000"/>
            </w:tcBorders>
            <w:shd w:fill="auto" w:val="clear"/>
            <w:tcMar>
              <w:top w:w="28"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Reserved for issuance under the 2020 Employee Stock Purchase Plan</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96"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highlight w:val="white"/>
              </w:rPr>
              <w:t>324,851 (</w:t>
            </w:r>
            <w:r>
              <w:rPr>
                <w:rFonts w:ascii="Times New Roman" w:hAnsi="Times New Roman"/>
                <w:b w:val="false"/>
                <w:i w:val="false"/>
                <w:caps w:val="false"/>
                <w:smallCaps w:val="false"/>
                <w:color w:val="000000"/>
                <w:sz w:val="20"/>
              </w:rPr>
              <w:t>3)</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4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$16.44 (5)</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351"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$5,340,225.59</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202"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$582.62</w:t>
            </w:r>
          </w:p>
        </w:tc>
      </w:tr>
      <w:tr>
        <w:trPr/>
        <w:tc>
          <w:tcPr>
            <w:tcW w:w="5268" w:type="dxa"/>
            <w:tcBorders>
              <w:top w:val="single" w:sz="6" w:space="0" w:color="000000"/>
            </w:tcBorders>
            <w:shd w:fill="auto" w:val="clear"/>
            <w:tcMar>
              <w:top w:w="28" w:type="dxa"/>
            </w:tcMar>
          </w:tcPr>
          <w:p>
            <w:pPr>
              <w:pStyle w:val="TableContents"/>
              <w:spacing w:before="0" w:after="0"/>
              <w:ind w:left="200" w:right="0" w:hanging="20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96"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1,949,110</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048" w:type="dxa"/>
            <w:tcBorders>
              <w:top w:val="single" w:sz="6" w:space="0" w:color="000000"/>
            </w:tcBorders>
            <w:shd w:fill="auto" w:val="clear"/>
            <w:tcMar>
              <w:top w:w="28" w:type="dxa"/>
            </w:tcMar>
            <w:vAlign w:val="bottom"/>
          </w:tcPr>
          <w:p>
            <w:pPr>
              <w:pStyle w:val="TableContents"/>
              <w:spacing w:before="0" w:after="0"/>
              <w:ind w:left="0" w:right="0" w:hanging="0"/>
              <w:rPr/>
            </w:pPr>
            <w:r>
              <w:rPr/>
              <w:t> </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351"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$36,753,394.65</w:t>
            </w:r>
          </w:p>
        </w:tc>
        <w:tc>
          <w:tcPr>
            <w:tcW w:w="60" w:type="dxa"/>
            <w:tcBorders>
              <w:top w:val="single" w:sz="6" w:space="0" w:color="000000"/>
              <w:left w:val="single" w:sz="6" w:space="0" w:color="000000"/>
            </w:tcBorders>
            <w:shd w:fill="auto" w:val="clear"/>
            <w:tcMar>
              <w:top w:w="28" w:type="dxa"/>
              <w:left w:w="28" w:type="dxa"/>
            </w:tcMar>
            <w:vAlign w:val="bottom"/>
          </w:tcPr>
          <w:p>
            <w:pPr>
              <w:pStyle w:val="TableContents"/>
              <w:spacing w:before="0" w:after="0"/>
              <w:ind w:left="0" w:right="0" w:hanging="0"/>
              <w:rPr/>
            </w:pPr>
            <w:r>
              <w:rPr/>
              <w:t> </w:t>
            </w:r>
          </w:p>
        </w:tc>
        <w:tc>
          <w:tcPr>
            <w:tcW w:w="1202"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$4,009.80</w:t>
            </w:r>
          </w:p>
        </w:tc>
      </w:tr>
      <w:tr>
        <w:trPr/>
        <w:tc>
          <w:tcPr>
            <w:tcW w:w="10205" w:type="dxa"/>
            <w:gridSpan w:val="9"/>
            <w:tcBorders/>
            <w:shd w:fill="auto" w:val="clear"/>
            <w:vAlign w:val="bottom"/>
          </w:tcPr>
          <w:p>
            <w:pPr>
              <w:pStyle w:val="TableContents"/>
              <w:pBdr>
                <w:top w:val="single" w:sz="6" w:space="1" w:color="000000"/>
              </w:pBdr>
              <w:spacing w:before="0" w:after="0"/>
              <w:ind w:left="0" w:right="0" w:hanging="0"/>
              <w:rPr/>
            </w:pPr>
            <w:r>
              <w:rPr/>
              <w:t> </w:t>
            </w:r>
          </w:p>
        </w:tc>
      </w:tr>
      <w:tr>
        <w:trPr/>
        <w:tc>
          <w:tcPr>
            <w:tcW w:w="10205" w:type="dxa"/>
            <w:gridSpan w:val="9"/>
            <w:tcBorders/>
            <w:shd w:fill="auto" w:val="clear"/>
            <w:vAlign w:val="bottom"/>
          </w:tcPr>
          <w:p>
            <w:pPr>
              <w:pStyle w:val="TableContents"/>
              <w:pBdr>
                <w:top w:val="single" w:sz="6" w:space="1" w:color="000000"/>
              </w:pBdr>
              <w:spacing w:before="0" w:after="0"/>
              <w:ind w:left="0" w:right="0" w:hanging="0"/>
              <w:rPr/>
            </w:pPr>
            <w:r>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(1)</w:t>
            </w:r>
          </w:p>
        </w:tc>
        <w:tc>
          <w:tcPr>
            <w:tcW w:w="1001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 xml:space="preserve">Pursuant to Rule 416(a) of the Securities Act of 1933, as amended (the “Securities Act”), this Registration Statement shall also cover any additional shares of the Registrant’s common stock that become issuable under the 2020 Equity Incentive Plan (the “2020 Plan”) and the 2020 Employee Stock Purchase Plan (the “2020 ESPP”) by reason of any stock dividend, stock split, recapitalization or other similar transaction effected without receipt of consideration that increases the number of the Registrant’s outstanding shares of common stock. In addition, pursuant to Rule 416(c) under the Securities Act, this Registration Statement also covers an indeterminate amount of interests to be offered or sold pursuant to the employee benefits plans described herein.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(2)</w:t>
            </w:r>
          </w:p>
        </w:tc>
        <w:tc>
          <w:tcPr>
            <w:tcW w:w="1001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 xml:space="preserve">Represents an automatic annual increase on January 1, 2021 to the number of shares of the Registrant’s common stock reserved for issuance under the 2020 Plan pursuant to an “evergreen” provision contained in the 2020 Plan. Pursuant to such provision, the number of shares of the Registrant’s common stock available for grant and issuance under the 2020 Plan is subject to an annual increase on the first day of each fiscal year by an amount equal to the least of (i) 3,230,000 shares of common stock, (ii) five percent (5%) of the outstanding shares of all classes of the Registrant’s common stock as of the last day of the immediately preceding fiscal year or (iii) such number of shares as the Registrant’s board of directors may determine no later than the last day of the Registrant’s immediately preceding fiscal year.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(3)</w:t>
            </w:r>
          </w:p>
        </w:tc>
        <w:tc>
          <w:tcPr>
            <w:tcW w:w="1001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Represents an automatic annual increase on January 1, 2021 to the number of shares of the Registrant’s common stock reserved for issuance under the 2020 ESPP pursuant to an “evergreen” provision contained in the 2020 ESPP. Pursuant to such provision, the number of shares of the Registrant’s common stock available for issuance under the 2020 ESPP is subject to an annual increase on the first day of each fiscal year by an amount equal to the least of (i) 646,000 shares of common stock, (ii) one percent (1%) of the outstanding shares of all classes of the Registrant’s common stock on the last day of the immediately preceding fiscal year or (iii) such other number of shares as the Registrant’s board of directors may determine as of no later than the last day of the Registrant’s immediately preceding fiscal year.</w:t>
            </w:r>
          </w:p>
          <w:p>
            <w:pPr>
              <w:pStyle w:val="TableContents"/>
              <w:spacing w:before="0" w:after="0"/>
              <w:ind w:left="0" w:right="0" w:hanging="0"/>
              <w:rPr/>
            </w:pPr>
            <w:r>
              <w:rPr/>
              <w:t> </w:t>
            </w:r>
          </w:p>
        </w:tc>
      </w:tr>
      <w:tr>
        <w:trPr/>
        <w:tc>
          <w:tcPr>
            <w:tcW w:w="193"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(4)</w:t>
            </w:r>
          </w:p>
        </w:tc>
        <w:tc>
          <w:tcPr>
            <w:tcW w:w="10012"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 xml:space="preserve">Estimated in accordance with Rules 457(c) and 457(h) of the Securities Act solely for purposes of calculating the registration fee on the basis of $19.34 per share, which is the average of the high and low prices of the Registrant’s common stock on March 22, 2021, as reported on the NASDAQ Global Select Market (the “Full Offering Price”).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(5)</w:t>
            </w:r>
          </w:p>
        </w:tc>
        <w:tc>
          <w:tcPr>
            <w:tcW w:w="999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9"/>
              </w:rPr>
            </w:pPr>
            <w:r>
              <w:rPr>
                <w:rFonts w:ascii="Times New Roman" w:hAnsi="Times New Roman"/>
                <w:b w:val="false"/>
                <w:i w:val="false"/>
                <w:caps w:val="false"/>
                <w:smallCaps w:val="false"/>
                <w:color w:val="000000"/>
                <w:sz w:val="19"/>
              </w:rPr>
              <w:t xml:space="preserve">Estimated in accordance with Rules 457(c) and 457(h) of the Securities Act solely for purposes of calculating the registration fee on the basis of the Full Offering Price multiplied by 85%, which is the percentage of the price per share applicable to purchases under the 2020 ESPP. </w:t>
            </w:r>
          </w:p>
        </w:tc>
      </w:tr>
    </w:tbl>
    <w:p>
      <w:pPr>
        <w:pStyle w:val="TextBody"/>
        <w:spacing w:before="0" w:after="0"/>
        <w:rPr/>
      </w:pPr>
      <w:r>
        <w:rPr/>
        <w:t> </w:t>
      </w:r>
    </w:p>
    <w:p>
      <w:pPr>
        <w:pStyle w:val="TextBody"/>
        <w:spacing w:before="24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inherit" w:hAnsi="inherit"/>
          <w:b/>
          <w:i w:val="false"/>
          <w:caps w:val="false"/>
          <w:smallCaps w:val="false"/>
          <w:color w:val="000000"/>
          <w:sz w:val="20"/>
        </w:rPr>
      </w:pPr>
      <w:r>
        <w:rPr>
          <w:rFonts w:ascii="inherit" w:hAnsi="inherit"/>
          <w:b/>
          <w:i w:val="false"/>
          <w:caps w:val="false"/>
          <w:smallCaps w:val="false"/>
          <w:color w:val="000000"/>
          <w:sz w:val="20"/>
        </w:rPr>
        <w:t>EXPLANATORY NOTE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Registration Statement on Form S-8 (this “Registration Statement”) registers additional shares of common stock of Athira Pharma, Inc. (the “Registrant”) under the Athira Pharma, Inc. 2020 Equity Incentive Plan (the “2020 Plan”) and the Athira Pharma, Inc. 2020 Employee Stock Purchase Plan (the “2020 ESPP”) for which registration statement (No. 333-248910) on Form S-8 was filed with the Securities and Exchange Commission (the “Commission”) on September 18, 2020. Pursuant to General Instruction E to Form S-8, the contents of such earlier registration statement are incorporated by reference into this Registration Statement, except that the provisions contained in Parts I and II of such earlier registration statement are modified as set forth in this Registration Statement.</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PART I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INFORMATION REQUIRED IN THE SECTION 10(a) PROSPECTUS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w:t>
      </w:r>
    </w:p>
    <w:p>
      <w:pPr>
        <w:pStyle w:val="TextBody"/>
        <w:spacing w:before="240" w:after="0"/>
        <w:jc w:val="center"/>
        <w:rPr>
          <w:rFonts w:ascii="Times New Roman" w:hAnsi="Times New Roman"/>
          <w:b/>
          <w:i w:val="false"/>
          <w:caps w:val="false"/>
          <w:smallCaps w:val="false"/>
          <w:sz w:val="20"/>
        </w:rPr>
      </w:pPr>
      <w:bookmarkStart w:id="2" w:name="PART_II"/>
      <w:bookmarkEnd w:id="2"/>
      <w:r>
        <w:rPr>
          <w:rFonts w:ascii="Times New Roman" w:hAnsi="Times New Roman"/>
          <w:b/>
          <w:i w:val="false"/>
          <w:caps w:val="false"/>
          <w:smallCaps w:val="false"/>
          <w:sz w:val="20"/>
        </w:rPr>
        <w:t xml:space="preserve">PART II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INFORMATION REQUIRED IN REGISTRATION STATEMENT </w:t>
      </w:r>
    </w:p>
    <w:p>
      <w:pPr>
        <w:pStyle w:val="TextBody"/>
        <w:spacing w:before="120" w:after="0"/>
        <w:ind w:left="720" w:right="0" w:hanging="0"/>
        <w:rPr>
          <w:rFonts w:ascii="Times New Roman" w:hAnsi="Times New Roman"/>
          <w:b/>
          <w:i w:val="false"/>
          <w:caps w:val="false"/>
          <w:smallCaps w:val="false"/>
          <w:color w:val="000000"/>
          <w:sz w:val="20"/>
        </w:rPr>
      </w:pPr>
      <w:bookmarkStart w:id="3" w:name="ITEM_3_INCORPORATION_DOCUMENTS_BY_REFERE"/>
      <w:bookmarkEnd w:id="3"/>
      <w:r>
        <w:rPr>
          <w:rFonts w:ascii="Times New Roman" w:hAnsi="Times New Roman"/>
          <w:b/>
          <w:i w:val="false"/>
          <w:caps w:val="false"/>
          <w:smallCaps w:val="false"/>
          <w:color w:val="000000"/>
          <w:sz w:val="20"/>
        </w:rPr>
        <w:t>Item 3.</w:t>
      </w:r>
      <w:bookmarkStart w:id="4" w:name="ITEM_3_INCORPORATION_DOCUMENTS_BY_REFERE"/>
      <w:bookmarkEnd w:id="4"/>
      <w:r>
        <w:rPr>
          <w:rFonts w:ascii="Times New Roman" w:hAnsi="Times New Roman"/>
          <w:b/>
          <w:i w:val="false"/>
          <w:caps w:val="false"/>
          <w:smallCaps w:val="false"/>
          <w:color w:val="000000"/>
          <w:sz w:val="20"/>
        </w:rPr>
        <w:t xml:space="preserve">Incorporation of Documents by Reference.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 hereby incorporates by reference into this Registration Statement the following documents previously filed with the Commission: </w:t>
      </w:r>
    </w:p>
    <w:p>
      <w:pPr>
        <w:pStyle w:val="TextBody"/>
        <w:spacing w:before="240" w:after="0"/>
        <w:rPr/>
      </w:pPr>
      <w:r>
        <w:rPr>
          <w:rFonts w:ascii="Times New Roman" w:hAnsi="Times New Roman"/>
          <w:b w:val="false"/>
          <w:i w:val="false"/>
          <w:caps w:val="false"/>
          <w:smallCaps w:val="false"/>
          <w:sz w:val="20"/>
        </w:rPr>
        <w:t xml:space="preserve">(1) The Registrant’s Annual Report on Form 10-K for the fiscal year ended December 31, 2020, filed with the Commission on </w:t>
      </w:r>
      <w:hyperlink r:id="rId2">
        <w:r>
          <w:rPr>
            <w:rStyle w:val="InternetLink"/>
            <w:rFonts w:ascii="Times New Roman" w:hAnsi="Times New Roman"/>
            <w:b w:val="false"/>
            <w:i w:val="false"/>
            <w:caps w:val="false"/>
            <w:smallCaps w:val="false"/>
            <w:sz w:val="20"/>
            <w:u w:val="single"/>
          </w:rPr>
          <w:t>March 25, 2021</w:t>
        </w:r>
      </w:hyperlink>
      <w:r>
        <w:rPr>
          <w:rFonts w:ascii="Times New Roman" w:hAnsi="Times New Roman"/>
          <w:b w:val="false"/>
          <w:i w:val="false"/>
          <w:caps w:val="false"/>
          <w:smallCaps w:val="false"/>
          <w:sz w:val="20"/>
        </w:rPr>
        <w:t xml:space="preserve">, pursuant to Section 13(a) under the Securities Exchange Act of 1934, as amended (the “Exchange Act”);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(2) All other reports filed with the Commission pursuant to Section 13(a) or 15(d) of the Exchange Act (other than the reports, or portions thereof, deemed to have been furnished and not filed with the Commission) since the end of the fiscal year covered by the Annual Report referred to in (1) above; and </w:t>
      </w:r>
    </w:p>
    <w:p>
      <w:pPr>
        <w:pStyle w:val="TextBody"/>
        <w:spacing w:before="240" w:after="0"/>
        <w:rPr/>
      </w:pPr>
      <w:r>
        <w:rPr>
          <w:rFonts w:ascii="Times New Roman" w:hAnsi="Times New Roman"/>
          <w:b w:val="false"/>
          <w:i w:val="false"/>
          <w:caps w:val="false"/>
          <w:smallCaps w:val="false"/>
          <w:sz w:val="20"/>
        </w:rPr>
        <w:t xml:space="preserve">(3) The description of the Registrant’s Common Stock contained in the Company’s Registration Statement on Form 8-A (File No. 001-39503) filed with the Commission on </w:t>
      </w:r>
      <w:hyperlink r:id="rId3">
        <w:r>
          <w:rPr>
            <w:rStyle w:val="InternetLink"/>
            <w:rFonts w:ascii="Times New Roman" w:hAnsi="Times New Roman"/>
            <w:b w:val="false"/>
            <w:i w:val="false"/>
            <w:caps w:val="false"/>
            <w:smallCaps w:val="false"/>
            <w:sz w:val="20"/>
            <w:u w:val="single"/>
          </w:rPr>
          <w:t>September 9, 2020</w:t>
        </w:r>
      </w:hyperlink>
      <w:r>
        <w:rPr>
          <w:rFonts w:ascii="Times New Roman" w:hAnsi="Times New Roman"/>
          <w:b w:val="false"/>
          <w:i w:val="false"/>
          <w:caps w:val="false"/>
          <w:smallCaps w:val="false"/>
          <w:sz w:val="20"/>
        </w:rPr>
        <w:t xml:space="preserve">, pursuant to Section 12(b) of the Exchange Act, including any amendment or report filed for the purpose of updating such description.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however</w:t>
      </w:r>
      <w:r>
        <w:rPr>
          <w:rFonts w:ascii="Times New Roman" w:hAnsi="Times New Roman"/>
          <w:b w:val="false"/>
          <w:i w:val="false"/>
          <w:caps w:val="false"/>
          <w:smallCaps w:val="false"/>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spacing w:before="240" w:after="0"/>
        <w:rPr/>
      </w:pPr>
      <w:bookmarkStart w:id="5" w:name="_AEIOULastRenderedPageBreakAEIOU2"/>
      <w:bookmarkEnd w:id="5"/>
      <w:r>
        <w:rPr/>
        <w:t> </w:t>
      </w:r>
    </w:p>
    <w:p>
      <w:pPr>
        <w:pStyle w:val="HorizontalLine"/>
        <w:rPr/>
      </w:pPr>
      <w:r>
        <w:rPr/>
      </w:r>
    </w:p>
    <w:p>
      <w:pPr>
        <w:pStyle w:val="TextBody"/>
        <w:spacing w:before="0" w:after="0"/>
        <w:rPr/>
      </w:pPr>
      <w:r>
        <w:rPr/>
        <w:t> </w:t>
      </w:r>
    </w:p>
    <w:p>
      <w:pPr>
        <w:pStyle w:val="TextBody"/>
        <w:spacing w:before="0" w:after="0"/>
        <w:ind w:left="72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Item 8.Exhibits.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605"/>
        <w:gridCol w:w="60"/>
        <w:gridCol w:w="5672"/>
        <w:gridCol w:w="60"/>
        <w:gridCol w:w="60"/>
        <w:gridCol w:w="438"/>
        <w:gridCol w:w="60"/>
        <w:gridCol w:w="60"/>
        <w:gridCol w:w="60"/>
        <w:gridCol w:w="879"/>
        <w:gridCol w:w="60"/>
        <w:gridCol w:w="60"/>
        <w:gridCol w:w="60"/>
        <w:gridCol w:w="485"/>
        <w:gridCol w:w="60"/>
        <w:gridCol w:w="60"/>
        <w:gridCol w:w="60"/>
        <w:gridCol w:w="1344"/>
        <w:gridCol w:w="62"/>
      </w:tblGrid>
      <w:tr>
        <w:trPr/>
        <w:tc>
          <w:tcPr>
            <w:tcW w:w="605" w:type="dxa"/>
            <w:tcBorders>
              <w:bottom w:val="single" w:sz="8"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5672" w:type="dxa"/>
            <w:tcBorders>
              <w:bottom w:val="single" w:sz="8" w:space="0" w:color="000000"/>
            </w:tcBorders>
            <w:shd w:fill="auto" w:val="clear"/>
            <w:vAlign w:val="bottom"/>
          </w:tcPr>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 Description</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498"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Form</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1604" w:type="dxa"/>
            <w:gridSpan w:val="6"/>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Incorporated by</w:t>
              <w:br/>
              <w:t>Reference</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140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Filing Date</w:t>
            </w:r>
          </w:p>
        </w:tc>
        <w:tc>
          <w:tcPr>
            <w:tcW w:w="62" w:type="dxa"/>
            <w:tcBorders>
              <w:bottom w:val="single" w:sz="8" w:space="0" w:color="000000"/>
            </w:tcBorders>
            <w:shd w:fill="auto" w:val="clear"/>
            <w:vAlign w:val="bottom"/>
          </w:tcPr>
          <w:p>
            <w:pPr>
              <w:pStyle w:val="TableContents"/>
              <w:spacing w:before="0" w:after="0"/>
              <w:ind w:left="0" w:right="0" w:hanging="0"/>
              <w:rPr/>
            </w:pPr>
            <w:r>
              <w:rPr/>
              <w:t> </w:t>
            </w:r>
          </w:p>
        </w:tc>
      </w:tr>
      <w:tr>
        <w:trPr/>
        <w:tc>
          <w:tcPr>
            <w:tcW w:w="605"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5672"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498" w:type="dxa"/>
            <w:gridSpan w:val="2"/>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93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File No.</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1404" w:type="dxa"/>
            <w:gridSpan w:val="2"/>
            <w:tcBorders>
              <w:bottom w:val="single" w:sz="8" w:space="0" w:color="000000"/>
            </w:tcBorders>
            <w:shd w:fill="auto" w:val="clear"/>
            <w:vAlign w:val="bottom"/>
          </w:tcPr>
          <w:p>
            <w:pPr>
              <w:pStyle w:val="TableContents"/>
              <w:spacing w:before="0" w:after="0"/>
              <w:ind w:left="0" w:right="0" w:hanging="0"/>
              <w:rPr/>
            </w:pPr>
            <w:r>
              <w:rPr/>
              <w:t> </w:t>
            </w:r>
          </w:p>
        </w:tc>
        <w:tc>
          <w:tcPr>
            <w:tcW w:w="62" w:type="dxa"/>
            <w:tcBorders>
              <w:bottom w:val="single" w:sz="8" w:space="0" w:color="000000"/>
            </w:tcBorders>
            <w:shd w:fill="auto" w:val="clear"/>
            <w:vAlign w:val="bottom"/>
          </w:tcPr>
          <w:p>
            <w:pPr>
              <w:pStyle w:val="TableContents"/>
              <w:spacing w:before="0" w:after="0"/>
              <w:ind w:left="0" w:right="0" w:hanging="0"/>
              <w:rPr/>
            </w:pPr>
            <w:r>
              <w:rPr/>
              <w:t> </w:t>
            </w:r>
          </w:p>
        </w:tc>
      </w:tr>
      <w:tr>
        <w:trPr/>
        <w:tc>
          <w:tcPr>
            <w:tcW w:w="605" w:type="dxa"/>
            <w:tcBorders/>
            <w:shd w:fill="auto" w:val="clear"/>
            <w:tcMar>
              <w:bottom w:w="0" w:type="dxa"/>
            </w:tcMar>
            <w:vAlign w:val="center"/>
          </w:tcPr>
          <w:p>
            <w:pPr>
              <w:pStyle w:val="TableContents"/>
              <w:spacing w:before="0" w:after="0"/>
              <w:ind w:left="0" w:right="0" w:hanging="0"/>
              <w:rPr/>
            </w:pPr>
            <w:r>
              <w:rPr/>
              <w:t> </w:t>
            </w:r>
          </w:p>
        </w:tc>
        <w:tc>
          <w:tcPr>
            <w:tcW w:w="5732" w:type="dxa"/>
            <w:gridSpan w:val="2"/>
            <w:tcBorders/>
            <w:shd w:fill="auto" w:val="clear"/>
            <w:tcMar>
              <w:bottom w:w="0" w:type="dxa"/>
            </w:tcMar>
            <w:vAlign w:val="center"/>
          </w:tcPr>
          <w:p>
            <w:pPr>
              <w:pStyle w:val="TableContents"/>
              <w:spacing w:before="0" w:after="0"/>
              <w:ind w:left="0" w:right="0" w:hanging="0"/>
              <w:rPr/>
            </w:pPr>
            <w:r>
              <w:rPr/>
              <w:t> </w:t>
            </w:r>
          </w:p>
        </w:tc>
        <w:tc>
          <w:tcPr>
            <w:tcW w:w="618" w:type="dxa"/>
            <w:gridSpan w:val="4"/>
            <w:tcBorders/>
            <w:shd w:fill="auto" w:val="clear"/>
            <w:tcMar>
              <w:bottom w:w="0" w:type="dxa"/>
            </w:tcMar>
            <w:vAlign w:val="center"/>
          </w:tcPr>
          <w:p>
            <w:pPr>
              <w:pStyle w:val="TableContents"/>
              <w:spacing w:before="0" w:after="0"/>
              <w:ind w:left="0" w:right="0" w:hanging="0"/>
              <w:rPr/>
            </w:pPr>
            <w:r>
              <w:rPr/>
              <w:t> </w:t>
            </w:r>
          </w:p>
        </w:tc>
        <w:tc>
          <w:tcPr>
            <w:tcW w:w="1059" w:type="dxa"/>
            <w:gridSpan w:val="4"/>
            <w:tcBorders/>
            <w:shd w:fill="auto" w:val="clear"/>
            <w:tcMar>
              <w:bottom w:w="0" w:type="dxa"/>
            </w:tcMar>
            <w:vAlign w:val="center"/>
          </w:tcPr>
          <w:p>
            <w:pPr>
              <w:pStyle w:val="TableContents"/>
              <w:spacing w:before="0" w:after="0"/>
              <w:ind w:left="0" w:right="0" w:hanging="0"/>
              <w:rPr/>
            </w:pPr>
            <w:r>
              <w:rPr/>
              <w:t> </w:t>
            </w:r>
          </w:p>
        </w:tc>
        <w:tc>
          <w:tcPr>
            <w:tcW w:w="665" w:type="dxa"/>
            <w:gridSpan w:val="4"/>
            <w:tcBorders/>
            <w:shd w:fill="auto" w:val="clear"/>
            <w:tcMar>
              <w:bottom w:w="0" w:type="dxa"/>
            </w:tcMar>
            <w:vAlign w:val="center"/>
          </w:tcPr>
          <w:p>
            <w:pPr>
              <w:pStyle w:val="TableContents"/>
              <w:spacing w:before="0" w:after="0"/>
              <w:ind w:left="0" w:right="0" w:hanging="0"/>
              <w:rPr/>
            </w:pPr>
            <w:r>
              <w:rPr/>
              <w:t> </w:t>
            </w:r>
          </w:p>
        </w:tc>
        <w:tc>
          <w:tcPr>
            <w:tcW w:w="1526" w:type="dxa"/>
            <w:gridSpan w:val="4"/>
            <w:tcBorders/>
            <w:shd w:fill="auto" w:val="clear"/>
            <w:tcMar>
              <w:bottom w:w="0" w:type="dxa"/>
            </w:tcMar>
            <w:vAlign w:val="center"/>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r:id="rId4">
              <w:r>
                <w:rPr>
                  <w:rStyle w:val="InternetLink"/>
                  <w:rFonts w:ascii="Times New Roman" w:hAnsi="Times New Roman"/>
                  <w:b w:val="false"/>
                  <w:i w:val="false"/>
                  <w:caps w:val="false"/>
                  <w:smallCaps w:val="false"/>
                  <w:sz w:val="20"/>
                  <w:u w:val="single"/>
                </w:rPr>
                <w:t>Specimen common stock certificate of the Registrant</w:t>
              </w:r>
            </w:hyperlink>
            <w:r>
              <w:rPr>
                <w:rFonts w:ascii="Times New Roman" w:hAnsi="Times New Roman"/>
                <w:b w:val="false"/>
                <w:i w:val="false"/>
                <w:caps w:val="false"/>
                <w:smallCaps w:val="false"/>
                <w:sz w:val="20"/>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333-248428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September 14, 2020</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jc w:val="center"/>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w:anchor="atha-ex51_6.htm">
              <w:r>
                <w:rPr>
                  <w:rStyle w:val="InternetLink"/>
                  <w:rFonts w:ascii="Times New Roman" w:hAnsi="Times New Roman"/>
                  <w:b w:val="false"/>
                  <w:i w:val="false"/>
                  <w:caps w:val="false"/>
                  <w:smallCaps w:val="false"/>
                  <w:sz w:val="20"/>
                  <w:u w:val="single"/>
                </w:rPr>
                <w:t>Opinion of Wilson Sonsini Goodrich &amp; Rosati, Professional Corporation</w:t>
              </w:r>
            </w:hyperlink>
            <w:r>
              <w:rPr>
                <w:rFonts w:ascii="Times New Roman" w:hAnsi="Times New Roman"/>
                <w:b w:val="false"/>
                <w:i w:val="false"/>
                <w:caps w:val="false"/>
                <w:smallCaps w:val="false"/>
                <w:sz w:val="20"/>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vAlign w:val="center"/>
          </w:tcPr>
          <w:p>
            <w:pPr>
              <w:pStyle w:val="TableContents"/>
              <w:spacing w:before="0" w:after="0"/>
              <w:ind w:left="0" w:right="0" w:hanging="0"/>
              <w:rPr/>
            </w:pPr>
            <w:r>
              <w:rPr/>
              <w:t> </w:t>
            </w:r>
          </w:p>
        </w:tc>
        <w:tc>
          <w:tcPr>
            <w:tcW w:w="5732" w:type="dxa"/>
            <w:gridSpan w:val="2"/>
            <w:tcBorders/>
            <w:shd w:fill="auto" w:val="clear"/>
            <w:tcMar>
              <w:bottom w:w="0" w:type="dxa"/>
            </w:tcMar>
            <w:vAlign w:val="center"/>
          </w:tcPr>
          <w:p>
            <w:pPr>
              <w:pStyle w:val="TableContents"/>
              <w:spacing w:before="0" w:after="0"/>
              <w:ind w:left="0" w:right="0" w:hanging="0"/>
              <w:rPr/>
            </w:pPr>
            <w:r>
              <w:rPr/>
              <w:t> </w:t>
            </w:r>
          </w:p>
        </w:tc>
        <w:tc>
          <w:tcPr>
            <w:tcW w:w="618" w:type="dxa"/>
            <w:gridSpan w:val="4"/>
            <w:tcBorders/>
            <w:shd w:fill="auto" w:val="clear"/>
            <w:tcMar>
              <w:bottom w:w="0" w:type="dxa"/>
            </w:tcMar>
            <w:vAlign w:val="center"/>
          </w:tcPr>
          <w:p>
            <w:pPr>
              <w:pStyle w:val="TableContents"/>
              <w:spacing w:before="0" w:after="0"/>
              <w:ind w:left="0" w:right="0" w:hanging="0"/>
              <w:rPr/>
            </w:pPr>
            <w:r>
              <w:rPr/>
              <w:t> </w:t>
            </w:r>
          </w:p>
        </w:tc>
        <w:tc>
          <w:tcPr>
            <w:tcW w:w="1059" w:type="dxa"/>
            <w:gridSpan w:val="4"/>
            <w:tcBorders/>
            <w:shd w:fill="auto" w:val="clear"/>
            <w:tcMar>
              <w:bottom w:w="0" w:type="dxa"/>
            </w:tcMar>
            <w:vAlign w:val="center"/>
          </w:tcPr>
          <w:p>
            <w:pPr>
              <w:pStyle w:val="TableContents"/>
              <w:spacing w:before="0" w:after="0"/>
              <w:ind w:left="0" w:right="0" w:hanging="0"/>
              <w:rPr/>
            </w:pPr>
            <w:r>
              <w:rPr/>
              <w:t> </w:t>
            </w:r>
          </w:p>
        </w:tc>
        <w:tc>
          <w:tcPr>
            <w:tcW w:w="665" w:type="dxa"/>
            <w:gridSpan w:val="4"/>
            <w:tcBorders/>
            <w:shd w:fill="auto" w:val="clear"/>
            <w:tcMar>
              <w:bottom w:w="0" w:type="dxa"/>
            </w:tcMar>
            <w:vAlign w:val="center"/>
          </w:tcPr>
          <w:p>
            <w:pPr>
              <w:pStyle w:val="TableContents"/>
              <w:spacing w:before="0" w:after="0"/>
              <w:ind w:left="0" w:right="0" w:hanging="0"/>
              <w:rPr/>
            </w:pPr>
            <w:r>
              <w:rPr/>
              <w:t> </w:t>
            </w:r>
          </w:p>
        </w:tc>
        <w:tc>
          <w:tcPr>
            <w:tcW w:w="1526" w:type="dxa"/>
            <w:gridSpan w:val="4"/>
            <w:tcBorders/>
            <w:shd w:fill="auto" w:val="clear"/>
            <w:tcMar>
              <w:bottom w:w="0" w:type="dxa"/>
            </w:tcMar>
            <w:vAlign w:val="center"/>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w:anchor="atha-ex231_7.htm">
              <w:r>
                <w:rPr>
                  <w:rStyle w:val="InternetLink"/>
                  <w:rFonts w:ascii="Times New Roman" w:hAnsi="Times New Roman"/>
                  <w:b w:val="false"/>
                  <w:i w:val="false"/>
                  <w:caps w:val="false"/>
                  <w:smallCaps w:val="false"/>
                  <w:sz w:val="20"/>
                  <w:u w:val="single"/>
                </w:rPr>
                <w:t>Consent of Independent Registered Public Accounting Firm</w:t>
              </w:r>
            </w:hyperlink>
            <w:r>
              <w:rPr>
                <w:rFonts w:ascii="Times New Roman" w:hAnsi="Times New Roman"/>
                <w:b w:val="false"/>
                <w:i w:val="false"/>
                <w:caps w:val="false"/>
                <w:smallCaps w:val="false"/>
                <w:sz w:val="20"/>
                <w:u w:val="single"/>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vAlign w:val="center"/>
          </w:tcPr>
          <w:p>
            <w:pPr>
              <w:pStyle w:val="TableContents"/>
              <w:spacing w:before="0" w:after="0"/>
              <w:ind w:left="0" w:right="0" w:hanging="0"/>
              <w:rPr/>
            </w:pPr>
            <w:r>
              <w:rPr/>
              <w:t> </w:t>
            </w:r>
          </w:p>
        </w:tc>
        <w:tc>
          <w:tcPr>
            <w:tcW w:w="5732" w:type="dxa"/>
            <w:gridSpan w:val="2"/>
            <w:tcBorders/>
            <w:shd w:fill="auto" w:val="clear"/>
            <w:tcMar>
              <w:bottom w:w="0" w:type="dxa"/>
            </w:tcMar>
            <w:vAlign w:val="center"/>
          </w:tcPr>
          <w:p>
            <w:pPr>
              <w:pStyle w:val="TableContents"/>
              <w:spacing w:before="0" w:after="0"/>
              <w:ind w:left="0" w:right="0" w:hanging="0"/>
              <w:rPr/>
            </w:pPr>
            <w:r>
              <w:rPr/>
              <w:t> </w:t>
            </w:r>
          </w:p>
        </w:tc>
        <w:tc>
          <w:tcPr>
            <w:tcW w:w="618" w:type="dxa"/>
            <w:gridSpan w:val="4"/>
            <w:tcBorders/>
            <w:shd w:fill="auto" w:val="clear"/>
            <w:tcMar>
              <w:bottom w:w="0" w:type="dxa"/>
            </w:tcMar>
            <w:vAlign w:val="center"/>
          </w:tcPr>
          <w:p>
            <w:pPr>
              <w:pStyle w:val="TableContents"/>
              <w:spacing w:before="0" w:after="0"/>
              <w:ind w:left="0" w:right="0" w:hanging="0"/>
              <w:rPr/>
            </w:pPr>
            <w:r>
              <w:rPr/>
              <w:t> </w:t>
            </w:r>
          </w:p>
        </w:tc>
        <w:tc>
          <w:tcPr>
            <w:tcW w:w="1059" w:type="dxa"/>
            <w:gridSpan w:val="4"/>
            <w:tcBorders/>
            <w:shd w:fill="auto" w:val="clear"/>
            <w:tcMar>
              <w:bottom w:w="0" w:type="dxa"/>
            </w:tcMar>
            <w:vAlign w:val="center"/>
          </w:tcPr>
          <w:p>
            <w:pPr>
              <w:pStyle w:val="TableContents"/>
              <w:spacing w:before="0" w:after="0"/>
              <w:ind w:left="0" w:right="0" w:hanging="0"/>
              <w:rPr/>
            </w:pPr>
            <w:r>
              <w:rPr/>
              <w:t> </w:t>
            </w:r>
          </w:p>
        </w:tc>
        <w:tc>
          <w:tcPr>
            <w:tcW w:w="665" w:type="dxa"/>
            <w:gridSpan w:val="4"/>
            <w:tcBorders/>
            <w:shd w:fill="auto" w:val="clear"/>
            <w:tcMar>
              <w:bottom w:w="0" w:type="dxa"/>
            </w:tcMar>
            <w:vAlign w:val="center"/>
          </w:tcPr>
          <w:p>
            <w:pPr>
              <w:pStyle w:val="TableContents"/>
              <w:spacing w:before="0" w:after="0"/>
              <w:ind w:left="0" w:right="0" w:hanging="0"/>
              <w:rPr/>
            </w:pPr>
            <w:r>
              <w:rPr/>
              <w:t> </w:t>
            </w:r>
          </w:p>
        </w:tc>
        <w:tc>
          <w:tcPr>
            <w:tcW w:w="1526" w:type="dxa"/>
            <w:gridSpan w:val="4"/>
            <w:tcBorders/>
            <w:shd w:fill="auto" w:val="clear"/>
            <w:tcMar>
              <w:bottom w:w="0" w:type="dxa"/>
            </w:tcMar>
            <w:vAlign w:val="center"/>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w:anchor="atha-ex51_6.htm">
              <w:r>
                <w:rPr>
                  <w:rStyle w:val="InternetLink"/>
                  <w:rFonts w:ascii="Times New Roman" w:hAnsi="Times New Roman"/>
                  <w:b w:val="false"/>
                  <w:i w:val="false"/>
                  <w:caps w:val="false"/>
                  <w:smallCaps w:val="false"/>
                  <w:sz w:val="20"/>
                  <w:u w:val="single"/>
                </w:rPr>
                <w:t>Consent of Wilson Sonsini Goodrich &amp; Rosati, Professional Corporation (contained in Exhibit 5.1 hereto)</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vAlign w:val="center"/>
          </w:tcPr>
          <w:p>
            <w:pPr>
              <w:pStyle w:val="TableContents"/>
              <w:spacing w:before="0" w:after="0"/>
              <w:ind w:left="0" w:right="0" w:hanging="0"/>
              <w:rPr/>
            </w:pPr>
            <w:r>
              <w:rPr/>
              <w:t> </w:t>
            </w:r>
          </w:p>
        </w:tc>
        <w:tc>
          <w:tcPr>
            <w:tcW w:w="5732" w:type="dxa"/>
            <w:gridSpan w:val="2"/>
            <w:tcBorders/>
            <w:shd w:fill="auto" w:val="clear"/>
            <w:tcMar>
              <w:bottom w:w="0" w:type="dxa"/>
            </w:tcMar>
            <w:vAlign w:val="center"/>
          </w:tcPr>
          <w:p>
            <w:pPr>
              <w:pStyle w:val="TableContents"/>
              <w:spacing w:before="0" w:after="0"/>
              <w:ind w:left="0" w:right="0" w:hanging="0"/>
              <w:rPr/>
            </w:pPr>
            <w:r>
              <w:rPr/>
              <w:t> </w:t>
            </w:r>
          </w:p>
        </w:tc>
        <w:tc>
          <w:tcPr>
            <w:tcW w:w="618" w:type="dxa"/>
            <w:gridSpan w:val="4"/>
            <w:tcBorders/>
            <w:shd w:fill="auto" w:val="clear"/>
            <w:tcMar>
              <w:bottom w:w="0" w:type="dxa"/>
            </w:tcMar>
            <w:vAlign w:val="center"/>
          </w:tcPr>
          <w:p>
            <w:pPr>
              <w:pStyle w:val="TableContents"/>
              <w:spacing w:before="0" w:after="0"/>
              <w:ind w:left="0" w:right="0" w:hanging="0"/>
              <w:rPr/>
            </w:pPr>
            <w:r>
              <w:rPr/>
              <w:t> </w:t>
            </w:r>
          </w:p>
        </w:tc>
        <w:tc>
          <w:tcPr>
            <w:tcW w:w="1059" w:type="dxa"/>
            <w:gridSpan w:val="4"/>
            <w:tcBorders/>
            <w:shd w:fill="auto" w:val="clear"/>
            <w:tcMar>
              <w:bottom w:w="0" w:type="dxa"/>
            </w:tcMar>
            <w:vAlign w:val="center"/>
          </w:tcPr>
          <w:p>
            <w:pPr>
              <w:pStyle w:val="TableContents"/>
              <w:spacing w:before="0" w:after="0"/>
              <w:ind w:left="0" w:right="0" w:hanging="0"/>
              <w:rPr/>
            </w:pPr>
            <w:r>
              <w:rPr/>
              <w:t> </w:t>
            </w:r>
          </w:p>
        </w:tc>
        <w:tc>
          <w:tcPr>
            <w:tcW w:w="665" w:type="dxa"/>
            <w:gridSpan w:val="4"/>
            <w:tcBorders/>
            <w:shd w:fill="auto" w:val="clear"/>
            <w:tcMar>
              <w:bottom w:w="0" w:type="dxa"/>
            </w:tcMar>
            <w:vAlign w:val="center"/>
          </w:tcPr>
          <w:p>
            <w:pPr>
              <w:pStyle w:val="TableContents"/>
              <w:spacing w:before="0" w:after="0"/>
              <w:ind w:left="0" w:right="0" w:hanging="0"/>
              <w:rPr/>
            </w:pPr>
            <w:r>
              <w:rPr/>
              <w:t> </w:t>
            </w:r>
          </w:p>
        </w:tc>
        <w:tc>
          <w:tcPr>
            <w:tcW w:w="1526" w:type="dxa"/>
            <w:gridSpan w:val="4"/>
            <w:tcBorders/>
            <w:shd w:fill="auto" w:val="clear"/>
            <w:tcMar>
              <w:bottom w:w="0" w:type="dxa"/>
            </w:tcMar>
            <w:vAlign w:val="center"/>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Power of Attorney (contained on signature page hereto)</w:t>
              </w:r>
            </w:hyperlink>
            <w:r>
              <w:rPr>
                <w:rFonts w:ascii="Times New Roman" w:hAnsi="Times New Roman"/>
                <w:b w:val="false"/>
                <w:i w:val="false"/>
                <w:caps w:val="false"/>
                <w:smallCaps w:val="false"/>
                <w:sz w:val="20"/>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r:id="rId5">
              <w:r>
                <w:rPr>
                  <w:rStyle w:val="InternetLink"/>
                  <w:rFonts w:ascii="Times New Roman" w:hAnsi="Times New Roman"/>
                  <w:b w:val="false"/>
                  <w:i w:val="false"/>
                  <w:caps w:val="false"/>
                  <w:smallCaps w:val="false"/>
                  <w:sz w:val="20"/>
                  <w:u w:val="single"/>
                </w:rPr>
                <w:t>2020 Equity Incentive Plan.</w:t>
              </w:r>
            </w:hyperlink>
            <w:r>
              <w:rPr>
                <w:rFonts w:ascii="Times New Roman" w:hAnsi="Times New Roman"/>
                <w:b w:val="false"/>
                <w:i w:val="false"/>
                <w:caps w:val="false"/>
                <w:smallCaps w:val="false"/>
                <w:sz w:val="20"/>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333-248428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September 8, 2020</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99.2</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r:id="rId6">
              <w:r>
                <w:rPr>
                  <w:rStyle w:val="InternetLink"/>
                  <w:rFonts w:ascii="Times New Roman" w:hAnsi="Times New Roman"/>
                  <w:b w:val="false"/>
                  <w:i w:val="false"/>
                  <w:caps w:val="false"/>
                  <w:smallCaps w:val="false"/>
                  <w:sz w:val="20"/>
                  <w:u w:val="single"/>
                </w:rPr>
                <w:t>Form of Stock Option Agreement under the 2020 Equity Incentive Plan</w:t>
              </w:r>
            </w:hyperlink>
            <w:r>
              <w:rPr>
                <w:rFonts w:ascii="Times New Roman" w:hAnsi="Times New Roman"/>
                <w:b w:val="false"/>
                <w:i w:val="false"/>
                <w:caps w:val="false"/>
                <w:smallCaps w:val="false"/>
                <w:sz w:val="20"/>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333-248428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September 8, 2020</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99.3</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r:id="rId7">
              <w:r>
                <w:rPr>
                  <w:rStyle w:val="InternetLink"/>
                  <w:rFonts w:ascii="Times New Roman" w:hAnsi="Times New Roman"/>
                  <w:b w:val="false"/>
                  <w:i w:val="false"/>
                  <w:caps w:val="false"/>
                  <w:smallCaps w:val="false"/>
                  <w:sz w:val="20"/>
                  <w:u w:val="single"/>
                </w:rPr>
                <w:t>Form of Restricted Stock Award Agreement under the 2020 Equity Incentive Plan</w:t>
              </w:r>
            </w:hyperlink>
            <w:r>
              <w:rPr>
                <w:rFonts w:ascii="Times New Roman" w:hAnsi="Times New Roman"/>
                <w:b w:val="false"/>
                <w:i w:val="false"/>
                <w:caps w:val="false"/>
                <w:smallCaps w:val="false"/>
                <w:sz w:val="20"/>
              </w:rPr>
              <w:t xml:space="preserve">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333-248428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September 8, 2020</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99.4</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r:id="rId8">
              <w:r>
                <w:rPr>
                  <w:rStyle w:val="InternetLink"/>
                  <w:rFonts w:ascii="Times New Roman" w:hAnsi="Times New Roman"/>
                  <w:b w:val="false"/>
                  <w:i w:val="false"/>
                  <w:caps w:val="false"/>
                  <w:smallCaps w:val="false"/>
                  <w:sz w:val="20"/>
                  <w:u w:val="single"/>
                </w:rPr>
                <w:t>Form of RSU Agreement under the 2020 Equity Incentive Plan</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333-248428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September 8, 2020</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99.5</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hyperlink r:id="rId9">
              <w:r>
                <w:rPr>
                  <w:rStyle w:val="InternetLink"/>
                  <w:rFonts w:ascii="Times New Roman" w:hAnsi="Times New Roman"/>
                  <w:b w:val="false"/>
                  <w:i w:val="false"/>
                  <w:caps w:val="false"/>
                  <w:smallCaps w:val="false"/>
                  <w:sz w:val="20"/>
                  <w:u w:val="single"/>
                </w:rPr>
                <w:t>2020 Employee Stock Purchase Plan and Form of Subscription Agreement thereunder</w:t>
              </w:r>
            </w:hyperlink>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333-248428</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September 8, 2020</w:t>
            </w:r>
          </w:p>
        </w:tc>
        <w:tc>
          <w:tcPr>
            <w:tcW w:w="62" w:type="dxa"/>
            <w:tcBorders/>
            <w:shd w:fill="auto" w:val="clear"/>
            <w:tcMar>
              <w:bottom w:w="0" w:type="dxa"/>
            </w:tcMar>
            <w:vAlign w:val="bottom"/>
          </w:tcPr>
          <w:p>
            <w:pPr>
              <w:pStyle w:val="TableContents"/>
              <w:spacing w:before="0" w:after="0"/>
              <w:ind w:left="0" w:right="0" w:hanging="0"/>
              <w:rPr/>
            </w:pPr>
            <w:r>
              <w:rPr/>
              <w:t> </w:t>
            </w:r>
          </w:p>
        </w:tc>
      </w:tr>
      <w:tr>
        <w:trPr/>
        <w:tc>
          <w:tcPr>
            <w:tcW w:w="6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5672"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38"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879"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48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44" w:type="dxa"/>
            <w:tcBorders/>
            <w:shd w:fill="auto" w:val="clear"/>
            <w:tcMar>
              <w:bottom w:w="0" w:type="dxa"/>
            </w:tcMar>
            <w:vAlign w:val="bottom"/>
          </w:tcPr>
          <w:p>
            <w:pPr>
              <w:pStyle w:val="TableContents"/>
              <w:spacing w:before="0" w:after="0"/>
              <w:ind w:left="0" w:right="0" w:hanging="0"/>
              <w:rPr/>
            </w:pPr>
            <w:r>
              <w:rPr/>
              <w:t> </w:t>
            </w:r>
          </w:p>
        </w:tc>
        <w:tc>
          <w:tcPr>
            <w:tcW w:w="6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p>
      <w:pPr>
        <w:pStyle w:val="TextBody"/>
        <w:spacing w:before="24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6" w:name="SIGNATURES"/>
      <w:bookmarkEnd w:id="6"/>
      <w:r>
        <w:rPr>
          <w:rFonts w:ascii="Times New Roman" w:hAnsi="Times New Roman"/>
          <w:b/>
          <w:i w:val="false"/>
          <w:caps w:val="false"/>
          <w:smallCaps w:val="false"/>
          <w:sz w:val="20"/>
        </w:rPr>
        <w:t xml:space="preserve">SIGNATURES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Bothell, State of Washington, on March 25, 2021. </w:t>
      </w:r>
    </w:p>
    <w:p>
      <w:pPr>
        <w:pStyle w:val="TextBody"/>
        <w:spacing w:before="0" w:after="0"/>
        <w:rPr/>
      </w:pPr>
      <w:r>
        <w:rPr/>
        <w:t> </w:t>
      </w:r>
    </w:p>
    <w:tbl>
      <w:tblPr>
        <w:tblW w:w="3490" w:type="dxa"/>
        <w:jc w:val="right"/>
        <w:tblInd w:w="0" w:type="dxa"/>
        <w:tblCellMar>
          <w:top w:w="0" w:type="dxa"/>
          <w:left w:w="0" w:type="dxa"/>
          <w:bottom w:w="0" w:type="dxa"/>
          <w:right w:w="0" w:type="dxa"/>
        </w:tblCellMar>
      </w:tblPr>
      <w:tblGrid>
        <w:gridCol w:w="320"/>
        <w:gridCol w:w="60"/>
        <w:gridCol w:w="3110"/>
      </w:tblGrid>
      <w:tr>
        <w:trPr/>
        <w:tc>
          <w:tcPr>
            <w:tcW w:w="3490" w:type="dxa"/>
            <w:gridSpan w:val="3"/>
            <w:tcBorders/>
            <w:shd w:fill="auto" w:val="clear"/>
          </w:tcPr>
          <w:p>
            <w:pPr>
              <w:pStyle w:val="TableContents"/>
              <w:spacing w:before="0" w:after="0"/>
              <w:ind w:left="0" w:right="0" w:hanging="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ATHIRA PHARMA, INC.</w:t>
            </w:r>
          </w:p>
        </w:tc>
      </w:tr>
      <w:tr>
        <w:trPr/>
        <w:tc>
          <w:tcPr>
            <w:tcW w:w="320" w:type="dxa"/>
            <w:tcBorders/>
            <w:shd w:fill="auto" w:val="clear"/>
            <w:vAlign w:val="center"/>
          </w:tcPr>
          <w:p>
            <w:pPr>
              <w:pStyle w:val="TableContents"/>
              <w:spacing w:before="0" w:after="0"/>
              <w:ind w:left="0" w:right="0" w:hanging="0"/>
              <w:jc w:val="left"/>
              <w:rPr/>
            </w:pPr>
            <w:r>
              <w:rPr/>
              <w:t> </w:t>
            </w:r>
          </w:p>
        </w:tc>
        <w:tc>
          <w:tcPr>
            <w:tcW w:w="3170" w:type="dxa"/>
            <w:gridSpan w:val="2"/>
            <w:tcBorders/>
            <w:shd w:fill="auto" w:val="clear"/>
            <w:vAlign w:val="center"/>
          </w:tcPr>
          <w:p>
            <w:pPr>
              <w:pStyle w:val="TableContents"/>
              <w:spacing w:before="0" w:after="0"/>
              <w:ind w:left="0" w:right="0" w:hanging="0"/>
              <w:jc w:val="left"/>
              <w:rPr/>
            </w:pPr>
            <w:r>
              <w:rPr/>
              <w:t> </w:t>
            </w:r>
          </w:p>
        </w:tc>
      </w:tr>
      <w:tr>
        <w:trPr/>
        <w:tc>
          <w:tcPr>
            <w:tcW w:w="320"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auto" w:val="clear"/>
            <w:vAlign w:val="bottom"/>
          </w:tcPr>
          <w:p>
            <w:pPr>
              <w:pStyle w:val="TableContents"/>
              <w:spacing w:before="0" w:after="0"/>
              <w:ind w:left="0" w:right="0" w:hanging="0"/>
              <w:jc w:val="left"/>
              <w:rPr/>
            </w:pPr>
            <w:r>
              <w:rPr/>
              <w:t> </w:t>
            </w:r>
          </w:p>
        </w:tc>
        <w:tc>
          <w:tcPr>
            <w:tcW w:w="3110" w:type="dxa"/>
            <w:tcBorders/>
            <w:shd w:fill="auto" w:val="clear"/>
            <w:vAlign w:val="bottom"/>
          </w:tcPr>
          <w:p>
            <w:pPr>
              <w:pStyle w:val="TableContents"/>
              <w:pBdr>
                <w:bottom w:val="single" w:sz="6" w:space="1" w:color="000000"/>
              </w:pBdr>
              <w:spacing w:before="0" w:after="2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Leen Kawas</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0"/>
              <w:ind w:left="0" w:right="0" w:hanging="0"/>
              <w:jc w:val="left"/>
              <w:rPr/>
            </w:pPr>
            <w:r>
              <w:rPr/>
              <w:t> </w:t>
            </w:r>
          </w:p>
        </w:tc>
        <w:tc>
          <w:tcPr>
            <w:tcW w:w="3110" w:type="dxa"/>
            <w:tcBorders/>
            <w:shd w:fill="auto" w:val="clear"/>
            <w:vAlign w:val="bottom"/>
          </w:tcPr>
          <w:p>
            <w:pPr>
              <w:pStyle w:val="TableContents"/>
              <w:spacing w:before="0" w:after="0"/>
              <w:ind w:left="0" w:right="0" w:hanging="0"/>
              <w:jc w:val="lef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Leen Kawas, Ph.D.</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0"/>
              <w:ind w:left="0" w:right="0" w:hanging="0"/>
              <w:jc w:val="left"/>
              <w:rPr/>
            </w:pPr>
            <w:r>
              <w:rPr/>
              <w:t> </w:t>
            </w:r>
          </w:p>
        </w:tc>
        <w:tc>
          <w:tcPr>
            <w:tcW w:w="3110" w:type="dxa"/>
            <w:tcBorders/>
            <w:shd w:fill="auto" w:val="clear"/>
            <w:vAlign w:val="bottom"/>
          </w:tcPr>
          <w:p>
            <w:pPr>
              <w:pStyle w:val="TableContents"/>
              <w:spacing w:before="0" w:after="0"/>
              <w:ind w:left="0" w:right="0" w:hanging="0"/>
              <w:jc w:val="lef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President and Chief Executive Officer</w:t>
            </w:r>
          </w:p>
        </w:tc>
      </w:tr>
    </w:tbl>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POWER OF ATTORNEY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KNOW ALL PERSONS BY THESE PRESENTS, that each person whose signature appears below hereby constitutes and appoints Leen Kawas and Glenna Mileson, and each of them, as his or her true and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or necessary to be done in connection therewith, as fully for all intents and purposes as he might or could do in person, hereby ratifying and confirming all the said attorney-in-fact, proxy and agent, or his substitute, may lawfully do or cause to be done by virtue hereof.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requirements of the Securities Act of 1933, this registration statement on Form S-8 has been signed by the following persons in the capacities and on the dates indicated. </w:t>
      </w:r>
    </w:p>
    <w:p>
      <w:pPr>
        <w:pStyle w:val="TextBody"/>
        <w:spacing w:before="0" w:after="0"/>
        <w:rPr/>
      </w:pPr>
      <w:r>
        <w:rPr/>
        <w:t> </w:t>
      </w:r>
    </w:p>
    <w:tbl>
      <w:tblPr>
        <w:tblW w:w="6975" w:type="dxa"/>
        <w:jc w:val="center"/>
        <w:tblInd w:w="0" w:type="dxa"/>
        <w:tblCellMar>
          <w:top w:w="0" w:type="dxa"/>
          <w:left w:w="0" w:type="dxa"/>
          <w:bottom w:w="28" w:type="dxa"/>
          <w:right w:w="0" w:type="dxa"/>
        </w:tblCellMar>
      </w:tblPr>
      <w:tblGrid>
        <w:gridCol w:w="1715"/>
        <w:gridCol w:w="60"/>
        <w:gridCol w:w="3830"/>
        <w:gridCol w:w="60"/>
        <w:gridCol w:w="1310"/>
      </w:tblGrid>
      <w:tr>
        <w:trPr/>
        <w:tc>
          <w:tcPr>
            <w:tcW w:w="1715" w:type="dxa"/>
            <w:tcBorders>
              <w:bottom w:val="single" w:sz="8" w:space="0" w:color="000000"/>
            </w:tcBorders>
            <w:shd w:fill="auto" w:val="clear"/>
            <w:vAlign w:val="bottom"/>
          </w:tcPr>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Signature</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3830" w:type="dxa"/>
            <w:tcBorders>
              <w:bottom w:val="single" w:sz="8" w:space="0" w:color="000000"/>
            </w:tcBorders>
            <w:shd w:fill="auto" w:val="clear"/>
            <w:vAlign w:val="bottom"/>
          </w:tcPr>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Title</w:t>
            </w:r>
          </w:p>
        </w:tc>
        <w:tc>
          <w:tcPr>
            <w:tcW w:w="60" w:type="dxa"/>
            <w:tcBorders>
              <w:bottom w:val="single" w:sz="8" w:space="0" w:color="000000"/>
            </w:tcBorders>
            <w:shd w:fill="auto" w:val="clear"/>
            <w:vAlign w:val="bottom"/>
          </w:tcPr>
          <w:p>
            <w:pPr>
              <w:pStyle w:val="TableContents"/>
              <w:spacing w:before="0" w:after="0"/>
              <w:ind w:left="0" w:right="0" w:hanging="0"/>
              <w:rPr/>
            </w:pPr>
            <w:r>
              <w:rPr/>
              <w:t> </w:t>
            </w:r>
          </w:p>
        </w:tc>
        <w:tc>
          <w:tcPr>
            <w:tcW w:w="1310" w:type="dxa"/>
            <w:tcBorders>
              <w:bottom w:val="single" w:sz="8" w:space="0" w:color="000000"/>
            </w:tcBorders>
            <w:shd w:fill="auto" w:val="clear"/>
            <w:vAlign w:val="bottom"/>
          </w:tcPr>
          <w:p>
            <w:pPr>
              <w:pStyle w:val="TableContents"/>
              <w:spacing w:before="0" w:after="2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3890" w:type="dxa"/>
            <w:gridSpan w:val="2"/>
            <w:tcBorders/>
            <w:shd w:fill="auto" w:val="clear"/>
            <w:tcMar>
              <w:bottom w:w="0" w:type="dxa"/>
            </w:tcMar>
            <w:vAlign w:val="center"/>
          </w:tcPr>
          <w:p>
            <w:pPr>
              <w:pStyle w:val="TableContents"/>
              <w:spacing w:before="0" w:after="0"/>
              <w:ind w:left="0" w:right="0" w:hanging="0"/>
              <w:rPr/>
            </w:pPr>
            <w:r>
              <w:rPr/>
              <w:t> </w:t>
            </w:r>
          </w:p>
        </w:tc>
        <w:tc>
          <w:tcPr>
            <w:tcW w:w="1370" w:type="dxa"/>
            <w:gridSpan w:val="2"/>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tcPr>
          <w:p>
            <w:pPr>
              <w:pStyle w:val="TableContents"/>
              <w:pBdr>
                <w:bottom w:val="single" w:sz="6" w:space="1" w:color="000000"/>
              </w:pBdr>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Leen Kawas</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Leen Kawas</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Chief Executive Officer and Director</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3890" w:type="dxa"/>
            <w:gridSpan w:val="2"/>
            <w:tcBorders/>
            <w:shd w:fill="auto" w:val="clear"/>
            <w:tcMar>
              <w:bottom w:w="0" w:type="dxa"/>
            </w:tcMar>
            <w:vAlign w:val="center"/>
          </w:tcPr>
          <w:p>
            <w:pPr>
              <w:pStyle w:val="TableContents"/>
              <w:spacing w:before="0" w:after="0"/>
              <w:ind w:left="0" w:right="0" w:hanging="0"/>
              <w:rPr/>
            </w:pPr>
            <w:r>
              <w:rPr/>
              <w:t> </w:t>
            </w:r>
          </w:p>
        </w:tc>
        <w:tc>
          <w:tcPr>
            <w:tcW w:w="1370" w:type="dxa"/>
            <w:gridSpan w:val="2"/>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tcPr>
          <w:p>
            <w:pPr>
              <w:pStyle w:val="TableContents"/>
              <w:pBdr>
                <w:bottom w:val="single" w:sz="6" w:space="1" w:color="000000"/>
              </w:pBdr>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Glenna Mileson</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Glenna Mileson</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w:t>
            </w:r>
          </w:p>
          <w:p>
            <w:pPr>
              <w:pStyle w:val="TableContents"/>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and Accounting Officer)</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3890" w:type="dxa"/>
            <w:gridSpan w:val="2"/>
            <w:tcBorders/>
            <w:shd w:fill="auto" w:val="clear"/>
            <w:tcMar>
              <w:bottom w:w="0" w:type="dxa"/>
            </w:tcMar>
            <w:vAlign w:val="center"/>
          </w:tcPr>
          <w:p>
            <w:pPr>
              <w:pStyle w:val="TableContents"/>
              <w:spacing w:before="0" w:after="0"/>
              <w:ind w:left="0" w:right="0" w:hanging="0"/>
              <w:rPr/>
            </w:pPr>
            <w:r>
              <w:rPr/>
              <w:t> </w:t>
            </w:r>
          </w:p>
        </w:tc>
        <w:tc>
          <w:tcPr>
            <w:tcW w:w="1370" w:type="dxa"/>
            <w:gridSpan w:val="2"/>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tcPr>
          <w:p>
            <w:pPr>
              <w:pStyle w:val="TableContents"/>
              <w:pBdr>
                <w:bottom w:val="single" w:sz="6" w:space="1" w:color="000000"/>
              </w:pBdr>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Tadataka Yamada</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Tadataka Yamada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Chairman of the Board of Directors</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3890" w:type="dxa"/>
            <w:gridSpan w:val="2"/>
            <w:tcBorders/>
            <w:shd w:fill="auto" w:val="clear"/>
            <w:tcMar>
              <w:bottom w:w="0" w:type="dxa"/>
            </w:tcMar>
            <w:vAlign w:val="center"/>
          </w:tcPr>
          <w:p>
            <w:pPr>
              <w:pStyle w:val="TableContents"/>
              <w:spacing w:before="0" w:after="0"/>
              <w:ind w:left="0" w:right="0" w:hanging="0"/>
              <w:rPr/>
            </w:pPr>
            <w:r>
              <w:rPr/>
              <w:t> </w:t>
            </w:r>
          </w:p>
        </w:tc>
        <w:tc>
          <w:tcPr>
            <w:tcW w:w="1370" w:type="dxa"/>
            <w:gridSpan w:val="2"/>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tcPr>
          <w:p>
            <w:pPr>
              <w:pStyle w:val="TableContents"/>
              <w:pBdr>
                <w:bottom w:val="single" w:sz="6" w:space="1" w:color="000000"/>
              </w:pBdr>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Joseph Edelman</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Joseph Edelman</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3890" w:type="dxa"/>
            <w:gridSpan w:val="2"/>
            <w:tcBorders/>
            <w:shd w:fill="auto" w:val="clear"/>
            <w:tcMar>
              <w:bottom w:w="0" w:type="dxa"/>
            </w:tcMar>
            <w:vAlign w:val="center"/>
          </w:tcPr>
          <w:p>
            <w:pPr>
              <w:pStyle w:val="TableContents"/>
              <w:spacing w:before="0" w:after="0"/>
              <w:ind w:left="0" w:right="0" w:hanging="0"/>
              <w:rPr/>
            </w:pPr>
            <w:r>
              <w:rPr/>
              <w:t> </w:t>
            </w:r>
          </w:p>
        </w:tc>
        <w:tc>
          <w:tcPr>
            <w:tcW w:w="1370" w:type="dxa"/>
            <w:gridSpan w:val="2"/>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tcPr>
          <w:p>
            <w:pPr>
              <w:pStyle w:val="TableContents"/>
              <w:pBdr>
                <w:bottom w:val="single" w:sz="6" w:space="1" w:color="000000"/>
              </w:pBdr>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John M. Fluke, Jr.</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John M. Fluke, Jr.</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shd w:fill="auto" w:val="clear"/>
            <w:tcMar>
              <w:bottom w:w="0" w:type="dxa"/>
            </w:tcMar>
            <w:vAlign w:val="center"/>
          </w:tcPr>
          <w:p>
            <w:pPr>
              <w:pStyle w:val="TableContents"/>
              <w:spacing w:before="0" w:after="0"/>
              <w:ind w:left="0" w:right="0" w:hanging="0"/>
              <w:rPr/>
            </w:pPr>
            <w:r>
              <w:rPr/>
              <w:t> </w:t>
            </w:r>
          </w:p>
        </w:tc>
        <w:tc>
          <w:tcPr>
            <w:tcW w:w="3890" w:type="dxa"/>
            <w:gridSpan w:val="2"/>
            <w:tcBorders/>
            <w:shd w:fill="auto" w:val="clear"/>
            <w:tcMar>
              <w:bottom w:w="0" w:type="dxa"/>
            </w:tcMar>
            <w:vAlign w:val="center"/>
          </w:tcPr>
          <w:p>
            <w:pPr>
              <w:pStyle w:val="TableContents"/>
              <w:spacing w:before="0" w:after="0"/>
              <w:ind w:left="0" w:right="0" w:hanging="0"/>
              <w:rPr/>
            </w:pPr>
            <w:r>
              <w:rPr/>
              <w:t> </w:t>
            </w:r>
          </w:p>
        </w:tc>
        <w:tc>
          <w:tcPr>
            <w:tcW w:w="1370" w:type="dxa"/>
            <w:gridSpan w:val="2"/>
            <w:tcBorders/>
            <w:shd w:fill="auto" w:val="clear"/>
            <w:tcMar>
              <w:bottom w:w="0" w:type="dxa"/>
            </w:tcMar>
            <w:vAlign w:val="center"/>
          </w:tcPr>
          <w:p>
            <w:pPr>
              <w:pStyle w:val="TableContents"/>
              <w:spacing w:before="0" w:after="0"/>
              <w:ind w:left="0" w:right="0" w:hanging="0"/>
              <w:rPr/>
            </w:pPr>
            <w:r>
              <w:rPr/>
              <w:t> </w:t>
            </w:r>
          </w:p>
        </w:tc>
      </w:tr>
      <w:tr>
        <w:trPr/>
        <w:tc>
          <w:tcPr>
            <w:tcW w:w="1715" w:type="dxa"/>
            <w:tcBorders/>
            <w:shd w:fill="auto" w:val="clear"/>
            <w:tcMar>
              <w:bottom w:w="0" w:type="dxa"/>
            </w:tcMar>
          </w:tcPr>
          <w:p>
            <w:pPr>
              <w:pStyle w:val="TableContents"/>
              <w:pBdr>
                <w:bottom w:val="single" w:sz="6" w:space="1" w:color="000000"/>
              </w:pBdr>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James A. Johnson</w:t>
            </w:r>
          </w:p>
          <w:p>
            <w:pPr>
              <w:pStyle w:val="TableContents"/>
              <w:spacing w:before="0" w:after="2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James A. Johnson</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pPr>
            <w:r>
              <w:rPr/>
              <w:t> </w:t>
            </w:r>
          </w:p>
        </w:tc>
      </w:tr>
      <w:tr>
        <w:trPr/>
        <w:tc>
          <w:tcPr>
            <w:tcW w:w="1715"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Barbara Kosacz</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383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1310"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Barbara Kosacz</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pPr>
            <w:r>
              <w:rPr/>
              <w:t> </w:t>
            </w:r>
          </w:p>
        </w:tc>
      </w:tr>
      <w:tr>
        <w:trPr/>
        <w:tc>
          <w:tcPr>
            <w:tcW w:w="1715" w:type="dxa"/>
            <w:tcBorders/>
            <w:shd w:fill="auto" w:val="clear"/>
            <w:tcMar>
              <w:bottom w:w="0" w:type="dxa"/>
            </w:tcMar>
          </w:tcPr>
          <w:p>
            <w:pPr>
              <w:pStyle w:val="TableContents"/>
              <w:spacing w:before="0" w:after="0"/>
              <w:ind w:left="0" w:right="0" w:hanging="0"/>
              <w:jc w:val="center"/>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pPr>
            <w:r>
              <w:rPr/>
              <w:t> </w:t>
            </w:r>
          </w:p>
        </w:tc>
      </w:tr>
      <w:tr>
        <w:trPr/>
        <w:tc>
          <w:tcPr>
            <w:tcW w:w="1715"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Kelly A. Romano</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383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1310"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25, 2021</w:t>
            </w:r>
          </w:p>
        </w:tc>
      </w:tr>
      <w:tr>
        <w:trPr/>
        <w:tc>
          <w:tcPr>
            <w:tcW w:w="171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Kelly A. Romano</w:t>
            </w:r>
          </w:p>
        </w:tc>
        <w:tc>
          <w:tcPr>
            <w:tcW w:w="60" w:type="dxa"/>
            <w:tcBorders/>
            <w:shd w:fill="auto" w:val="clear"/>
            <w:tcMar>
              <w:bottom w:w="0" w:type="dxa"/>
            </w:tcMar>
            <w:vAlign w:val="bottom"/>
          </w:tcPr>
          <w:p>
            <w:pPr>
              <w:pStyle w:val="TableContents"/>
              <w:spacing w:before="0" w:after="0"/>
              <w:ind w:left="0" w:right="0" w:hanging="0"/>
              <w:rPr/>
            </w:pPr>
            <w:r>
              <w:rPr/>
              <w:t> </w:t>
            </w:r>
          </w:p>
        </w:tc>
        <w:tc>
          <w:tcPr>
            <w:tcW w:w="3830"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1310" w:type="dxa"/>
            <w:tcBorders/>
            <w:shd w:fill="auto" w:val="clear"/>
            <w:tcMar>
              <w:bottom w:w="0" w:type="dxa"/>
            </w:tcMa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rPr/>
      </w:pPr>
      <w:r>
        <w:rPr/>
        <w:t> </w:t>
      </w:r>
      <w:r>
        <w:br w:type="page"/>
      </w:r>
    </w:p>
    <w:p>
      <w:pPr>
        <w:pStyle w:val="Normal"/>
        <w:spacing w:before="0" w:after="0"/>
        <w:rPr>
          <w:sz w:val="4"/>
          <w:szCs w:val="4"/>
        </w:rPr>
      </w:pPr>
      <w:r>
        <w:rPr>
          <w:sz w:val="4"/>
          <w:szCs w:val="4"/>
        </w:rPr>
      </w:r>
      <w:bookmarkStart w:id="7" w:name="atha-ex51_6.htm"/>
      <w:bookmarkStart w:id="8" w:name="ksathaex51_6"/>
      <w:bookmarkStart w:id="9" w:name="atha-ex51_6.htm"/>
      <w:bookmarkStart w:id="10" w:name="ksathaex51_6"/>
      <w:bookmarkEnd w:id="9"/>
      <w:bookmarkEnd w:id="10"/>
    </w:p>
    <w:tbl>
      <w:tblPr>
        <w:tblW w:w="5400" w:type="dxa"/>
        <w:jc w:val="left"/>
        <w:tblInd w:w="0" w:type="dxa"/>
        <w:tblCellMar>
          <w:top w:w="0" w:type="dxa"/>
          <w:left w:w="0" w:type="dxa"/>
          <w:bottom w:w="0" w:type="dxa"/>
          <w:right w:w="0" w:type="dxa"/>
        </w:tblCellMar>
      </w:tblPr>
      <w:tblGrid>
        <w:gridCol w:w="1905"/>
        <w:gridCol w:w="3495"/>
      </w:tblGrid>
      <w:tr>
        <w:trPr/>
        <w:tc>
          <w:tcPr>
            <w:tcW w:w="1905" w:type="dxa"/>
            <w:tcBorders/>
            <w:shd w:fill="auto" w:val="clear"/>
            <w:vAlign w:val="center"/>
          </w:tcPr>
          <w:p>
            <w:pPr>
              <w:pStyle w:val="TableContents"/>
              <w:spacing w:before="0" w:after="283"/>
              <w:rPr>
                <w:sz w:val="4"/>
                <w:szCs w:val="4"/>
              </w:rPr>
            </w:pPr>
            <w:r>
              <w:rPr>
                <w:sz w:val="4"/>
                <w:szCs w:val="4"/>
              </w:rPr>
            </w:r>
          </w:p>
        </w:tc>
        <w:tc>
          <w:tcPr>
            <w:tcW w:w="3495" w:type="dxa"/>
            <w:tcBorders/>
            <w:shd w:fill="auto" w:val="clear"/>
            <w:vAlign w:val="center"/>
          </w:tcPr>
          <w:p>
            <w:pPr>
              <w:pStyle w:val="TableContents"/>
              <w:spacing w:before="0" w:after="283"/>
              <w:rPr>
                <w:sz w:val="4"/>
                <w:szCs w:val="4"/>
              </w:rPr>
            </w:pPr>
            <w:r>
              <w:rPr>
                <w:sz w:val="4"/>
                <w:szCs w:val="4"/>
              </w:rPr>
            </w:r>
          </w:p>
        </w:tc>
      </w:tr>
      <w:tr>
        <w:trPr/>
        <w:tc>
          <w:tcPr>
            <w:tcW w:w="1905" w:type="dxa"/>
            <w:tcBorders/>
            <w:shd w:fill="auto" w:val="clear"/>
          </w:tcPr>
          <w:p>
            <w:pPr>
              <w:pStyle w:val="TableContents"/>
              <w:spacing w:before="120" w:after="0"/>
              <w:ind w:left="1050" w:right="0" w:hanging="0"/>
              <w:rPr>
                <w:caps w:val="false"/>
                <w:smallCaps w:val="false"/>
                <w:color w:val="003D4C"/>
                <w:spacing w:val="-5"/>
              </w:rPr>
            </w:pPr>
            <w:r>
              <w:rPr>
                <w:caps w:val="false"/>
                <w:smallCaps w:val="false"/>
                <w:color w:val="003D4C"/>
                <w:spacing w:val="-5"/>
              </w:rPr>
              <w:drawing>
                <wp:inline distT="0" distB="0" distL="0" distR="0">
                  <wp:extent cx="12096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209675" cy="447675"/>
                          </a:xfrm>
                          <a:prstGeom prst="rect">
                            <a:avLst/>
                          </a:prstGeom>
                        </pic:spPr>
                      </pic:pic>
                    </a:graphicData>
                  </a:graphic>
                </wp:inline>
              </w:drawing>
            </w:r>
          </w:p>
        </w:tc>
        <w:tc>
          <w:tcPr>
            <w:tcW w:w="3495" w:type="dxa"/>
            <w:tcBorders/>
            <w:shd w:fill="auto" w:val="clear"/>
          </w:tcPr>
          <w:p>
            <w:pPr>
              <w:pStyle w:val="TableContents"/>
              <w:spacing w:before="120" w:after="0"/>
              <w:ind w:left="1680" w:right="0" w:firstLine="720"/>
              <w:rPr>
                <w:rFonts w:ascii="Georgia" w:hAnsi="Georgia"/>
                <w:b w:val="false"/>
                <w:i w:val="false"/>
                <w:caps w:val="false"/>
                <w:smallCaps w:val="false"/>
                <w:color w:val="003D4C"/>
                <w:spacing w:val="-5"/>
                <w:sz w:val="16"/>
              </w:rPr>
            </w:pPr>
            <w:r>
              <w:rPr>
                <w:rFonts w:ascii="Georgia" w:hAnsi="Georgia"/>
                <w:b w:val="false"/>
                <w:i w:val="false"/>
                <w:caps w:val="false"/>
                <w:smallCaps w:val="false"/>
                <w:color w:val="003D4C"/>
                <w:spacing w:val="-5"/>
                <w:sz w:val="16"/>
              </w:rPr>
              <w:t>Wilson Sonsini Goodrich &amp; Rosati</w:t>
              <w:br/>
              <w:t>Professional Corporation</w:t>
            </w:r>
          </w:p>
          <w:p>
            <w:pPr>
              <w:pStyle w:val="TableContents"/>
              <w:spacing w:before="80" w:after="0"/>
              <w:ind w:left="1680" w:right="0" w:firstLine="720"/>
              <w:rPr>
                <w:rFonts w:ascii="Georgia" w:hAnsi="Georgia"/>
                <w:b w:val="false"/>
                <w:i w:val="false"/>
                <w:caps w:val="false"/>
                <w:smallCaps w:val="false"/>
                <w:color w:val="003D4C"/>
                <w:spacing w:val="-5"/>
                <w:sz w:val="16"/>
              </w:rPr>
            </w:pPr>
            <w:r>
              <w:rPr>
                <w:rFonts w:ascii="Georgia" w:hAnsi="Georgia"/>
                <w:b w:val="false"/>
                <w:i w:val="false"/>
                <w:caps w:val="false"/>
                <w:smallCaps w:val="false"/>
                <w:color w:val="003D4C"/>
                <w:spacing w:val="-5"/>
                <w:sz w:val="16"/>
              </w:rPr>
              <w:t>701 Fifth Avenue</w:t>
              <w:br/>
              <w:t>Suite 5100</w:t>
              <w:br/>
              <w:t>Seattle, Washington 98104-7036</w:t>
            </w:r>
          </w:p>
          <w:p>
            <w:pPr>
              <w:pStyle w:val="TableContents"/>
              <w:spacing w:before="80" w:after="0"/>
              <w:ind w:left="1680" w:right="0" w:firstLine="720"/>
              <w:rPr>
                <w:rFonts w:ascii="Georgia" w:hAnsi="Georgia"/>
                <w:b w:val="false"/>
                <w:i w:val="false"/>
                <w:caps w:val="false"/>
                <w:smallCaps w:val="false"/>
                <w:color w:val="003D4C"/>
                <w:spacing w:val="-5"/>
                <w:sz w:val="16"/>
              </w:rPr>
            </w:pPr>
            <w:r>
              <w:rPr>
                <w:rFonts w:ascii="Georgia" w:hAnsi="Georgia"/>
                <w:b w:val="false"/>
                <w:i w:val="false"/>
                <w:caps w:val="false"/>
                <w:smallCaps w:val="false"/>
                <w:color w:val="003D4C"/>
                <w:spacing w:val="-5"/>
                <w:sz w:val="16"/>
              </w:rPr>
              <w:t>o: 206.883.2500</w:t>
              <w:br/>
              <w:t>f: 206.883.2699</w:t>
            </w:r>
          </w:p>
          <w:p>
            <w:pPr>
              <w:pStyle w:val="TableContents"/>
              <w:spacing w:before="80" w:after="0"/>
              <w:ind w:left="0" w:right="0" w:hanging="0"/>
              <w:jc w:val="right"/>
              <w:rPr/>
            </w:pPr>
            <w:r>
              <w:rPr/>
              <w:t> </w:t>
            </w:r>
          </w:p>
          <w:p>
            <w:pPr>
              <w:pStyle w:val="TableContents"/>
              <w:spacing w:before="80" w:after="0"/>
              <w:ind w:left="0" w:right="0" w:hanging="0"/>
              <w:jc w:val="right"/>
              <w:rPr/>
            </w:pPr>
            <w:r>
              <w:rPr/>
              <w:t> </w:t>
            </w:r>
          </w:p>
        </w:tc>
      </w:tr>
    </w:tbl>
    <w:p>
      <w:pPr>
        <w:pStyle w:val="TextBody"/>
        <w:spacing w:before="0" w:after="0"/>
        <w:jc w:val="right"/>
        <w:rPr>
          <w:b/>
        </w:rPr>
      </w:pPr>
      <w:r>
        <w:rPr>
          <w:b/>
        </w:rPr>
        <w:t>Exhibit 5.1</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pPr>
      <w:r>
        <w:rPr/>
        <w:t> </w:t>
      </w:r>
    </w:p>
    <w:p>
      <w:pPr>
        <w:pStyle w:val="TextBody"/>
        <w:spacing w:before="24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March 25, 2021</w:t>
      </w:r>
    </w:p>
    <w:p>
      <w:pPr>
        <w:pStyle w:val="TextBody"/>
        <w:spacing w:before="0" w:after="0"/>
        <w:jc w:val="center"/>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Athira Pharma, Inc.</w:t>
        <w:br/>
        <w:t>18706 North Creek Parkway, Suite 104</w:t>
        <w:br/>
        <w:t>Bothell, WA 98011</w:t>
      </w:r>
    </w:p>
    <w:p>
      <w:pPr>
        <w:pStyle w:val="TextBody"/>
        <w:spacing w:before="0" w:after="0"/>
        <w:ind w:left="72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Re: </w:t>
      </w:r>
      <w:r>
        <w:rPr>
          <w:rFonts w:ascii="Times New Roman" w:hAnsi="Times New Roman"/>
          <w:b/>
          <w:i w:val="false"/>
          <w:caps w:val="false"/>
          <w:smallCaps w:val="false"/>
          <w:sz w:val="22"/>
          <w:u w:val="single"/>
        </w:rPr>
        <w:t>Registration Statement on Form S-8</w:t>
      </w:r>
      <w:r>
        <w:rPr>
          <w:rFonts w:ascii="Times New Roman" w:hAnsi="Times New Roman"/>
          <w:b/>
          <w:i w:val="false"/>
          <w:caps w:val="false"/>
          <w:smallCaps w:val="false"/>
          <w:sz w:val="22"/>
        </w:rPr>
        <w:t xml:space="preserve"> </w:t>
      </w:r>
    </w:p>
    <w:p>
      <w:pPr>
        <w:pStyle w:val="TextBody"/>
        <w:spacing w:before="0" w:after="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Ladies and Gentlemen: </w:t>
      </w:r>
    </w:p>
    <w:p>
      <w:pPr>
        <w:pStyle w:val="TextBody"/>
        <w:spacing w:before="240" w:after="0"/>
        <w:rPr>
          <w:rFonts w:ascii="inherit" w:hAnsi="inherit"/>
          <w:b w:val="false"/>
          <w:i w:val="false"/>
          <w:caps w:val="false"/>
          <w:smallCaps w:val="false"/>
          <w:sz w:val="22"/>
        </w:rPr>
      </w:pPr>
      <w:r>
        <w:rPr>
          <w:rFonts w:ascii="inherit" w:hAnsi="inherit"/>
          <w:b w:val="false"/>
          <w:i w:val="false"/>
          <w:caps w:val="false"/>
          <w:smallCaps w:val="false"/>
          <w:sz w:val="22"/>
        </w:rPr>
        <w:t xml:space="preserve">We have examined the Registration Statement on Form S-8 (the “Registration Statement”) to be filed by Athira Pharma, Inc., a Delaware corporation, with the Securities and Exchange Commission on or about the date hereof, in connection with the registration under the Securities Act of 1933, as amended, of an aggregate of 1,949,110 shares of your common stock, par value $0.0001 per share (the “Shares”), consisting of: (i) 1,624,259 shares of common stock to be issued under the 2020 Equity Incentive Plan (the “2020 Plan”) and (ii) 324,851 shares of common stock to be issued under the 2020 Employee Stock Purchase </w:t>
      </w:r>
      <w:r>
        <w:rPr>
          <w:rFonts w:ascii="Times New Roman" w:hAnsi="Times New Roman"/>
          <w:b w:val="false"/>
          <w:i w:val="false"/>
          <w:caps w:val="false"/>
          <w:smallCaps w:val="false"/>
          <w:sz w:val="22"/>
        </w:rPr>
        <w:t>Plan (the “2020 ESPP,” and together with the 2020 Plan, the “Plans”). As your</w:t>
      </w:r>
      <w:r>
        <w:rPr>
          <w:rFonts w:ascii="inherit" w:hAnsi="inherit"/>
          <w:b w:val="false"/>
          <w:i w:val="false"/>
          <w:caps w:val="false"/>
          <w:smallCaps w:val="false"/>
          <w:sz w:val="22"/>
        </w:rPr>
        <w:t xml:space="preserve"> legal counsel, we have reviewed the actions proposed to be taken by you in connection with the issuance and sale of the Shares to be issued under the Plans. </w:t>
      </w:r>
    </w:p>
    <w:p>
      <w:pPr>
        <w:pStyle w:val="TextBody"/>
        <w:spacing w:before="240" w:after="0"/>
        <w:rPr>
          <w:rFonts w:ascii="inherit" w:hAnsi="inherit"/>
          <w:b w:val="false"/>
          <w:i w:val="false"/>
          <w:caps w:val="false"/>
          <w:smallCaps w:val="false"/>
          <w:sz w:val="22"/>
        </w:rPr>
      </w:pPr>
      <w:r>
        <w:rPr>
          <w:rFonts w:ascii="inherit" w:hAnsi="inherit"/>
          <w:b w:val="false"/>
          <w:i w:val="false"/>
          <w:caps w:val="false"/>
          <w:smallCaps w:val="false"/>
          <w:sz w:val="22"/>
        </w:rPr>
        <w:t xml:space="preserve">It is our opinion that the Shares, when issued and sold in the manner referred to in the Plans and pursuant to the agreements that accompany the Plans, will be legally and validly issued, fully paid and nonassessable. </w:t>
      </w:r>
    </w:p>
    <w:p>
      <w:pPr>
        <w:pStyle w:val="TextBody"/>
        <w:spacing w:before="240" w:after="0"/>
        <w:rPr>
          <w:rFonts w:ascii="inherit" w:hAnsi="inherit"/>
          <w:b w:val="false"/>
          <w:i w:val="false"/>
          <w:caps w:val="false"/>
          <w:smallCaps w:val="false"/>
          <w:sz w:val="22"/>
        </w:rPr>
      </w:pPr>
      <w:r>
        <w:rPr>
          <w:rFonts w:ascii="inherit" w:hAnsi="inherit"/>
          <w:b w:val="false"/>
          <w:i w:val="false"/>
          <w:caps w:val="false"/>
          <w:smallCaps w:val="false"/>
          <w:sz w:val="22"/>
        </w:rPr>
        <w:t xml:space="preserve">We consent to the use of this opinion as an exhibit to the Registration Statement, and further consent to the use of our name wherever appearing in the Registration Statement and any amendments thereto.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w:t>
      </w:r>
    </w:p>
    <w:p>
      <w:pPr>
        <w:pStyle w:val="TextBody"/>
        <w:spacing w:before="60" w:after="60"/>
        <w:jc w:val="center"/>
        <w:rPr>
          <w:rFonts w:ascii="Buenos Aires" w:hAnsi="Buenos Aires"/>
          <w:b w:val="false"/>
          <w:i w:val="false"/>
          <w:caps w:val="false"/>
          <w:smallCaps w:val="false"/>
          <w:color w:val="003D4C"/>
          <w:sz w:val="14"/>
        </w:rPr>
      </w:pPr>
      <w:r>
        <w:rPr>
          <w:rFonts w:ascii="Buenos Aires" w:hAnsi="Buenos Aires"/>
          <w:b w:val="false"/>
          <w:i w:val="false"/>
          <w:caps w:val="false"/>
          <w:smallCaps w:val="false"/>
          <w:color w:val="003D4C"/>
          <w:sz w:val="14"/>
        </w:rPr>
        <w:t>austin        beijing        boston        brussels        hong kong        london        los angeles        new york        palo alto</w:t>
        <w:br/>
        <w:t>san diego        san francisco        seattle        shanghai        washington, dc        wilmington, de</w:t>
      </w:r>
    </w:p>
    <w:p>
      <w:pPr>
        <w:pStyle w:val="TextBody"/>
        <w:spacing w:before="0" w:after="0"/>
        <w:rPr/>
      </w:pPr>
      <w:r>
        <w:rPr/>
        <w:t> </w:t>
      </w:r>
    </w:p>
    <w:p>
      <w:pPr>
        <w:pStyle w:val="HorizontalLine"/>
        <w:rPr/>
      </w:pPr>
      <w:r>
        <w:rPr/>
      </w:r>
    </w:p>
    <w:p>
      <w:pPr>
        <w:pStyle w:val="TextBody"/>
        <w:spacing w:before="0" w:after="0"/>
        <w:rPr>
          <w:caps w:val="false"/>
          <w:smallCaps w:val="false"/>
        </w:rPr>
      </w:pPr>
      <w:r>
        <w:rPr>
          <w:caps w:val="false"/>
          <w:smallCaps w:val="false"/>
        </w:rPr>
        <w:drawing>
          <wp:inline distT="0" distB="0" distL="0" distR="0">
            <wp:extent cx="600075"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600075" cy="219075"/>
                    </a:xfrm>
                    <a:prstGeom prst="rect">
                      <a:avLst/>
                    </a:prstGeom>
                  </pic:spPr>
                </pic:pic>
              </a:graphicData>
            </a:graphic>
          </wp:inline>
        </w:drawing>
      </w:r>
    </w:p>
    <w:p>
      <w:pPr>
        <w:pStyle w:val="TextBody"/>
        <w:spacing w:before="0" w:after="0"/>
        <w:rPr/>
      </w:pPr>
      <w:r>
        <w:rPr/>
        <w:t> </w:t>
      </w:r>
    </w:p>
    <w:p>
      <w:pPr>
        <w:pStyle w:val="TextBody"/>
        <w:spacing w:before="0" w:after="0"/>
        <w:rPr>
          <w:rFonts w:ascii="Georgia" w:hAnsi="Georgia"/>
          <w:b w:val="false"/>
          <w:i w:val="false"/>
          <w:caps w:val="false"/>
          <w:smallCaps w:val="false"/>
          <w:sz w:val="22"/>
        </w:rPr>
      </w:pPr>
      <w:r>
        <w:rPr>
          <w:rFonts w:ascii="Georgia" w:hAnsi="Georgia"/>
          <w:b w:val="false"/>
          <w:i w:val="false"/>
          <w:caps w:val="false"/>
          <w:smallCaps w:val="false"/>
          <w:sz w:val="22"/>
        </w:rPr>
        <w:t>March 25, 2021</w:t>
      </w:r>
    </w:p>
    <w:p>
      <w:pPr>
        <w:pStyle w:val="TextBody"/>
        <w:spacing w:before="0" w:after="0"/>
        <w:rPr>
          <w:rFonts w:ascii="Georgia" w:hAnsi="Georgia"/>
          <w:b w:val="false"/>
          <w:i w:val="false"/>
          <w:caps w:val="false"/>
          <w:smallCaps w:val="false"/>
          <w:sz w:val="22"/>
        </w:rPr>
      </w:pPr>
      <w:r>
        <w:rPr>
          <w:rFonts w:ascii="Georgia" w:hAnsi="Georgia"/>
          <w:b w:val="false"/>
          <w:i w:val="false"/>
          <w:caps w:val="false"/>
          <w:smallCaps w:val="false"/>
          <w:sz w:val="22"/>
        </w:rPr>
        <w:t>Page 2</w:t>
      </w:r>
    </w:p>
    <w:p>
      <w:pPr>
        <w:pStyle w:val="TextBody"/>
        <w:spacing w:before="0" w:after="0"/>
        <w:rPr/>
      </w:pPr>
      <w:r>
        <w:rPr/>
        <w:t> </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Very truly yours,</w:t>
      </w:r>
    </w:p>
    <w:p>
      <w:pPr>
        <w:pStyle w:val="TextBody"/>
        <w:spacing w:before="24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 Wilson Sonsini Goodrich &amp; Rosati, P.C.</w:t>
      </w:r>
    </w:p>
    <w:p>
      <w:pPr>
        <w:pStyle w:val="TextBody"/>
        <w:spacing w:before="240" w:after="0"/>
        <w:rPr>
          <w:rFonts w:ascii="Georgia" w:hAnsi="Georgia"/>
          <w:b w:val="false"/>
          <w:i w:val="false"/>
          <w:caps w:val="false"/>
          <w:smallCaps w:val="false"/>
          <w:sz w:val="22"/>
        </w:rPr>
      </w:pPr>
      <w:r>
        <w:rPr>
          <w:rFonts w:ascii="Georgia" w:hAnsi="Georgia"/>
          <w:b w:val="false"/>
          <w:i w:val="false"/>
          <w:caps w:val="false"/>
          <w:smallCaps w:val="false"/>
          <w:sz w:val="22"/>
        </w:rPr>
        <w:t xml:space="preserve">WILSON </w:t>
      </w:r>
      <w:r>
        <w:rPr>
          <w:rFonts w:ascii="Times New Roman" w:hAnsi="Times New Roman"/>
          <w:b w:val="false"/>
          <w:i w:val="false"/>
          <w:caps w:val="false"/>
          <w:smallCaps w:val="false"/>
          <w:sz w:val="22"/>
        </w:rPr>
        <w:t>SONSINI GOODRICH &amp; ROSATI</w:t>
        <w:br/>
        <w:t>Professional Corporation</w:t>
      </w:r>
    </w:p>
    <w:p>
      <w:pPr>
        <w:pStyle w:val="TextBody"/>
        <w:spacing w:before="0" w:after="0"/>
        <w:rPr>
          <w:caps w:val="false"/>
          <w:smallCaps w:val="false"/>
        </w:rPr>
      </w:pPr>
      <w:r>
        <w:rPr>
          <w:caps w:val="false"/>
          <w:smallCaps w:val="false"/>
        </w:rPr>
        <w:t> </w:t>
      </w:r>
      <w:r>
        <w:br w:type="page"/>
      </w:r>
    </w:p>
    <w:p>
      <w:pPr>
        <w:pStyle w:val="TextBody"/>
        <w:spacing w:before="0" w:after="0"/>
        <w:jc w:val="right"/>
        <w:rPr>
          <w:rFonts w:ascii="Times New Roman" w:hAnsi="Times New Roman"/>
          <w:b/>
          <w:i w:val="false"/>
          <w:caps w:val="false"/>
          <w:smallCaps w:val="false"/>
          <w:color w:val="000000"/>
          <w:sz w:val="22"/>
        </w:rPr>
      </w:pPr>
      <w:bookmarkStart w:id="11" w:name="atha-ex231_7.htm"/>
      <w:bookmarkStart w:id="12" w:name="ksathaex231_7"/>
      <w:bookmarkEnd w:id="11"/>
      <w:bookmarkEnd w:id="12"/>
      <w:r>
        <w:rPr>
          <w:rFonts w:ascii="Times New Roman" w:hAnsi="Times New Roman"/>
          <w:b/>
          <w:i w:val="false"/>
          <w:caps w:val="false"/>
          <w:smallCaps w:val="false"/>
          <w:color w:val="000000"/>
          <w:sz w:val="22"/>
        </w:rPr>
        <w:t>EXHIBIT 23.1</w:t>
      </w:r>
    </w:p>
    <w:p>
      <w:pPr>
        <w:pStyle w:val="TextBody"/>
        <w:spacing w:before="0" w:after="0"/>
        <w:rPr/>
      </w:pPr>
      <w:r>
        <w:rPr/>
        <w:t> </w:t>
      </w:r>
    </w:p>
    <w:p>
      <w:pPr>
        <w:pStyle w:val="TextBody"/>
        <w:spacing w:before="0" w:after="0"/>
        <w:jc w:val="right"/>
        <w:rPr/>
      </w:pPr>
      <w:r>
        <w:rPr/>
        <w:t> </w:t>
      </w:r>
    </w:p>
    <w:p>
      <w:pPr>
        <w:pStyle w:val="TextBody"/>
        <w:spacing w:before="0" w:after="0"/>
        <w:jc w:val="center"/>
        <w:rPr>
          <w:rFonts w:ascii="Times New Roman" w:hAnsi="Times New Roman"/>
          <w:b/>
          <w:i w:val="false"/>
          <w:caps w:val="false"/>
          <w:smallCaps w:val="false"/>
          <w:color w:val="000000"/>
          <w:sz w:val="22"/>
        </w:rPr>
      </w:pPr>
      <w:r>
        <w:rPr>
          <w:rFonts w:ascii="Times New Roman" w:hAnsi="Times New Roman"/>
          <w:b/>
          <w:i w:val="false"/>
          <w:caps w:val="false"/>
          <w:smallCaps w:val="false"/>
          <w:color w:val="000000"/>
          <w:sz w:val="22"/>
        </w:rPr>
        <w:t>Consent of Independent Registered Public Accounting Firm</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2"/>
        </w:rPr>
      </w:pPr>
      <w:r>
        <w:rPr>
          <w:rFonts w:ascii="Times New Roman" w:hAnsi="Times New Roman"/>
          <w:b w:val="false"/>
          <w:i w:val="false"/>
          <w:caps w:val="false"/>
          <w:smallCaps w:val="false"/>
          <w:color w:val="000000"/>
          <w:sz w:val="22"/>
        </w:rPr>
        <w:t>We consent to the incorporation by reference in the Registration Statement (Form S-8 No. 333-248910) pertaining to the 2020 Equity Incentive Plan and the 2020 Employee Stock Purchase Plan, as amended, of Athira Pharma, Inc., of our report dated March 25, 2021, with respect to the consolidated financial statements of Athira Pharma, Inc., included in its Annual Report (Form 10-K) for the year ended December 31, 2020, filed with the Securities and Exchange Commission.</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2"/>
        </w:rPr>
      </w:pPr>
      <w:r>
        <w:rPr>
          <w:rFonts w:ascii="Times New Roman" w:hAnsi="Times New Roman"/>
          <w:b w:val="false"/>
          <w:i w:val="false"/>
          <w:caps w:val="false"/>
          <w:smallCaps w:val="false"/>
          <w:color w:val="000000"/>
          <w:sz w:val="22"/>
        </w:rPr>
        <w:t>/s/ Ernst &amp; Young LLP</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2"/>
        </w:rPr>
      </w:pPr>
      <w:r>
        <w:rPr>
          <w:rFonts w:ascii="Times New Roman" w:hAnsi="Times New Roman"/>
          <w:b w:val="false"/>
          <w:i w:val="false"/>
          <w:caps w:val="false"/>
          <w:smallCaps w:val="false"/>
          <w:color w:val="000000"/>
          <w:sz w:val="22"/>
        </w:rPr>
        <w:t>Seattle, Washington</w:t>
      </w:r>
    </w:p>
    <w:p>
      <w:pPr>
        <w:pStyle w:val="TextBody"/>
        <w:spacing w:before="0" w:after="0"/>
        <w:rPr>
          <w:rFonts w:ascii="Times New Roman" w:hAnsi="Times New Roman"/>
          <w:b w:val="false"/>
          <w:i w:val="false"/>
          <w:caps w:val="false"/>
          <w:smallCaps w:val="false"/>
          <w:color w:val="000000"/>
          <w:sz w:val="22"/>
        </w:rPr>
      </w:pPr>
      <w:r>
        <w:rPr>
          <w:rFonts w:ascii="Times New Roman" w:hAnsi="Times New Roman"/>
          <w:b w:val="false"/>
          <w:i w:val="false"/>
          <w:caps w:val="false"/>
          <w:smallCaps w:val="false"/>
          <w:color w:val="000000"/>
          <w:sz w:val="22"/>
        </w:rPr>
        <w:t>March 25, 2021</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inherit">
    <w:charset w:val="00"/>
    <w:family w:val="auto"/>
    <w:pitch w:val="default"/>
  </w:font>
  <w:font w:name="Georgia">
    <w:charset w:val="00"/>
    <w:family w:val="auto"/>
    <w:pitch w:val="default"/>
  </w:font>
  <w:font w:name="Buenos Air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20463/000156459021015495/atha-10k_20201231.htm" TargetMode="External"/><Relationship Id="rId3" Type="http://schemas.openxmlformats.org/officeDocument/2006/relationships/hyperlink" Target="http://www.sec.gov/Archives/edgar/data/1620463/000095012320009608/atha-8a12b.htm" TargetMode="External"/><Relationship Id="rId4" Type="http://schemas.openxmlformats.org/officeDocument/2006/relationships/hyperlink" Target="http://www.sec.gov/Archives/edgar/data/1620463/000156459020043324/atha-ex41_478.htm" TargetMode="External"/><Relationship Id="rId5" Type="http://schemas.openxmlformats.org/officeDocument/2006/relationships/hyperlink" Target="http://www.sec.gov/Archives/edgar/data/1620463/000156459020042848/atha-ex105_89.htm" TargetMode="External"/><Relationship Id="rId6" Type="http://schemas.openxmlformats.org/officeDocument/2006/relationships/hyperlink" Target="http://www.sec.gov/Archives/edgar/data/1620463/000156459020042848/atha-ex106_88.htm" TargetMode="External"/><Relationship Id="rId7" Type="http://schemas.openxmlformats.org/officeDocument/2006/relationships/hyperlink" Target="http://www.sec.gov/Archives/edgar/data/1620463/000156459020042848/atha-ex107_87.htm" TargetMode="External"/><Relationship Id="rId8" Type="http://schemas.openxmlformats.org/officeDocument/2006/relationships/hyperlink" Target="http://www.sec.gov/Archives/edgar/data/1620463/000156459020042848/atha-ex108_86.htm" TargetMode="External"/><Relationship Id="rId9" Type="http://schemas.openxmlformats.org/officeDocument/2006/relationships/hyperlink" Target="http://www.sec.gov/Archives/edgar/data/1620463/000156459020042848/atha-ex1010_85.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2352</Words>
  <CharactersWithSpaces>15330</CharactersWithSpaces>
  <Paragraphs>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