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Worthington Mark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Athira Pharma,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ATHA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ATHIRA PHARMA, INC.</w:t>
      </w:r>
    </w:p>
    <w:p>
      <w:pPr>
        <w:spacing w:after="0" w:line="70"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18706 NORTH CREEK PARKWAY, SUITE 104</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BOTHELL  WA</w:t>
            </w:r>
          </w:p>
        </w:tc>
        <w:tc>
          <w:tcPr>
            <w:tcW w:w="860" w:type="dxa"/>
            <w:vAlign w:val="bottom"/>
          </w:tcPr>
          <w:p>
            <w:pPr>
              <w:jc w:val="right"/>
              <w:spacing w:after="0"/>
              <w:rPr>
                <w:sz w:val="20"/>
                <w:szCs w:val="20"/>
                <w:color w:val="auto"/>
              </w:rPr>
            </w:pPr>
            <w:r>
              <w:rPr>
                <w:rFonts w:ascii="Arial" w:cs="Arial" w:eastAsia="Arial" w:hAnsi="Arial"/>
                <w:sz w:val="20"/>
                <w:szCs w:val="20"/>
                <w:color w:val="0000FF"/>
              </w:rPr>
              <w:t>98011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903"/>
        <w:spacing w:after="0"/>
        <w:rPr>
          <w:sz w:val="20"/>
          <w:szCs w:val="20"/>
          <w:color w:val="auto"/>
        </w:rPr>
      </w:pPr>
      <w:r>
        <w:rPr>
          <w:rFonts w:ascii="Arial" w:cs="Arial" w:eastAsia="Arial" w:hAnsi="Arial"/>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ind w:left="680"/>
              <w:spacing w:after="0"/>
              <w:rPr>
                <w:sz w:val="20"/>
                <w:szCs w:val="20"/>
                <w:color w:val="auto"/>
              </w:rPr>
            </w:pPr>
            <w:r>
              <w:rPr>
                <w:rFonts w:ascii="Arial" w:cs="Arial" w:eastAsia="Arial" w:hAnsi="Arial"/>
                <w:sz w:val="20"/>
                <w:szCs w:val="20"/>
                <w:color w:val="0000FF"/>
              </w:rPr>
              <w:t>8,315</w:t>
            </w:r>
          </w:p>
        </w:tc>
        <w:tc>
          <w:tcPr>
            <w:tcW w:w="1020" w:type="dxa"/>
            <w:vAlign w:val="bottom"/>
            <w:gridSpan w:val="3"/>
          </w:tcPr>
          <w:p>
            <w:pPr>
              <w:ind w:left="840"/>
              <w:spacing w:after="0"/>
              <w:rPr>
                <w:sz w:val="20"/>
                <w:szCs w:val="20"/>
                <w:color w:val="auto"/>
              </w:rPr>
            </w:pPr>
            <w:r>
              <w:rPr>
                <w:rFonts w:ascii="Arial" w:cs="Arial" w:eastAsia="Arial" w:hAnsi="Arial"/>
                <w:sz w:val="20"/>
                <w:szCs w:val="20"/>
                <w:color w:val="0000FF"/>
              </w:rPr>
              <w:t>D</w:t>
            </w: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6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6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8"/>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80" w:type="dxa"/>
            <w:vAlign w:val="bottom"/>
            <w:gridSpan w:val="9"/>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5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w w:val="95"/>
              </w:rPr>
              <w:t>5.</w:t>
            </w:r>
          </w:p>
        </w:tc>
        <w:tc>
          <w:tcPr>
            <w:tcW w:w="70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20" w:type="dxa"/>
            <w:vAlign w:val="bottom"/>
            <w:gridSpan w:val="3"/>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3"/>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3"/>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20" w:type="dxa"/>
            <w:vAlign w:val="bottom"/>
            <w:gridSpan w:val="3"/>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3"/>
          </w:tcPr>
          <w:p>
            <w:pPr>
              <w:ind w:left="320"/>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1"/>
              </w:rPr>
              <w:t>No securities are beneficially owned.</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309"/>
              <w:spacing w:after="0"/>
              <w:rPr>
                <w:sz w:val="20"/>
                <w:szCs w:val="20"/>
                <w:color w:val="auto"/>
              </w:rPr>
            </w:pPr>
            <w:r>
              <w:rPr>
                <w:rFonts w:ascii="Arial" w:cs="Arial" w:eastAsia="Arial" w:hAnsi="Arial"/>
                <w:sz w:val="13"/>
                <w:szCs w:val="13"/>
                <w:color w:val="008000"/>
              </w:rPr>
              <w:t>(1)</w:t>
            </w:r>
          </w:p>
        </w:tc>
        <w:tc>
          <w:tcPr>
            <w:tcW w:w="1620" w:type="dxa"/>
            <w:vAlign w:val="bottom"/>
          </w:tcPr>
          <w:p>
            <w:pPr>
              <w:ind w:left="340"/>
              <w:spacing w:after="0"/>
              <w:rPr>
                <w:sz w:val="20"/>
                <w:szCs w:val="20"/>
                <w:color w:val="auto"/>
              </w:rPr>
            </w:pPr>
            <w:r>
              <w:rPr>
                <w:rFonts w:ascii="Arial" w:cs="Arial" w:eastAsia="Arial" w:hAnsi="Arial"/>
                <w:sz w:val="20"/>
                <w:szCs w:val="20"/>
                <w:color w:val="0000FF"/>
                <w:w w:val="97"/>
              </w:rPr>
              <w:t>Not Applicable</w:t>
            </w:r>
          </w:p>
        </w:tc>
        <w:tc>
          <w:tcPr>
            <w:tcW w:w="960" w:type="dxa"/>
            <w:vAlign w:val="bottom"/>
          </w:tcPr>
          <w:p>
            <w:pPr>
              <w:ind w:left="560"/>
              <w:spacing w:after="0"/>
              <w:rPr>
                <w:sz w:val="20"/>
                <w:szCs w:val="20"/>
                <w:color w:val="auto"/>
              </w:rPr>
            </w:pPr>
            <w:r>
              <w:rPr>
                <w:rFonts w:ascii="Arial" w:cs="Arial" w:eastAsia="Arial" w:hAnsi="Arial"/>
                <w:sz w:val="20"/>
                <w:szCs w:val="20"/>
                <w:color w:val="0000FF"/>
              </w:rPr>
              <w:t>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ind w:left="280"/>
              <w:spacing w:after="0"/>
              <w:rPr>
                <w:sz w:val="20"/>
                <w:szCs w:val="20"/>
                <w:color w:val="auto"/>
              </w:rPr>
            </w:pPr>
            <w:r>
              <w:rPr>
                <w:rFonts w:ascii="Arial" w:cs="Arial" w:eastAsia="Arial" w:hAnsi="Arial"/>
                <w:sz w:val="20"/>
                <w:szCs w:val="20"/>
                <w:color w:val="0000FF"/>
              </w:rPr>
              <w:t>0.00</w:t>
            </w:r>
          </w:p>
        </w:tc>
        <w:tc>
          <w:tcPr>
            <w:tcW w:w="16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008000"/>
              </w:rPr>
              <w:t>1. Not applicable</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20" w:type="dxa"/>
            <w:vAlign w:val="bottom"/>
            <w:gridSpan w:val="5"/>
          </w:tcPr>
          <w:p>
            <w:pPr>
              <w:spacing w:after="0"/>
              <w:rPr>
                <w:sz w:val="20"/>
                <w:szCs w:val="20"/>
                <w:color w:val="auto"/>
              </w:rPr>
            </w:pPr>
            <w:r>
              <w:rPr>
                <w:rFonts w:ascii="Arial" w:cs="Arial" w:eastAsia="Arial" w:hAnsi="Arial"/>
                <w:sz w:val="20"/>
                <w:szCs w:val="20"/>
                <w:color w:val="0000FF"/>
              </w:rPr>
              <w:t>/s/ Glenna Mileson,</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2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 in Fact for Mark</w:t>
            </w:r>
          </w:p>
        </w:tc>
        <w:tc>
          <w:tcPr>
            <w:tcW w:w="2320" w:type="dxa"/>
            <w:vAlign w:val="bottom"/>
            <w:gridSpan w:val="4"/>
          </w:tcPr>
          <w:p>
            <w:pPr>
              <w:ind w:left="160"/>
              <w:spacing w:after="0" w:line="220" w:lineRule="exact"/>
              <w:rPr>
                <w:sz w:val="20"/>
                <w:szCs w:val="20"/>
                <w:color w:val="auto"/>
              </w:rPr>
            </w:pPr>
            <w:r>
              <w:rPr>
                <w:rFonts w:ascii="Arial" w:cs="Arial" w:eastAsia="Arial" w:hAnsi="Arial"/>
                <w:sz w:val="20"/>
                <w:szCs w:val="20"/>
                <w:color w:val="0000FF"/>
              </w:rPr>
              <w:t>06/01/2021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8"/>
              </w:rPr>
              <w:t>Worthington</w:t>
            </w:r>
          </w:p>
        </w:tc>
        <w:tc>
          <w:tcPr>
            <w:tcW w:w="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Athira Pharma, Inc. (the "Company"), hereby constitutes and appoints Glenna Mileson, V. Keophilavanh and each of the responsible attorneys and paralegals of Wilson Sonsini Goodrich &amp; Rosati, Professional Corporation, the undersigned's true and lawful attorney-in-fact to:</w:t>
      </w:r>
    </w:p>
    <w:p>
      <w:pPr>
        <w:spacing w:after="0" w:line="232" w:lineRule="exact"/>
        <w:rPr>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2" w:lineRule="exact"/>
        <w:rPr>
          <w:rFonts w:ascii="Courier New" w:cs="Courier New" w:eastAsia="Courier New" w:hAnsi="Courier New"/>
          <w:sz w:val="18"/>
          <w:szCs w:val="18"/>
          <w:color w:val="auto"/>
        </w:rPr>
      </w:pPr>
    </w:p>
    <w:p>
      <w:pPr>
        <w:ind w:right="6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(as amended) and the rules and regulations promulgated thereunder, or any successor laws and regulations, as a consequence of the undersigned's ownership, acquisition or disposition of securities of the Company; and</w:t>
      </w:r>
    </w:p>
    <w:p>
      <w:pPr>
        <w:spacing w:after="0" w:line="232"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5" w:lineRule="exact"/>
        <w:rPr>
          <w:rFonts w:ascii="Courier New" w:cs="Courier New" w:eastAsia="Courier New" w:hAnsi="Courier New"/>
          <w:sz w:val="20"/>
          <w:szCs w:val="20"/>
          <w:color w:val="auto"/>
        </w:rPr>
      </w:pPr>
    </w:p>
    <w:p>
      <w:pPr>
        <w:ind w:right="6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7"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May 4,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Mark Worthington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1464"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2021-06-01T17:33:13Z</dcterms:created>
  <dcterms:modified xsi:type="dcterms:W3CDTF">2021-06-01T17:33:13Z</dcterms:modified>
</cp:coreProperties>
</file>