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MOEBIUS HANS</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Athira Pharma,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ATHA</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220" w:type="dxa"/>
            <w:vAlign w:val="bottom"/>
          </w:tcPr>
          <w:p>
            <w:pPr>
              <w:spacing w:after="0"/>
              <w:rPr>
                <w:sz w:val="18"/>
                <w:szCs w:val="18"/>
                <w:color w:val="auto"/>
              </w:rPr>
            </w:pPr>
          </w:p>
        </w:tc>
        <w:tc>
          <w:tcPr>
            <w:tcW w:w="1760" w:type="dxa"/>
            <w:vAlign w:val="bottom"/>
            <w:gridSpan w:val="3"/>
          </w:tcPr>
          <w:p>
            <w:pPr>
              <w:ind w:left="140"/>
              <w:spacing w:after="0"/>
              <w:rPr>
                <w:sz w:val="20"/>
                <w:szCs w:val="20"/>
                <w:color w:val="auto"/>
              </w:rPr>
            </w:pPr>
            <w:r>
              <w:rPr>
                <w:rFonts w:ascii="Arial" w:cs="Arial" w:eastAsia="Arial" w:hAnsi="Arial"/>
                <w:sz w:val="17"/>
                <w:szCs w:val="17"/>
                <w:color w:val="0000FF"/>
              </w:rPr>
              <w:t>01/18/2022</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45"/>
        <w:spacing w:after="0"/>
        <w:rPr>
          <w:sz w:val="20"/>
          <w:szCs w:val="20"/>
          <w:color w:val="auto"/>
        </w:rPr>
      </w:pPr>
      <w:r>
        <w:rPr>
          <w:rFonts w:ascii="Arial" w:cs="Arial" w:eastAsia="Arial" w:hAnsi="Arial"/>
          <w:sz w:val="17"/>
          <w:szCs w:val="17"/>
          <w:color w:val="0000FF"/>
        </w:rPr>
        <w:t>Chief Medical Officer</w:t>
      </w:r>
    </w:p>
    <w:p>
      <w:pPr>
        <w:spacing w:after="0" w:line="382"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BOTHELL</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98011</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1"/>
              </w:rPr>
              <w:t>Common Stock</w:t>
            </w:r>
            <w:r>
              <w:rPr>
                <w:rFonts w:ascii="Arial" w:cs="Arial" w:eastAsia="Arial" w:hAnsi="Arial"/>
                <w:sz w:val="21"/>
                <w:szCs w:val="21"/>
                <w:color w:val="008000"/>
                <w:w w:val="91"/>
                <w:vertAlign w:val="superscript"/>
              </w:rPr>
              <w:t>(1)</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w w:val="97"/>
              </w:rPr>
              <w:t>11/18/2021</w:t>
            </w:r>
            <w:r>
              <w:rPr>
                <w:rFonts w:ascii="Arial" w:cs="Arial" w:eastAsia="Arial" w:hAnsi="Arial"/>
                <w:sz w:val="21"/>
                <w:szCs w:val="21"/>
                <w:color w:val="008000"/>
                <w:w w:val="97"/>
                <w:vertAlign w:val="superscript"/>
              </w:rPr>
              <w:t>(2)</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3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829</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12.51</w:t>
            </w:r>
            <w:r>
              <w:rPr>
                <w:rFonts w:ascii="Arial" w:cs="Arial" w:eastAsia="Arial" w:hAnsi="Arial"/>
                <w:sz w:val="21"/>
                <w:szCs w:val="21"/>
                <w:color w:val="008000"/>
                <w:w w:val="80"/>
                <w:vertAlign w:val="superscript"/>
              </w:rPr>
              <w:t>(3)</w:t>
            </w: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31,256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10.64</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01/18/2022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180,000</w:t>
            </w:r>
          </w:p>
        </w:tc>
        <w:tc>
          <w:tcPr>
            <w:tcW w:w="26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01/17/2032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180,000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180,000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4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18, 2021 through November 18, 2021. This transaction is also exempt under Rule 16b-3(c).</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Purchase Period ended November 18, 2021 and is the Purchase Period comprising the Offering Period (as defined in the ESPP) that began May 18, 2021.</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ESPP, these shares were purchased based on 85% of the closing price on November 18, 2021.</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forty-eighth (1/48th) of the shares subject to the option will vest on February 18, 2022, and one forty-eighth of the shares subject to the option will vest each month thereafter.</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Glenna Mileson, Attorney-</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01/20/2022</w:t>
            </w:r>
          </w:p>
        </w:tc>
        <w:tc>
          <w:tcPr>
            <w:tcW w:w="0" w:type="dxa"/>
            <w:vAlign w:val="bottom"/>
          </w:tcPr>
          <w:p>
            <w:pPr>
              <w:spacing w:after="0"/>
              <w:rPr>
                <w:sz w:val="1"/>
                <w:szCs w:val="1"/>
                <w:color w:val="auto"/>
              </w:rPr>
            </w:pPr>
          </w:p>
        </w:tc>
      </w:tr>
      <w:tr>
        <w:trPr>
          <w:trHeight w:val="87"/>
        </w:trPr>
        <w:tc>
          <w:tcPr>
            <w:tcW w:w="1660" w:type="dxa"/>
            <w:vAlign w:val="bottom"/>
            <w:vMerge w:val="restart"/>
          </w:tcPr>
          <w:p>
            <w:pPr>
              <w:spacing w:after="0" w:line="184" w:lineRule="exact"/>
              <w:rPr>
                <w:sz w:val="20"/>
                <w:szCs w:val="20"/>
                <w:color w:val="auto"/>
              </w:rPr>
            </w:pPr>
            <w:r>
              <w:rPr>
                <w:rFonts w:ascii="Arial" w:cs="Arial" w:eastAsia="Arial" w:hAnsi="Arial"/>
                <w:sz w:val="17"/>
                <w:szCs w:val="17"/>
                <w:color w:val="0000FF"/>
                <w:w w:val="88"/>
              </w:rPr>
              <w:t>in-fact for Hans Moebius</w:t>
            </w:r>
          </w:p>
        </w:tc>
        <w:tc>
          <w:tcPr>
            <w:tcW w:w="5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249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2022-01-20T16:26:59Z</dcterms:created>
  <dcterms:modified xsi:type="dcterms:W3CDTF">2022-01-20T16:26:59Z</dcterms:modified>
</cp:coreProperties>
</file>