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5"/>
          <w:szCs w:val="15"/>
          <w:b w:val="1"/>
          <w:bCs w:val="1"/>
          <w:color w:val="auto"/>
        </w:rPr>
        <w:t>As filed with the Securities and Exchange Commission on March 28, 2022</w:t>
      </w:r>
    </w:p>
    <w:p>
      <w:pPr>
        <w:spacing w:after="0" w:line="19" w:lineRule="exact"/>
        <w:rPr>
          <w:sz w:val="24"/>
          <w:szCs w:val="24"/>
          <w:color w:val="auto"/>
        </w:rPr>
      </w:pPr>
    </w:p>
    <w:p>
      <w:pPr>
        <w:ind w:left="958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1443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3298190</wp:posOffset>
            </wp:positionH>
            <wp:positionV relativeFrom="paragraph">
              <wp:posOffset>50800</wp:posOffset>
            </wp:positionV>
            <wp:extent cx="5461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6100" cy="7620"/>
                    </a:xfrm>
                    <a:prstGeom prst="rect">
                      <a:avLst/>
                    </a:prstGeom>
                    <a:noFill/>
                  </pic:spPr>
                </pic:pic>
              </a:graphicData>
            </a:graphic>
          </wp:anchor>
        </w:drawing>
      </w:r>
    </w:p>
    <w:p>
      <w:pPr>
        <w:spacing w:after="0" w:line="108" w:lineRule="exact"/>
        <w:rPr>
          <w:sz w:val="24"/>
          <w:szCs w:val="24"/>
          <w:color w:val="auto"/>
        </w:rPr>
      </w:pPr>
    </w:p>
    <w:p>
      <w:pPr>
        <w:jc w:val="center"/>
        <w:ind w:right="20"/>
        <w:spacing w:after="0" w:line="334" w:lineRule="exact"/>
        <w:rPr>
          <w:sz w:val="20"/>
          <w:szCs w:val="20"/>
          <w:color w:val="auto"/>
        </w:rPr>
      </w:pPr>
      <w:r>
        <w:rPr>
          <w:rFonts w:ascii="Arial" w:cs="Arial" w:eastAsia="Arial" w:hAnsi="Arial"/>
          <w:sz w:val="29"/>
          <w:szCs w:val="29"/>
          <w:b w:val="1"/>
          <w:bCs w:val="1"/>
          <w:color w:val="auto"/>
        </w:rPr>
        <w:t>FORM S</w:t>
      </w:r>
      <w:r>
        <w:rPr>
          <w:rFonts w:ascii="MS PGothic" w:cs="MS PGothic" w:eastAsia="MS PGothic" w:hAnsi="MS PGothic"/>
          <w:sz w:val="29"/>
          <w:szCs w:val="29"/>
          <w:b w:val="1"/>
          <w:bCs w:val="1"/>
          <w:color w:val="auto"/>
        </w:rPr>
        <w:t>‑</w:t>
      </w:r>
      <w:r>
        <w:rPr>
          <w:rFonts w:ascii="Arial" w:cs="Arial" w:eastAsia="Arial" w:hAnsi="Arial"/>
          <w:sz w:val="29"/>
          <w:szCs w:val="29"/>
          <w:b w:val="1"/>
          <w:bCs w:val="1"/>
          <w:color w:val="auto"/>
        </w:rPr>
        <w:t>8</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jc w:val="center"/>
        <w:ind w:right="20"/>
        <w:spacing w:after="0" w:line="230" w:lineRule="auto"/>
        <w:rPr>
          <w:sz w:val="20"/>
          <w:szCs w:val="20"/>
          <w:color w:val="auto"/>
        </w:rPr>
      </w:pPr>
      <w:r>
        <w:rPr>
          <w:rFonts w:ascii="Arial" w:cs="Arial" w:eastAsia="Arial" w:hAnsi="Arial"/>
          <w:sz w:val="20"/>
          <w:szCs w:val="20"/>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3298190</wp:posOffset>
            </wp:positionH>
            <wp:positionV relativeFrom="paragraph">
              <wp:posOffset>59055</wp:posOffset>
            </wp:positionV>
            <wp:extent cx="5461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6100" cy="7620"/>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ATHIRA PHARMA,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3298190</wp:posOffset>
            </wp:positionH>
            <wp:positionV relativeFrom="paragraph">
              <wp:posOffset>49530</wp:posOffset>
            </wp:positionV>
            <wp:extent cx="5461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6100" cy="7620"/>
                    </a:xfrm>
                    <a:prstGeom prst="rect">
                      <a:avLst/>
                    </a:prstGeom>
                    <a:noFill/>
                  </pic:spPr>
                </pic:pic>
              </a:graphicData>
            </a:graphic>
          </wp:anchor>
        </w:drawing>
      </w:r>
    </w:p>
    <w:p>
      <w:pPr>
        <w:spacing w:after="0" w:line="127" w:lineRule="exact"/>
        <w:rPr>
          <w:sz w:val="24"/>
          <w:szCs w:val="24"/>
          <w:color w:val="auto"/>
        </w:rPr>
      </w:pPr>
    </w:p>
    <w:tbl>
      <w:tblPr>
        <w:tblLayout w:type="fixed"/>
        <w:tblInd w:w="1040" w:type="dxa"/>
        <w:tblCellMar>
          <w:top w:w="0" w:type="dxa"/>
          <w:left w:w="0" w:type="dxa"/>
          <w:bottom w:w="0" w:type="dxa"/>
          <w:right w:w="0" w:type="dxa"/>
        </w:tblCellMar>
      </w:tblPr>
      <w:tr>
        <w:trPr>
          <w:trHeight w:val="193"/>
        </w:trPr>
        <w:tc>
          <w:tcPr>
            <w:tcW w:w="4700" w:type="dxa"/>
            <w:vAlign w:val="bottom"/>
          </w:tcPr>
          <w:p>
            <w:pPr>
              <w:jc w:val="center"/>
              <w:ind w:right="2889"/>
              <w:spacing w:after="0"/>
              <w:rPr>
                <w:sz w:val="20"/>
                <w:szCs w:val="20"/>
                <w:color w:val="auto"/>
              </w:rPr>
            </w:pPr>
            <w:r>
              <w:rPr>
                <w:rFonts w:ascii="Arial" w:cs="Arial" w:eastAsia="Arial" w:hAnsi="Arial"/>
                <w:sz w:val="16"/>
                <w:szCs w:val="16"/>
                <w:b w:val="1"/>
                <w:bCs w:val="1"/>
                <w:color w:val="auto"/>
                <w:w w:val="93"/>
              </w:rPr>
              <w:t>Delaware</w:t>
            </w:r>
          </w:p>
        </w:tc>
        <w:tc>
          <w:tcPr>
            <w:tcW w:w="4240" w:type="dxa"/>
            <w:vAlign w:val="bottom"/>
          </w:tcPr>
          <w:p>
            <w:pPr>
              <w:jc w:val="center"/>
              <w:ind w:left="2889"/>
              <w:spacing w:after="0"/>
              <w:rPr>
                <w:sz w:val="20"/>
                <w:szCs w:val="20"/>
                <w:color w:val="auto"/>
              </w:rPr>
            </w:pPr>
            <w:r>
              <w:rPr>
                <w:rFonts w:ascii="Arial" w:cs="Arial" w:eastAsia="Arial" w:hAnsi="Arial"/>
                <w:sz w:val="16"/>
                <w:szCs w:val="16"/>
                <w:b w:val="1"/>
                <w:bCs w:val="1"/>
                <w:color w:val="auto"/>
                <w:w w:val="93"/>
              </w:rPr>
              <w:t>45-3368487</w:t>
            </w:r>
          </w:p>
        </w:tc>
      </w:tr>
      <w:tr>
        <w:trPr>
          <w:trHeight w:val="135"/>
        </w:trPr>
        <w:tc>
          <w:tcPr>
            <w:tcW w:w="4700" w:type="dxa"/>
            <w:vAlign w:val="bottom"/>
          </w:tcPr>
          <w:p>
            <w:pPr>
              <w:jc w:val="center"/>
              <w:ind w:right="2909"/>
              <w:spacing w:after="0" w:line="135" w:lineRule="exact"/>
              <w:rPr>
                <w:sz w:val="20"/>
                <w:szCs w:val="20"/>
                <w:color w:val="auto"/>
              </w:rPr>
            </w:pPr>
            <w:r>
              <w:rPr>
                <w:rFonts w:ascii="Arial" w:cs="Arial" w:eastAsia="Arial" w:hAnsi="Arial"/>
                <w:sz w:val="13"/>
                <w:szCs w:val="13"/>
                <w:b w:val="1"/>
                <w:bCs w:val="1"/>
                <w:color w:val="auto"/>
                <w:w w:val="89"/>
              </w:rPr>
              <w:t>(State or other jurisdiction of</w:t>
            </w:r>
          </w:p>
        </w:tc>
        <w:tc>
          <w:tcPr>
            <w:tcW w:w="4240" w:type="dxa"/>
            <w:vAlign w:val="bottom"/>
          </w:tcPr>
          <w:p>
            <w:pPr>
              <w:jc w:val="center"/>
              <w:ind w:left="2889"/>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9"/>
        </w:trPr>
        <w:tc>
          <w:tcPr>
            <w:tcW w:w="4700" w:type="dxa"/>
            <w:vAlign w:val="bottom"/>
          </w:tcPr>
          <w:p>
            <w:pPr>
              <w:jc w:val="center"/>
              <w:ind w:right="2909"/>
              <w:spacing w:after="0"/>
              <w:rPr>
                <w:sz w:val="20"/>
                <w:szCs w:val="20"/>
                <w:color w:val="auto"/>
              </w:rPr>
            </w:pPr>
            <w:r>
              <w:rPr>
                <w:rFonts w:ascii="Arial" w:cs="Arial" w:eastAsia="Arial" w:hAnsi="Arial"/>
                <w:sz w:val="13"/>
                <w:szCs w:val="13"/>
                <w:b w:val="1"/>
                <w:bCs w:val="1"/>
                <w:color w:val="auto"/>
                <w:w w:val="92"/>
              </w:rPr>
              <w:t>incorporation or organization)</w:t>
            </w:r>
          </w:p>
        </w:tc>
        <w:tc>
          <w:tcPr>
            <w:tcW w:w="4240" w:type="dxa"/>
            <w:vAlign w:val="bottom"/>
          </w:tcPr>
          <w:p>
            <w:pPr>
              <w:jc w:val="center"/>
              <w:ind w:left="2889"/>
              <w:spacing w:after="0"/>
              <w:rPr>
                <w:sz w:val="20"/>
                <w:szCs w:val="20"/>
                <w:color w:val="auto"/>
              </w:rPr>
            </w:pPr>
            <w:r>
              <w:rPr>
                <w:rFonts w:ascii="Arial" w:cs="Arial" w:eastAsia="Arial" w:hAnsi="Arial"/>
                <w:sz w:val="13"/>
                <w:szCs w:val="13"/>
                <w:b w:val="1"/>
                <w:bCs w:val="1"/>
                <w:color w:val="auto"/>
                <w:w w:val="92"/>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3298190</wp:posOffset>
            </wp:positionH>
            <wp:positionV relativeFrom="paragraph">
              <wp:posOffset>46355</wp:posOffset>
            </wp:positionV>
            <wp:extent cx="5461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6100" cy="7620"/>
                    </a:xfrm>
                    <a:prstGeom prst="rect">
                      <a:avLst/>
                    </a:prstGeom>
                    <a:noFill/>
                  </pic:spPr>
                </pic:pic>
              </a:graphicData>
            </a:graphic>
          </wp:anchor>
        </w:drawing>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18706 North Creek Parkway, Suite 104</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Bothell, WA 98011</w:t>
      </w:r>
    </w:p>
    <w:p>
      <w:pPr>
        <w:jc w:val="center"/>
        <w:ind w:right="20"/>
        <w:spacing w:after="0"/>
        <w:rPr>
          <w:sz w:val="20"/>
          <w:szCs w:val="20"/>
          <w:color w:val="auto"/>
        </w:rPr>
      </w:pPr>
      <w:r>
        <w:rPr>
          <w:rFonts w:ascii="Arial" w:cs="Arial" w:eastAsia="Arial" w:hAnsi="Arial"/>
          <w:sz w:val="13"/>
          <w:szCs w:val="13"/>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3298190</wp:posOffset>
            </wp:positionH>
            <wp:positionV relativeFrom="paragraph">
              <wp:posOffset>57150</wp:posOffset>
            </wp:positionV>
            <wp:extent cx="5461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6100" cy="7620"/>
                    </a:xfrm>
                    <a:prstGeom prst="rect">
                      <a:avLst/>
                    </a:prstGeom>
                    <a:noFill/>
                  </pic:spPr>
                </pic:pic>
              </a:graphicData>
            </a:graphic>
          </wp:anchor>
        </w:drawing>
      </w:r>
    </w:p>
    <w:p>
      <w:pPr>
        <w:spacing w:after="0" w:line="131" w:lineRule="exact"/>
        <w:rPr>
          <w:sz w:val="24"/>
          <w:szCs w:val="24"/>
          <w:color w:val="auto"/>
        </w:rPr>
      </w:pPr>
    </w:p>
    <w:p>
      <w:pPr>
        <w:ind w:left="4500"/>
        <w:spacing w:after="0"/>
        <w:rPr>
          <w:sz w:val="20"/>
          <w:szCs w:val="20"/>
          <w:color w:val="auto"/>
        </w:rPr>
      </w:pPr>
      <w:r>
        <w:rPr>
          <w:rFonts w:ascii="Arial" w:cs="Arial" w:eastAsia="Arial" w:hAnsi="Arial"/>
          <w:sz w:val="20"/>
          <w:szCs w:val="20"/>
          <w:b w:val="1"/>
          <w:bCs w:val="1"/>
          <w:color w:val="auto"/>
        </w:rPr>
        <w:t>2020 Equity Incentive Plan</w:t>
      </w:r>
    </w:p>
    <w:p>
      <w:pPr>
        <w:spacing w:after="0" w:line="13" w:lineRule="exact"/>
        <w:rPr>
          <w:sz w:val="24"/>
          <w:szCs w:val="24"/>
          <w:color w:val="auto"/>
        </w:rPr>
      </w:pPr>
    </w:p>
    <w:p>
      <w:pPr>
        <w:ind w:left="4100"/>
        <w:spacing w:after="0"/>
        <w:rPr>
          <w:sz w:val="20"/>
          <w:szCs w:val="20"/>
          <w:color w:val="auto"/>
        </w:rPr>
      </w:pPr>
      <w:r>
        <w:rPr>
          <w:rFonts w:ascii="Arial" w:cs="Arial" w:eastAsia="Arial" w:hAnsi="Arial"/>
          <w:sz w:val="20"/>
          <w:szCs w:val="20"/>
          <w:b w:val="1"/>
          <w:bCs w:val="1"/>
          <w:color w:val="auto"/>
        </w:rPr>
        <w:t>2020 Employee Stock Purchase Plan</w:t>
      </w:r>
    </w:p>
    <w:p>
      <w:pPr>
        <w:spacing w:after="0" w:line="175"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3298190</wp:posOffset>
            </wp:positionH>
            <wp:positionV relativeFrom="paragraph">
              <wp:posOffset>55880</wp:posOffset>
            </wp:positionV>
            <wp:extent cx="5461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6100" cy="7620"/>
                    </a:xfrm>
                    <a:prstGeom prst="rect">
                      <a:avLst/>
                    </a:prstGeom>
                    <a:noFill/>
                  </pic:spPr>
                </pic:pic>
              </a:graphicData>
            </a:graphic>
          </wp:anchor>
        </w:drawing>
      </w:r>
    </w:p>
    <w:p>
      <w:pPr>
        <w:spacing w:after="0" w:line="129"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Mark Litton, Ph.D.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President and Chief Executive Officer</w:t>
      </w:r>
    </w:p>
    <w:p>
      <w:pPr>
        <w:jc w:val="center"/>
        <w:ind w:right="20"/>
        <w:spacing w:after="0" w:line="230" w:lineRule="auto"/>
        <w:rPr>
          <w:sz w:val="20"/>
          <w:szCs w:val="20"/>
          <w:color w:val="auto"/>
        </w:rPr>
      </w:pPr>
      <w:r>
        <w:rPr>
          <w:rFonts w:ascii="Arial" w:cs="Arial" w:eastAsia="Arial" w:hAnsi="Arial"/>
          <w:sz w:val="20"/>
          <w:szCs w:val="20"/>
          <w:b w:val="1"/>
          <w:bCs w:val="1"/>
          <w:color w:val="auto"/>
        </w:rPr>
        <w:t>Athira Pharma, Inc.</w:t>
      </w:r>
    </w:p>
    <w:p>
      <w:pPr>
        <w:jc w:val="center"/>
        <w:ind w:right="20"/>
        <w:spacing w:after="0" w:line="231" w:lineRule="auto"/>
        <w:rPr>
          <w:sz w:val="20"/>
          <w:szCs w:val="20"/>
          <w:color w:val="auto"/>
        </w:rPr>
      </w:pPr>
      <w:r>
        <w:rPr>
          <w:rFonts w:ascii="Arial" w:cs="Arial" w:eastAsia="Arial" w:hAnsi="Arial"/>
          <w:sz w:val="20"/>
          <w:szCs w:val="20"/>
          <w:b w:val="1"/>
          <w:bCs w:val="1"/>
          <w:color w:val="auto"/>
        </w:rPr>
        <w:t>18706 North Creek Parkway, Suite 104</w:t>
      </w:r>
    </w:p>
    <w:p>
      <w:pPr>
        <w:jc w:val="center"/>
        <w:ind w:right="20"/>
        <w:spacing w:after="0" w:line="231" w:lineRule="auto"/>
        <w:rPr>
          <w:sz w:val="20"/>
          <w:szCs w:val="20"/>
          <w:color w:val="auto"/>
        </w:rPr>
      </w:pPr>
      <w:r>
        <w:rPr>
          <w:rFonts w:ascii="Arial" w:cs="Arial" w:eastAsia="Arial" w:hAnsi="Arial"/>
          <w:sz w:val="20"/>
          <w:szCs w:val="20"/>
          <w:b w:val="1"/>
          <w:bCs w:val="1"/>
          <w:color w:val="auto"/>
        </w:rPr>
        <w:t>Bothell, WA 98011</w:t>
      </w:r>
    </w:p>
    <w:p>
      <w:pPr>
        <w:jc w:val="center"/>
        <w:ind w:right="20"/>
        <w:spacing w:after="0" w:line="227" w:lineRule="auto"/>
        <w:rPr>
          <w:sz w:val="20"/>
          <w:szCs w:val="20"/>
          <w:color w:val="auto"/>
        </w:rPr>
      </w:pPr>
      <w:r>
        <w:rPr>
          <w:rFonts w:ascii="Arial" w:cs="Arial" w:eastAsia="Arial" w:hAnsi="Arial"/>
          <w:sz w:val="20"/>
          <w:szCs w:val="20"/>
          <w:b w:val="1"/>
          <w:bCs w:val="1"/>
          <w:color w:val="auto"/>
        </w:rPr>
        <w:t>(425) 620-8501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3298190</wp:posOffset>
            </wp:positionH>
            <wp:positionV relativeFrom="paragraph">
              <wp:posOffset>49530</wp:posOffset>
            </wp:positionV>
            <wp:extent cx="5461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6100" cy="7620"/>
                    </a:xfrm>
                    <a:prstGeom prst="rect">
                      <a:avLst/>
                    </a:prstGeom>
                    <a:noFill/>
                  </pic:spPr>
                </pic:pic>
              </a:graphicData>
            </a:graphic>
          </wp:anchor>
        </w:drawing>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Copies to:</w:t>
      </w:r>
    </w:p>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Michael Nordtvedt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Bryan D. King</w:t>
      </w:r>
    </w:p>
    <w:p>
      <w:pPr>
        <w:jc w:val="center"/>
        <w:ind w:right="20"/>
        <w:spacing w:after="0" w:line="230" w:lineRule="auto"/>
        <w:rPr>
          <w:sz w:val="20"/>
          <w:szCs w:val="20"/>
          <w:color w:val="auto"/>
        </w:rPr>
      </w:pPr>
      <w:r>
        <w:rPr>
          <w:rFonts w:ascii="Arial" w:cs="Arial" w:eastAsia="Arial" w:hAnsi="Arial"/>
          <w:sz w:val="20"/>
          <w:szCs w:val="20"/>
          <w:color w:val="auto"/>
        </w:rPr>
        <w:t>Wilson Sonsini Goodrich &amp; Rosati,</w:t>
      </w:r>
    </w:p>
    <w:p>
      <w:pPr>
        <w:jc w:val="center"/>
        <w:ind w:right="20"/>
        <w:spacing w:after="0" w:line="231" w:lineRule="auto"/>
        <w:rPr>
          <w:sz w:val="20"/>
          <w:szCs w:val="20"/>
          <w:color w:val="auto"/>
        </w:rPr>
      </w:pPr>
      <w:r>
        <w:rPr>
          <w:rFonts w:ascii="Arial" w:cs="Arial" w:eastAsia="Arial" w:hAnsi="Arial"/>
          <w:sz w:val="20"/>
          <w:szCs w:val="20"/>
          <w:color w:val="auto"/>
        </w:rPr>
        <w:t>Professional Corporation</w:t>
      </w:r>
    </w:p>
    <w:p>
      <w:pPr>
        <w:jc w:val="center"/>
        <w:ind w:right="20"/>
        <w:spacing w:after="0" w:line="231" w:lineRule="auto"/>
        <w:rPr>
          <w:sz w:val="20"/>
          <w:szCs w:val="20"/>
          <w:color w:val="auto"/>
        </w:rPr>
      </w:pPr>
      <w:r>
        <w:rPr>
          <w:rFonts w:ascii="Arial" w:cs="Arial" w:eastAsia="Arial" w:hAnsi="Arial"/>
          <w:sz w:val="20"/>
          <w:szCs w:val="20"/>
          <w:color w:val="auto"/>
        </w:rPr>
        <w:t>701 Fifth Avenue, Suite 5100</w:t>
      </w:r>
    </w:p>
    <w:p>
      <w:pPr>
        <w:jc w:val="center"/>
        <w:ind w:right="20"/>
        <w:spacing w:after="0" w:line="230" w:lineRule="auto"/>
        <w:rPr>
          <w:sz w:val="20"/>
          <w:szCs w:val="20"/>
          <w:color w:val="auto"/>
        </w:rPr>
      </w:pPr>
      <w:r>
        <w:rPr>
          <w:rFonts w:ascii="Arial" w:cs="Arial" w:eastAsia="Arial" w:hAnsi="Arial"/>
          <w:sz w:val="20"/>
          <w:szCs w:val="20"/>
          <w:color w:val="auto"/>
        </w:rPr>
        <w:t>Seattle, WA 98104</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0"/>
          <w:szCs w:val="20"/>
          <w:color w:val="auto"/>
        </w:rPr>
        <w:t>(206) 883-2500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3298190</wp:posOffset>
            </wp:positionH>
            <wp:positionV relativeFrom="paragraph">
              <wp:posOffset>59055</wp:posOffset>
            </wp:positionV>
            <wp:extent cx="5461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6100" cy="7620"/>
                    </a:xfrm>
                    <a:prstGeom prst="rect">
                      <a:avLst/>
                    </a:prstGeom>
                    <a:noFill/>
                  </pic:spPr>
                </pic:pic>
              </a:graphicData>
            </a:graphic>
          </wp:anchor>
        </w:drawing>
      </w:r>
    </w:p>
    <w:p>
      <w:pPr>
        <w:spacing w:after="0" w:line="145" w:lineRule="exact"/>
        <w:rPr>
          <w:sz w:val="24"/>
          <w:szCs w:val="24"/>
          <w:color w:val="auto"/>
        </w:rPr>
      </w:pPr>
    </w:p>
    <w:p>
      <w:pPr>
        <w:ind w:right="20"/>
        <w:spacing w:after="0" w:line="24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1280" w:type="dxa"/>
            <w:vAlign w:val="bottom"/>
          </w:tcPr>
          <w:p>
            <w:pPr>
              <w:spacing w:after="0"/>
              <w:rPr>
                <w:sz w:val="20"/>
                <w:szCs w:val="20"/>
                <w:color w:val="auto"/>
              </w:rPr>
            </w:pPr>
            <w:r>
              <w:rPr>
                <w:rFonts w:ascii="Arial" w:cs="Arial" w:eastAsia="Arial" w:hAnsi="Arial"/>
                <w:sz w:val="14"/>
                <w:szCs w:val="14"/>
                <w:color w:val="auto"/>
                <w:w w:val="90"/>
              </w:rPr>
              <w:t>Large accelerated filer</w:t>
            </w:r>
          </w:p>
        </w:tc>
        <w:tc>
          <w:tcPr>
            <w:tcW w:w="42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5620" w:type="dxa"/>
            <w:vAlign w:val="bottom"/>
          </w:tcPr>
          <w:p>
            <w:pPr>
              <w:ind w:left="4060"/>
              <w:spacing w:after="0"/>
              <w:rPr>
                <w:sz w:val="20"/>
                <w:szCs w:val="20"/>
                <w:color w:val="auto"/>
              </w:rPr>
            </w:pPr>
            <w:r>
              <w:rPr>
                <w:rFonts w:ascii="Arial" w:cs="Arial" w:eastAsia="Arial" w:hAnsi="Arial"/>
                <w:sz w:val="14"/>
                <w:szCs w:val="14"/>
                <w:color w:val="auto"/>
              </w:rPr>
              <w:t>Accelerated filer</w:t>
            </w:r>
          </w:p>
        </w:tc>
        <w:tc>
          <w:tcPr>
            <w:tcW w:w="160" w:type="dxa"/>
            <w:vAlign w:val="bottom"/>
          </w:tcPr>
          <w:p>
            <w:pPr>
              <w:jc w:val="right"/>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72"/>
        </w:trPr>
        <w:tc>
          <w:tcPr>
            <w:tcW w:w="1280" w:type="dxa"/>
            <w:vAlign w:val="bottom"/>
          </w:tcPr>
          <w:p>
            <w:pPr>
              <w:spacing w:after="0"/>
              <w:rPr>
                <w:sz w:val="20"/>
                <w:szCs w:val="20"/>
                <w:color w:val="auto"/>
              </w:rPr>
            </w:pPr>
            <w:r>
              <w:rPr>
                <w:rFonts w:ascii="Arial" w:cs="Arial" w:eastAsia="Arial" w:hAnsi="Arial"/>
                <w:sz w:val="14"/>
                <w:szCs w:val="14"/>
                <w:color w:val="auto"/>
                <w:w w:val="97"/>
              </w:rPr>
              <w:t>Non-accelerated filer</w:t>
            </w:r>
          </w:p>
        </w:tc>
        <w:tc>
          <w:tcPr>
            <w:tcW w:w="42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5620" w:type="dxa"/>
            <w:vAlign w:val="bottom"/>
          </w:tcPr>
          <w:p>
            <w:pPr>
              <w:ind w:left="4060"/>
              <w:spacing w:after="0"/>
              <w:rPr>
                <w:sz w:val="20"/>
                <w:szCs w:val="20"/>
                <w:color w:val="auto"/>
              </w:rPr>
            </w:pPr>
            <w:r>
              <w:rPr>
                <w:rFonts w:ascii="Arial" w:cs="Arial" w:eastAsia="Arial" w:hAnsi="Arial"/>
                <w:sz w:val="14"/>
                <w:szCs w:val="14"/>
                <w:color w:val="auto"/>
                <w:w w:val="92"/>
              </w:rPr>
              <w:t>Smaller reporting company</w:t>
            </w:r>
          </w:p>
        </w:tc>
        <w:tc>
          <w:tcPr>
            <w:tcW w:w="160" w:type="dxa"/>
            <w:vAlign w:val="bottom"/>
          </w:tcPr>
          <w:p>
            <w:pPr>
              <w:jc w:val="right"/>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17"/>
        </w:trPr>
        <w:tc>
          <w:tcPr>
            <w:tcW w:w="1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780" w:type="dxa"/>
            <w:vAlign w:val="bottom"/>
            <w:gridSpan w:val="2"/>
          </w:tcPr>
          <w:p>
            <w:pPr>
              <w:jc w:val="right"/>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r>
    </w:tbl>
    <w:p>
      <w:pPr>
        <w:spacing w:after="0" w:line="41" w:lineRule="exact"/>
        <w:rPr>
          <w:sz w:val="24"/>
          <w:szCs w:val="24"/>
          <w:color w:val="auto"/>
        </w:rPr>
      </w:pPr>
    </w:p>
    <w:p>
      <w:pPr>
        <w:ind w:right="38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71443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497840</wp:posOffset>
            </wp:positionV>
            <wp:extent cx="718566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5660" cy="41275"/>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sectPr>
      </w:pPr>
    </w:p>
    <w:bookmarkStart w:id="1" w:name="page2"/>
    <w:bookmarkEnd w:id="1"/>
    <w:p>
      <w:pPr>
        <w:jc w:val="right"/>
        <w:ind w:right="3639"/>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50" w:lineRule="exact"/>
        <w:rPr>
          <w:sz w:val="20"/>
          <w:szCs w:val="20"/>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Item 3. Incorporation by Reference</w:t>
        </w:r>
      </w:hyperlink>
    </w:p>
    <w:p>
      <w:pPr>
        <w:spacing w:after="0" w:line="62"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8. Exhibits</w:t>
        </w:r>
      </w:hyperlink>
    </w:p>
    <w:p>
      <w:pPr>
        <w:spacing w:after="0" w:line="62" w:lineRule="exact"/>
        <w:rPr>
          <w:sz w:val="20"/>
          <w:szCs w:val="20"/>
          <w:color w:val="auto"/>
        </w:rPr>
      </w:pPr>
    </w:p>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73660</wp:posOffset>
            </wp:positionV>
            <wp:extent cx="718566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5660" cy="41275"/>
                    </a:xfrm>
                    <a:prstGeom prst="rect">
                      <a:avLst/>
                    </a:prstGeom>
                    <a:noFill/>
                  </pic:spPr>
                </pic:pic>
              </a:graphicData>
            </a:graphic>
          </wp:anchor>
        </w:drawing>
      </w:r>
    </w:p>
    <w:p>
      <w:pPr>
        <w:sectPr>
          <w:pgSz w:w="11900" w:h="16838" w:orient="portrait"/>
          <w:cols w:equalWidth="0" w:num="1">
            <w:col w:w="10139"/>
          </w:cols>
          <w:pgMar w:left="320" w:top="516" w:right="1440" w:bottom="1440" w:gutter="0" w:footer="0" w:header="0"/>
        </w:sectPr>
      </w:pPr>
    </w:p>
    <w:bookmarkStart w:id="2" w:name="page3"/>
    <w:bookmarkEnd w:id="2"/>
    <w:p>
      <w:pPr>
        <w:jc w:val="center"/>
        <w:ind w:right="-1"/>
        <w:spacing w:after="0"/>
        <w:rPr>
          <w:sz w:val="20"/>
          <w:szCs w:val="20"/>
          <w:color w:val="auto"/>
        </w:rPr>
      </w:pPr>
      <w:r>
        <w:rPr>
          <w:rFonts w:ascii="Arial" w:cs="Arial" w:eastAsia="Arial" w:hAnsi="Arial"/>
          <w:sz w:val="16"/>
          <w:szCs w:val="16"/>
          <w:b w:val="1"/>
          <w:bCs w:val="1"/>
          <w:color w:val="auto"/>
        </w:rPr>
        <w:t>EXPLANATORY NOTE</w:t>
      </w:r>
    </w:p>
    <w:p>
      <w:pPr>
        <w:spacing w:after="0" w:line="213" w:lineRule="exact"/>
        <w:rPr>
          <w:sz w:val="20"/>
          <w:szCs w:val="20"/>
          <w:color w:val="auto"/>
        </w:rPr>
      </w:pPr>
    </w:p>
    <w:p>
      <w:pPr>
        <w:ind w:left="2"/>
        <w:spacing w:after="0" w:line="281" w:lineRule="auto"/>
        <w:rPr>
          <w:sz w:val="20"/>
          <w:szCs w:val="20"/>
          <w:color w:val="auto"/>
        </w:rPr>
      </w:pPr>
      <w:r>
        <w:rPr>
          <w:rFonts w:ascii="Arial" w:cs="Arial" w:eastAsia="Arial" w:hAnsi="Arial"/>
          <w:sz w:val="15"/>
          <w:szCs w:val="15"/>
          <w:color w:val="auto"/>
        </w:rPr>
        <w:t>This Registration Statement on Form S-8 (this “Registration Statement”) is being filed by Athira Pharma, Inc. (the “Registrant”) for the purpose of registering 1,868,953 shares of common stock of the Registrant under the Athira Pharma, Inc. 2020 Equity Incentive Plan (the “2020 Plan”) and 373,790 shares of common stock of the Registrant under the Athira Pharma, Inc. 2020 Employee Stock Purchase Plan (the “2020 ESPP”). Accordingly, contents of (i) the previous Registration Statement on Form S-8 filed by the Registrant with the Securities and Exchange Commission (the “Commission”) on September 18, 2020 (File No. 333-248910) and (ii) the previous Registration Statement on Form S-8 filed by the Registrant with the Commission on March 26, 2021 (File No. 333-254735) (together, the “Previous Forms S-8”), including the information incorporated by reference therein and the periodic reports filed after the Previous Forms S-8 to maintain current information about the Registrant, are incorporated by reference into this Registration Statement pursuant to General Instruction E of Form S-8 (the “Registration Statement”).</w:t>
      </w:r>
    </w:p>
    <w:p>
      <w:pPr>
        <w:spacing w:after="0" w:line="155"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PART II</w:t>
      </w:r>
    </w:p>
    <w:p>
      <w:pPr>
        <w:spacing w:after="0" w:line="209" w:lineRule="exact"/>
        <w:rPr>
          <w:sz w:val="20"/>
          <w:szCs w:val="20"/>
          <w:color w:val="auto"/>
        </w:rPr>
      </w:pPr>
    </w:p>
    <w:p>
      <w:pPr>
        <w:ind w:left="3282"/>
        <w:spacing w:after="0"/>
        <w:rPr>
          <w:sz w:val="20"/>
          <w:szCs w:val="20"/>
          <w:color w:val="auto"/>
        </w:rPr>
      </w:pPr>
      <w:r>
        <w:rPr>
          <w:rFonts w:ascii="Arial" w:cs="Arial" w:eastAsia="Arial" w:hAnsi="Arial"/>
          <w:sz w:val="16"/>
          <w:szCs w:val="16"/>
          <w:b w:val="1"/>
          <w:bCs w:val="1"/>
          <w:color w:val="auto"/>
        </w:rPr>
        <w:t>INFORMATION REQUIRED IN REGISTRATION STATEMENT</w:t>
      </w:r>
    </w:p>
    <w:p>
      <w:pPr>
        <w:spacing w:after="0" w:line="111" w:lineRule="exact"/>
        <w:rPr>
          <w:sz w:val="20"/>
          <w:szCs w:val="20"/>
          <w:color w:val="auto"/>
        </w:rPr>
      </w:pPr>
    </w:p>
    <w:p>
      <w:pPr>
        <w:ind w:left="2"/>
        <w:spacing w:after="0"/>
        <w:tabs>
          <w:tab w:leader="none" w:pos="1061"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Incorporation of Documents by Reference.</w:t>
      </w:r>
    </w:p>
    <w:p>
      <w:pPr>
        <w:spacing w:after="0" w:line="115"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Registrant hereby incorporates by reference into this Registration Statement the following documents previously filed with the Commission:</w:t>
      </w:r>
    </w:p>
    <w:p>
      <w:pPr>
        <w:spacing w:after="0" w:line="209" w:lineRule="exact"/>
        <w:rPr>
          <w:sz w:val="20"/>
          <w:szCs w:val="20"/>
          <w:color w:val="auto"/>
        </w:rPr>
      </w:pPr>
    </w:p>
    <w:p>
      <w:pPr>
        <w:ind w:left="2" w:right="200" w:hanging="2"/>
        <w:spacing w:after="0" w:line="287" w:lineRule="auto"/>
        <w:tabs>
          <w:tab w:leader="none" w:pos="234"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The Registrant’s Annual Report on Form 10-K for the fiscal year ended December 31, 2021, filed with the Commission on </w:t>
      </w:r>
      <w:hyperlink r:id="rId21">
        <w:r>
          <w:rPr>
            <w:rFonts w:ascii="Arial" w:cs="Arial" w:eastAsia="Arial" w:hAnsi="Arial"/>
            <w:sz w:val="16"/>
            <w:szCs w:val="16"/>
            <w:u w:val="single" w:color="auto"/>
            <w:color w:val="0000EE"/>
          </w:rPr>
          <w:t>March 28, 2022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pursuant to Section 13(a) under the Securities Exchange Act of 1934, as amended (the “Exchange Act”);</w:t>
      </w:r>
    </w:p>
    <w:p>
      <w:pPr>
        <w:spacing w:after="0" w:line="149" w:lineRule="exact"/>
        <w:rPr>
          <w:rFonts w:ascii="Arial" w:cs="Arial" w:eastAsia="Arial" w:hAnsi="Arial"/>
          <w:sz w:val="16"/>
          <w:szCs w:val="16"/>
          <w:color w:val="auto"/>
        </w:rPr>
      </w:pPr>
    </w:p>
    <w:p>
      <w:pPr>
        <w:ind w:left="2" w:right="240" w:hanging="2"/>
        <w:spacing w:after="0" w:line="287" w:lineRule="auto"/>
        <w:tabs>
          <w:tab w:leader="none" w:pos="234" w:val="left"/>
        </w:tabs>
        <w:numPr>
          <w:ilvl w:val="0"/>
          <w:numId w:val="1"/>
        </w:numPr>
        <w:rPr>
          <w:rFonts w:ascii="Arial" w:cs="Arial" w:eastAsia="Arial" w:hAnsi="Arial"/>
          <w:sz w:val="16"/>
          <w:szCs w:val="16"/>
          <w:color w:val="auto"/>
        </w:rPr>
      </w:pPr>
      <w:r>
        <w:rPr>
          <w:rFonts w:ascii="Arial" w:cs="Arial" w:eastAsia="Arial" w:hAnsi="Arial"/>
          <w:sz w:val="16"/>
          <w:szCs w:val="16"/>
          <w:color w:val="auto"/>
        </w:rPr>
        <w:t>All other reports filed with the Commission pursuant to Section 13(a) or 15(d) of the Exchange Act (other than the reports, or portions thereof, deemed to have been furnished and not filed with the Commission) since the end of the fiscal year covered by the Annual Report referred to in (1) above; and</w:t>
      </w:r>
    </w:p>
    <w:p>
      <w:pPr>
        <w:spacing w:after="0" w:line="149" w:lineRule="exact"/>
        <w:rPr>
          <w:rFonts w:ascii="Arial" w:cs="Arial" w:eastAsia="Arial" w:hAnsi="Arial"/>
          <w:sz w:val="16"/>
          <w:szCs w:val="16"/>
          <w:color w:val="auto"/>
        </w:rPr>
      </w:pPr>
    </w:p>
    <w:p>
      <w:pPr>
        <w:ind w:left="2" w:right="160" w:hanging="2"/>
        <w:spacing w:after="0" w:line="322" w:lineRule="auto"/>
        <w:tabs>
          <w:tab w:leader="none" w:pos="234" w:val="left"/>
        </w:tabs>
        <w:numPr>
          <w:ilvl w:val="0"/>
          <w:numId w:val="1"/>
        </w:numPr>
        <w:rPr>
          <w:rFonts w:ascii="Arial" w:cs="Arial" w:eastAsia="Arial" w:hAnsi="Arial"/>
          <w:sz w:val="15"/>
          <w:szCs w:val="15"/>
          <w:color w:val="auto"/>
        </w:rPr>
      </w:pPr>
      <w:r>
        <w:rPr>
          <w:rFonts w:ascii="Arial" w:cs="Arial" w:eastAsia="Arial" w:hAnsi="Arial"/>
          <w:sz w:val="15"/>
          <w:szCs w:val="15"/>
          <w:color w:val="auto"/>
        </w:rPr>
        <w:t xml:space="preserve">The description of the Registrant’s Common Stock contained in the Company’s Registration Statement on Form 8-A (File No. 001-39503) filed with the Commission on </w:t>
      </w:r>
      <w:hyperlink r:id="rId22">
        <w:r>
          <w:rPr>
            <w:rFonts w:ascii="Arial" w:cs="Arial" w:eastAsia="Arial" w:hAnsi="Arial"/>
            <w:sz w:val="15"/>
            <w:szCs w:val="15"/>
            <w:u w:val="single" w:color="auto"/>
            <w:color w:val="0000EE"/>
          </w:rPr>
          <w:t>September 9, 2020</w:t>
        </w:r>
      </w:hyperlink>
      <w:r>
        <w:rPr>
          <w:rFonts w:ascii="Arial" w:cs="Arial" w:eastAsia="Arial" w:hAnsi="Arial"/>
          <w:sz w:val="15"/>
          <w:szCs w:val="15"/>
          <w:color w:val="auto"/>
        </w:rPr>
        <w:t>, pursuant to Section 12(b) of the Exchange Act, including any amendment or report filed for the purpose of updating such description.</w:t>
      </w:r>
    </w:p>
    <w:p>
      <w:pPr>
        <w:spacing w:after="0" w:line="127" w:lineRule="exact"/>
        <w:rPr>
          <w:rFonts w:ascii="Arial" w:cs="Arial" w:eastAsia="Arial" w:hAnsi="Arial"/>
          <w:sz w:val="16"/>
          <w:szCs w:val="16"/>
          <w:color w:val="auto"/>
        </w:rPr>
      </w:pPr>
    </w:p>
    <w:p>
      <w:pPr>
        <w:ind w:left="2" w:right="100"/>
        <w:spacing w:after="0" w:line="280" w:lineRule="auto"/>
        <w:rPr>
          <w:sz w:val="20"/>
          <w:szCs w:val="20"/>
          <w:color w:val="auto"/>
        </w:rPr>
      </w:pPr>
      <w:r>
        <w:rPr>
          <w:rFonts w:ascii="Arial" w:cs="Arial" w:eastAsia="Arial" w:hAnsi="Arial"/>
          <w:sz w:val="15"/>
          <w:szCs w:val="15"/>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a part hereof from the date of filing of such documents;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documents or information deemed to have been furnished and not filed in accordance with the rules of the Commission shall not be deemed</w:t>
      </w:r>
      <w:r>
        <w:rPr>
          <w:rFonts w:ascii="Arial" w:cs="Arial" w:eastAsia="Arial" w:hAnsi="Arial"/>
          <w:sz w:val="15"/>
          <w:szCs w:val="15"/>
          <w:i w:val="1"/>
          <w:iCs w:val="1"/>
          <w:color w:val="auto"/>
        </w:rPr>
        <w:t xml:space="preserve"> </w:t>
      </w:r>
      <w:r>
        <w:rPr>
          <w:rFonts w:ascii="Arial" w:cs="Arial" w:eastAsia="Arial" w:hAnsi="Arial"/>
          <w:sz w:val="15"/>
          <w:szCs w:val="15"/>
          <w:color w:val="auto"/>
        </w:rPr>
        <w:t>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-12065</wp:posOffset>
            </wp:positionH>
            <wp:positionV relativeFrom="paragraph">
              <wp:posOffset>283210</wp:posOffset>
            </wp:positionV>
            <wp:extent cx="718566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85660" cy="41275"/>
                    </a:xfrm>
                    <a:prstGeom prst="rect">
                      <a:avLst/>
                    </a:prstGeom>
                    <a:noFill/>
                  </pic:spPr>
                </pic:pic>
              </a:graphicData>
            </a:graphic>
          </wp:anchor>
        </w:drawing>
      </w:r>
    </w:p>
    <w:p>
      <w:pPr>
        <w:sectPr>
          <w:pgSz w:w="11900" w:h="16838" w:orient="portrait"/>
          <w:cols w:equalWidth="0" w:num="1">
            <w:col w:w="11242"/>
          </w:cols>
          <w:pgMar w:left="318" w:top="32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2"/>
        </w:trPr>
        <w:tc>
          <w:tcPr>
            <w:tcW w:w="880" w:type="dxa"/>
            <w:vAlign w:val="bottom"/>
          </w:tcPr>
          <w:p>
            <w:pPr>
              <w:spacing w:after="0"/>
              <w:rPr>
                <w:sz w:val="20"/>
                <w:szCs w:val="20"/>
                <w:color w:val="auto"/>
              </w:rPr>
            </w:pPr>
            <w:r>
              <w:rPr>
                <w:rFonts w:ascii="Arial" w:cs="Arial" w:eastAsia="Arial" w:hAnsi="Arial"/>
                <w:sz w:val="16"/>
                <w:szCs w:val="16"/>
                <w:b w:val="1"/>
                <w:bCs w:val="1"/>
                <w:color w:val="auto"/>
              </w:rPr>
              <w:t>Item 8.</w:t>
            </w:r>
          </w:p>
        </w:tc>
        <w:tc>
          <w:tcPr>
            <w:tcW w:w="4100" w:type="dxa"/>
            <w:vAlign w:val="bottom"/>
            <w:gridSpan w:val="17"/>
          </w:tcPr>
          <w:p>
            <w:pPr>
              <w:ind w:left="200"/>
              <w:spacing w:after="0"/>
              <w:rPr>
                <w:sz w:val="20"/>
                <w:szCs w:val="20"/>
                <w:color w:val="auto"/>
              </w:rPr>
            </w:pPr>
            <w:r>
              <w:rPr>
                <w:rFonts w:ascii="Arial" w:cs="Arial" w:eastAsia="Arial" w:hAnsi="Arial"/>
                <w:sz w:val="16"/>
                <w:szCs w:val="16"/>
                <w:b w:val="1"/>
                <w:bCs w:val="1"/>
                <w:color w:val="auto"/>
              </w:rPr>
              <w:t>Exhibits.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880" w:type="dxa"/>
            <w:vAlign w:val="bottom"/>
          </w:tcPr>
          <w:p>
            <w:pPr>
              <w:spacing w:after="0"/>
              <w:rPr>
                <w:sz w:val="20"/>
                <w:szCs w:val="20"/>
                <w:color w:val="auto"/>
              </w:rPr>
            </w:pPr>
            <w:r>
              <w:rPr>
                <w:rFonts w:ascii="Arial" w:cs="Arial" w:eastAsia="Arial" w:hAnsi="Arial"/>
                <w:sz w:val="13"/>
                <w:szCs w:val="13"/>
                <w:b w:val="1"/>
                <w:bCs w:val="1"/>
                <w:color w:val="auto"/>
              </w:rPr>
              <w:t>Exhibit</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60" w:type="dxa"/>
            <w:vAlign w:val="bottom"/>
            <w:gridSpan w:val="12"/>
            <w:vMerge w:val="restart"/>
          </w:tcPr>
          <w:p>
            <w:pPr>
              <w:ind w:left="20"/>
              <w:spacing w:after="0"/>
              <w:rPr>
                <w:sz w:val="20"/>
                <w:szCs w:val="20"/>
                <w:color w:val="auto"/>
              </w:rPr>
            </w:pPr>
            <w:r>
              <w:rPr>
                <w:rFonts w:ascii="Arial" w:cs="Arial" w:eastAsia="Arial" w:hAnsi="Arial"/>
                <w:sz w:val="13"/>
                <w:szCs w:val="13"/>
                <w:b w:val="1"/>
                <w:bCs w:val="1"/>
                <w:color w:val="auto"/>
              </w:rPr>
              <w:t>Exhibit Description</w:t>
            </w:r>
          </w:p>
        </w:tc>
        <w:tc>
          <w:tcPr>
            <w:tcW w:w="120" w:type="dxa"/>
            <w:vAlign w:val="bottom"/>
            <w:vMerge w:val="restart"/>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2"/>
          </w:tcPr>
          <w:p>
            <w:pPr>
              <w:jc w:val="center"/>
              <w:ind w:left="544"/>
              <w:spacing w:after="0"/>
              <w:rPr>
                <w:sz w:val="20"/>
                <w:szCs w:val="20"/>
                <w:color w:val="auto"/>
              </w:rPr>
            </w:pPr>
            <w:r>
              <w:rPr>
                <w:rFonts w:ascii="Arial" w:cs="Arial" w:eastAsia="Arial" w:hAnsi="Arial"/>
                <w:sz w:val="13"/>
                <w:szCs w:val="13"/>
                <w:b w:val="1"/>
                <w:bCs w:val="1"/>
                <w:color w:val="auto"/>
                <w:w w:val="93"/>
              </w:rPr>
              <w:t>Incorporated by</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3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1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Form</w:t>
            </w:r>
          </w:p>
        </w:tc>
        <w:tc>
          <w:tcPr>
            <w:tcW w:w="180" w:type="dxa"/>
            <w:vAlign w:val="bottom"/>
          </w:tcPr>
          <w:p>
            <w:pPr>
              <w:spacing w:after="0"/>
              <w:rPr>
                <w:sz w:val="13"/>
                <w:szCs w:val="13"/>
                <w:color w:val="auto"/>
              </w:rPr>
            </w:pPr>
          </w:p>
        </w:tc>
        <w:tc>
          <w:tcPr>
            <w:tcW w:w="2100" w:type="dxa"/>
            <w:vAlign w:val="bottom"/>
            <w:tcBorders>
              <w:bottom w:val="single" w:sz="8" w:color="auto"/>
            </w:tcBorders>
            <w:gridSpan w:val="2"/>
          </w:tcPr>
          <w:p>
            <w:pPr>
              <w:jc w:val="center"/>
              <w:ind w:left="544"/>
              <w:spacing w:after="0"/>
              <w:rPr>
                <w:sz w:val="20"/>
                <w:szCs w:val="20"/>
                <w:color w:val="auto"/>
              </w:rPr>
            </w:pPr>
            <w:r>
              <w:rPr>
                <w:rFonts w:ascii="Arial" w:cs="Arial" w:eastAsia="Arial" w:hAnsi="Arial"/>
                <w:sz w:val="13"/>
                <w:szCs w:val="13"/>
                <w:b w:val="1"/>
                <w:bCs w:val="1"/>
                <w:color w:val="auto"/>
                <w:w w:val="89"/>
              </w:rPr>
              <w:t>Reference</w:t>
            </w: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127"/>
        </w:trPr>
        <w:tc>
          <w:tcPr>
            <w:tcW w:w="880" w:type="dxa"/>
            <w:vAlign w:val="bottom"/>
            <w:vMerge w:val="restart"/>
          </w:tcPr>
          <w:p>
            <w:pPr>
              <w:spacing w:after="0"/>
              <w:rPr>
                <w:sz w:val="20"/>
                <w:szCs w:val="20"/>
                <w:color w:val="auto"/>
              </w:rPr>
            </w:pPr>
            <w:r>
              <w:rPr>
                <w:rFonts w:ascii="Arial" w:cs="Arial" w:eastAsia="Arial" w:hAnsi="Arial"/>
                <w:sz w:val="16"/>
                <w:szCs w:val="16"/>
                <w:color w:val="auto"/>
              </w:rPr>
              <w:t>4.1</w:t>
            </w:r>
          </w:p>
        </w:tc>
        <w:tc>
          <w:tcPr>
            <w:tcW w:w="3480" w:type="dxa"/>
            <w:vAlign w:val="bottom"/>
            <w:gridSpan w:val="9"/>
            <w:vMerge w:val="restart"/>
          </w:tcPr>
          <w:p>
            <w:pPr>
              <w:spacing w:after="0"/>
              <w:rPr>
                <w:rFonts w:ascii="Arial" w:cs="Arial" w:eastAsia="Arial" w:hAnsi="Arial"/>
                <w:sz w:val="16"/>
                <w:szCs w:val="16"/>
                <w:color w:val="0000EE"/>
                <w:w w:val="92"/>
              </w:rPr>
            </w:pPr>
            <w:hyperlink r:id="rId24">
              <w:r>
                <w:rPr>
                  <w:rFonts w:ascii="Arial" w:cs="Arial" w:eastAsia="Arial" w:hAnsi="Arial"/>
                  <w:sz w:val="16"/>
                  <w:szCs w:val="16"/>
                  <w:color w:val="0000EE"/>
                  <w:w w:val="92"/>
                </w:rPr>
                <w:t>Specimen common stock certificate of the Registrant</w:t>
              </w:r>
            </w:hyperlink>
          </w:p>
        </w:tc>
        <w:tc>
          <w:tcPr>
            <w:tcW w:w="620" w:type="dxa"/>
            <w:vAlign w:val="bottom"/>
            <w:gridSpan w:val="8"/>
            <w:vMerge w:val="restart"/>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6"/>
                <w:szCs w:val="16"/>
                <w:color w:val="auto"/>
              </w:rPr>
              <w:t>S-1/A</w:t>
            </w:r>
          </w:p>
        </w:tc>
        <w:tc>
          <w:tcPr>
            <w:tcW w:w="2100" w:type="dxa"/>
            <w:vAlign w:val="bottom"/>
            <w:gridSpan w:val="2"/>
          </w:tcPr>
          <w:p>
            <w:pPr>
              <w:ind w:left="740"/>
              <w:spacing w:after="0" w:line="128" w:lineRule="exact"/>
              <w:rPr>
                <w:sz w:val="20"/>
                <w:szCs w:val="20"/>
                <w:color w:val="auto"/>
              </w:rPr>
            </w:pPr>
            <w:r>
              <w:rPr>
                <w:rFonts w:ascii="Arial" w:cs="Arial" w:eastAsia="Arial" w:hAnsi="Arial"/>
                <w:sz w:val="13"/>
                <w:szCs w:val="13"/>
                <w:b w:val="1"/>
                <w:bCs w:val="1"/>
                <w:color w:val="auto"/>
              </w:rPr>
              <w:t>File No.</w:t>
            </w:r>
          </w:p>
        </w:tc>
        <w:tc>
          <w:tcPr>
            <w:tcW w:w="640" w:type="dxa"/>
            <w:vAlign w:val="bottom"/>
          </w:tcPr>
          <w:p>
            <w:pPr>
              <w:ind w:left="100"/>
              <w:spacing w:after="0" w:line="128" w:lineRule="exact"/>
              <w:rPr>
                <w:sz w:val="20"/>
                <w:szCs w:val="20"/>
                <w:color w:val="auto"/>
              </w:rPr>
            </w:pPr>
            <w:r>
              <w:rPr>
                <w:rFonts w:ascii="Arial" w:cs="Arial" w:eastAsia="Arial" w:hAnsi="Arial"/>
                <w:sz w:val="13"/>
                <w:szCs w:val="13"/>
                <w:b w:val="1"/>
                <w:bCs w:val="1"/>
                <w:color w:val="auto"/>
              </w:rPr>
              <w:t>Exhibit</w:t>
            </w:r>
          </w:p>
        </w:tc>
        <w:tc>
          <w:tcPr>
            <w:tcW w:w="180" w:type="dxa"/>
            <w:vAlign w:val="bottom"/>
          </w:tcPr>
          <w:p>
            <w:pPr>
              <w:spacing w:after="0"/>
              <w:rPr>
                <w:sz w:val="11"/>
                <w:szCs w:val="11"/>
                <w:color w:val="auto"/>
              </w:rPr>
            </w:pPr>
          </w:p>
        </w:tc>
        <w:tc>
          <w:tcPr>
            <w:tcW w:w="2480" w:type="dxa"/>
            <w:vAlign w:val="bottom"/>
            <w:vMerge w:val="restart"/>
          </w:tcPr>
          <w:p>
            <w:pPr>
              <w:ind w:left="60"/>
              <w:spacing w:after="0"/>
              <w:rPr>
                <w:sz w:val="20"/>
                <w:szCs w:val="20"/>
                <w:color w:val="auto"/>
              </w:rPr>
            </w:pPr>
            <w:r>
              <w:rPr>
                <w:rFonts w:ascii="Arial" w:cs="Arial" w:eastAsia="Arial" w:hAnsi="Arial"/>
                <w:sz w:val="16"/>
                <w:szCs w:val="16"/>
                <w:color w:val="auto"/>
              </w:rPr>
              <w:t>September 14, 2020</w:t>
            </w:r>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3480" w:type="dxa"/>
            <w:vAlign w:val="bottom"/>
            <w:tcBorders>
              <w:bottom w:val="single" w:sz="8" w:color="0000EE"/>
            </w:tcBorders>
            <w:gridSpan w:val="9"/>
            <w:vMerge w:val="continue"/>
          </w:tcPr>
          <w:p>
            <w:pPr>
              <w:spacing w:after="0"/>
              <w:rPr>
                <w:sz w:val="14"/>
                <w:szCs w:val="14"/>
                <w:color w:val="auto"/>
              </w:rPr>
            </w:pPr>
          </w:p>
        </w:tc>
        <w:tc>
          <w:tcPr>
            <w:tcW w:w="620" w:type="dxa"/>
            <w:vAlign w:val="bottom"/>
            <w:gridSpan w:val="8"/>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920" w:type="dxa"/>
            <w:vAlign w:val="bottom"/>
            <w:tcBorders>
              <w:top w:val="single" w:sz="8" w:color="auto"/>
            </w:tcBorders>
          </w:tcPr>
          <w:p>
            <w:pPr>
              <w:jc w:val="right"/>
              <w:ind w:right="1004"/>
              <w:spacing w:after="0" w:line="165" w:lineRule="exact"/>
              <w:rPr>
                <w:sz w:val="20"/>
                <w:szCs w:val="20"/>
                <w:color w:val="auto"/>
              </w:rPr>
            </w:pPr>
            <w:r>
              <w:rPr>
                <w:rFonts w:ascii="Arial" w:cs="Arial" w:eastAsia="Arial" w:hAnsi="Arial"/>
                <w:sz w:val="16"/>
                <w:szCs w:val="16"/>
                <w:color w:val="auto"/>
                <w:w w:val="95"/>
              </w:rPr>
              <w:t>333-248428</w:t>
            </w:r>
          </w:p>
        </w:tc>
        <w:tc>
          <w:tcPr>
            <w:tcW w:w="180" w:type="dxa"/>
            <w:vAlign w:val="bottom"/>
          </w:tcPr>
          <w:p>
            <w:pPr>
              <w:spacing w:after="0"/>
              <w:rPr>
                <w:sz w:val="14"/>
                <w:szCs w:val="14"/>
                <w:color w:val="auto"/>
              </w:rPr>
            </w:pPr>
          </w:p>
        </w:tc>
        <w:tc>
          <w:tcPr>
            <w:tcW w:w="640" w:type="dxa"/>
            <w:vAlign w:val="bottom"/>
            <w:tcBorders>
              <w:top w:val="single" w:sz="8" w:color="auto"/>
            </w:tcBorders>
          </w:tcPr>
          <w:p>
            <w:pPr>
              <w:ind w:left="40"/>
              <w:spacing w:after="0" w:line="165" w:lineRule="exact"/>
              <w:rPr>
                <w:sz w:val="20"/>
                <w:szCs w:val="20"/>
                <w:color w:val="auto"/>
              </w:rPr>
            </w:pPr>
            <w:r>
              <w:rPr>
                <w:rFonts w:ascii="Arial" w:cs="Arial" w:eastAsia="Arial" w:hAnsi="Arial"/>
                <w:sz w:val="16"/>
                <w:szCs w:val="16"/>
                <w:color w:val="auto"/>
              </w:rPr>
              <w:t>4.1</w:t>
            </w:r>
          </w:p>
        </w:tc>
        <w:tc>
          <w:tcPr>
            <w:tcW w:w="18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880" w:type="dxa"/>
            <w:vAlign w:val="bottom"/>
          </w:tcPr>
          <w:p>
            <w:pPr>
              <w:spacing w:after="0"/>
              <w:rPr>
                <w:sz w:val="20"/>
                <w:szCs w:val="20"/>
                <w:color w:val="auto"/>
              </w:rPr>
            </w:pPr>
            <w:r>
              <w:rPr>
                <w:rFonts w:ascii="Arial" w:cs="Arial" w:eastAsia="Arial" w:hAnsi="Arial"/>
                <w:sz w:val="16"/>
                <w:szCs w:val="16"/>
                <w:color w:val="auto"/>
              </w:rPr>
              <w:t>4.2</w:t>
            </w:r>
          </w:p>
        </w:tc>
        <w:tc>
          <w:tcPr>
            <w:tcW w:w="1840" w:type="dxa"/>
            <w:vAlign w:val="bottom"/>
            <w:tcBorders>
              <w:bottom w:val="single" w:sz="8" w:color="0000EE"/>
            </w:tcBorders>
            <w:gridSpan w:val="5"/>
          </w:tcPr>
          <w:p>
            <w:pPr>
              <w:spacing w:after="0"/>
              <w:rPr>
                <w:rFonts w:ascii="Arial" w:cs="Arial" w:eastAsia="Arial" w:hAnsi="Arial"/>
                <w:sz w:val="16"/>
                <w:szCs w:val="16"/>
                <w:color w:val="0000EE"/>
                <w:w w:val="93"/>
              </w:rPr>
            </w:pPr>
            <w:hyperlink r:id="rId25">
              <w:r>
                <w:rPr>
                  <w:rFonts w:ascii="Arial" w:cs="Arial" w:eastAsia="Arial" w:hAnsi="Arial"/>
                  <w:sz w:val="16"/>
                  <w:szCs w:val="16"/>
                  <w:color w:val="0000EE"/>
                  <w:w w:val="93"/>
                </w:rPr>
                <w:t>2020 Equity Incentive Plan.</w:t>
              </w:r>
            </w:hyperlink>
          </w:p>
        </w:tc>
        <w:tc>
          <w:tcPr>
            <w:tcW w:w="2260" w:type="dxa"/>
            <w:vAlign w:val="bottom"/>
            <w:gridSpan w:val="12"/>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Arial" w:cs="Arial" w:eastAsia="Arial" w:hAnsi="Arial"/>
                <w:sz w:val="16"/>
                <w:szCs w:val="16"/>
                <w:color w:val="auto"/>
              </w:rPr>
              <w:t>S-1/A</w:t>
            </w:r>
          </w:p>
        </w:tc>
        <w:tc>
          <w:tcPr>
            <w:tcW w:w="1920" w:type="dxa"/>
            <w:vAlign w:val="bottom"/>
          </w:tcPr>
          <w:p>
            <w:pPr>
              <w:jc w:val="right"/>
              <w:ind w:right="1004"/>
              <w:spacing w:after="0"/>
              <w:rPr>
                <w:sz w:val="20"/>
                <w:szCs w:val="20"/>
                <w:color w:val="auto"/>
              </w:rPr>
            </w:pPr>
            <w:r>
              <w:rPr>
                <w:rFonts w:ascii="Arial" w:cs="Arial" w:eastAsia="Arial" w:hAnsi="Arial"/>
                <w:sz w:val="16"/>
                <w:szCs w:val="16"/>
                <w:color w:val="auto"/>
                <w:w w:val="95"/>
              </w:rPr>
              <w:t>333-248428</w:t>
            </w:r>
          </w:p>
        </w:tc>
        <w:tc>
          <w:tcPr>
            <w:tcW w:w="180" w:type="dxa"/>
            <w:vAlign w:val="bottom"/>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6"/>
                <w:szCs w:val="16"/>
                <w:color w:val="auto"/>
              </w:rPr>
              <w:t>10.5</w:t>
            </w:r>
          </w:p>
        </w:tc>
        <w:tc>
          <w:tcPr>
            <w:tcW w:w="180" w:type="dxa"/>
            <w:vAlign w:val="bottom"/>
          </w:tcPr>
          <w:p>
            <w:pPr>
              <w:spacing w:after="0"/>
              <w:rPr>
                <w:sz w:val="24"/>
                <w:szCs w:val="24"/>
                <w:color w:val="auto"/>
              </w:rPr>
            </w:pPr>
          </w:p>
        </w:tc>
        <w:tc>
          <w:tcPr>
            <w:tcW w:w="2480" w:type="dxa"/>
            <w:vAlign w:val="bottom"/>
          </w:tcPr>
          <w:p>
            <w:pPr>
              <w:ind w:left="60"/>
              <w:spacing w:after="0"/>
              <w:rPr>
                <w:sz w:val="20"/>
                <w:szCs w:val="20"/>
                <w:color w:val="auto"/>
              </w:rPr>
            </w:pPr>
            <w:r>
              <w:rPr>
                <w:rFonts w:ascii="Arial" w:cs="Arial" w:eastAsia="Arial" w:hAnsi="Arial"/>
                <w:sz w:val="16"/>
                <w:szCs w:val="16"/>
                <w:color w:val="auto"/>
              </w:rPr>
              <w:t>September 8, 2020</w:t>
            </w:r>
          </w:p>
        </w:tc>
        <w:tc>
          <w:tcPr>
            <w:tcW w:w="0" w:type="dxa"/>
            <w:vAlign w:val="bottom"/>
          </w:tcPr>
          <w:p>
            <w:pPr>
              <w:spacing w:after="0"/>
              <w:rPr>
                <w:sz w:val="1"/>
                <w:szCs w:val="1"/>
                <w:color w:val="auto"/>
              </w:rPr>
            </w:pPr>
          </w:p>
        </w:tc>
      </w:tr>
      <w:tr>
        <w:trPr>
          <w:trHeight w:val="287"/>
        </w:trPr>
        <w:tc>
          <w:tcPr>
            <w:tcW w:w="880" w:type="dxa"/>
            <w:vAlign w:val="bottom"/>
          </w:tcPr>
          <w:p>
            <w:pPr>
              <w:spacing w:after="0"/>
              <w:rPr>
                <w:sz w:val="20"/>
                <w:szCs w:val="20"/>
                <w:color w:val="auto"/>
              </w:rPr>
            </w:pPr>
            <w:r>
              <w:rPr>
                <w:rFonts w:ascii="Arial" w:cs="Arial" w:eastAsia="Arial" w:hAnsi="Arial"/>
                <w:sz w:val="16"/>
                <w:szCs w:val="16"/>
                <w:color w:val="auto"/>
              </w:rPr>
              <w:t>4.3</w:t>
            </w:r>
          </w:p>
        </w:tc>
        <w:tc>
          <w:tcPr>
            <w:tcW w:w="3720" w:type="dxa"/>
            <w:vAlign w:val="bottom"/>
            <w:tcBorders>
              <w:bottom w:val="single" w:sz="8" w:color="0000EE"/>
            </w:tcBorders>
            <w:gridSpan w:val="11"/>
          </w:tcPr>
          <w:p>
            <w:pPr>
              <w:spacing w:after="0"/>
              <w:rPr>
                <w:rFonts w:ascii="Arial" w:cs="Arial" w:eastAsia="Arial" w:hAnsi="Arial"/>
                <w:sz w:val="16"/>
                <w:szCs w:val="16"/>
                <w:color w:val="0000EE"/>
                <w:w w:val="93"/>
              </w:rPr>
            </w:pPr>
            <w:hyperlink r:id="rId26">
              <w:r>
                <w:rPr>
                  <w:rFonts w:ascii="Arial" w:cs="Arial" w:eastAsia="Arial" w:hAnsi="Arial"/>
                  <w:sz w:val="16"/>
                  <w:szCs w:val="16"/>
                  <w:color w:val="0000EE"/>
                  <w:w w:val="93"/>
                </w:rPr>
                <w:t>Form of Stock Option Agreement under the 2020 Equity</w:t>
              </w:r>
            </w:hyperlink>
          </w:p>
        </w:tc>
        <w:tc>
          <w:tcPr>
            <w:tcW w:w="380" w:type="dxa"/>
            <w:vAlign w:val="bottom"/>
            <w:gridSpan w:val="6"/>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80" w:type="dxa"/>
            <w:vAlign w:val="bottom"/>
          </w:tcPr>
          <w:p>
            <w:pPr>
              <w:spacing w:after="0"/>
              <w:rPr>
                <w:sz w:val="15"/>
                <w:szCs w:val="15"/>
                <w:color w:val="auto"/>
              </w:rPr>
            </w:pPr>
          </w:p>
        </w:tc>
        <w:tc>
          <w:tcPr>
            <w:tcW w:w="4100" w:type="dxa"/>
            <w:vAlign w:val="bottom"/>
            <w:gridSpan w:val="17"/>
          </w:tcPr>
          <w:p>
            <w:pPr>
              <w:spacing w:after="0" w:line="177" w:lineRule="exact"/>
              <w:rPr>
                <w:rFonts w:ascii="Arial" w:cs="Arial" w:eastAsia="Arial" w:hAnsi="Arial"/>
                <w:sz w:val="16"/>
                <w:szCs w:val="16"/>
                <w:color w:val="0000EE"/>
              </w:rPr>
            </w:pPr>
            <w:hyperlink r:id="rId26">
              <w:r>
                <w:rPr>
                  <w:rFonts w:ascii="Arial" w:cs="Arial" w:eastAsia="Arial" w:hAnsi="Arial"/>
                  <w:sz w:val="16"/>
                  <w:szCs w:val="16"/>
                  <w:color w:val="0000EE"/>
                </w:rPr>
                <w:t>Incentive Plan</w:t>
              </w:r>
            </w:hyperlink>
          </w:p>
        </w:tc>
        <w:tc>
          <w:tcPr>
            <w:tcW w:w="820" w:type="dxa"/>
            <w:vAlign w:val="bottom"/>
            <w:gridSpan w:val="2"/>
          </w:tcPr>
          <w:p>
            <w:pPr>
              <w:ind w:left="60"/>
              <w:spacing w:after="0" w:line="177" w:lineRule="exact"/>
              <w:rPr>
                <w:sz w:val="20"/>
                <w:szCs w:val="20"/>
                <w:color w:val="auto"/>
              </w:rPr>
            </w:pPr>
            <w:r>
              <w:rPr>
                <w:rFonts w:ascii="Arial" w:cs="Arial" w:eastAsia="Arial" w:hAnsi="Arial"/>
                <w:sz w:val="16"/>
                <w:szCs w:val="16"/>
                <w:color w:val="auto"/>
              </w:rPr>
              <w:t>S-1/A</w:t>
            </w:r>
          </w:p>
        </w:tc>
        <w:tc>
          <w:tcPr>
            <w:tcW w:w="1920" w:type="dxa"/>
            <w:vAlign w:val="bottom"/>
          </w:tcPr>
          <w:p>
            <w:pPr>
              <w:jc w:val="right"/>
              <w:ind w:right="1004"/>
              <w:spacing w:after="0" w:line="177" w:lineRule="exact"/>
              <w:rPr>
                <w:sz w:val="20"/>
                <w:szCs w:val="20"/>
                <w:color w:val="auto"/>
              </w:rPr>
            </w:pPr>
            <w:r>
              <w:rPr>
                <w:rFonts w:ascii="Arial" w:cs="Arial" w:eastAsia="Arial" w:hAnsi="Arial"/>
                <w:sz w:val="16"/>
                <w:szCs w:val="16"/>
                <w:color w:val="auto"/>
                <w:w w:val="95"/>
              </w:rPr>
              <w:t>333-248428</w:t>
            </w:r>
          </w:p>
        </w:tc>
        <w:tc>
          <w:tcPr>
            <w:tcW w:w="180" w:type="dxa"/>
            <w:vAlign w:val="bottom"/>
          </w:tcPr>
          <w:p>
            <w:pPr>
              <w:spacing w:after="0"/>
              <w:rPr>
                <w:sz w:val="15"/>
                <w:szCs w:val="15"/>
                <w:color w:val="auto"/>
              </w:rPr>
            </w:pPr>
          </w:p>
        </w:tc>
        <w:tc>
          <w:tcPr>
            <w:tcW w:w="640" w:type="dxa"/>
            <w:vAlign w:val="bottom"/>
          </w:tcPr>
          <w:p>
            <w:pPr>
              <w:ind w:left="40"/>
              <w:spacing w:after="0" w:line="177" w:lineRule="exact"/>
              <w:rPr>
                <w:sz w:val="20"/>
                <w:szCs w:val="20"/>
                <w:color w:val="auto"/>
              </w:rPr>
            </w:pPr>
            <w:r>
              <w:rPr>
                <w:rFonts w:ascii="Arial" w:cs="Arial" w:eastAsia="Arial" w:hAnsi="Arial"/>
                <w:sz w:val="16"/>
                <w:szCs w:val="16"/>
                <w:color w:val="auto"/>
              </w:rPr>
              <w:t>10.6</w:t>
            </w:r>
          </w:p>
        </w:tc>
        <w:tc>
          <w:tcPr>
            <w:tcW w:w="180" w:type="dxa"/>
            <w:vAlign w:val="bottom"/>
          </w:tcPr>
          <w:p>
            <w:pPr>
              <w:spacing w:after="0"/>
              <w:rPr>
                <w:sz w:val="15"/>
                <w:szCs w:val="15"/>
                <w:color w:val="auto"/>
              </w:rPr>
            </w:pPr>
          </w:p>
        </w:tc>
        <w:tc>
          <w:tcPr>
            <w:tcW w:w="2480" w:type="dxa"/>
            <w:vAlign w:val="bottom"/>
          </w:tcPr>
          <w:p>
            <w:pPr>
              <w:ind w:left="60"/>
              <w:spacing w:after="0" w:line="177" w:lineRule="exact"/>
              <w:rPr>
                <w:sz w:val="20"/>
                <w:szCs w:val="20"/>
                <w:color w:val="auto"/>
              </w:rPr>
            </w:pPr>
            <w:r>
              <w:rPr>
                <w:rFonts w:ascii="Arial" w:cs="Arial" w:eastAsia="Arial" w:hAnsi="Arial"/>
                <w:sz w:val="16"/>
                <w:szCs w:val="16"/>
                <w:color w:val="auto"/>
              </w:rPr>
              <w:t>September 8, 2020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80" w:type="dxa"/>
            <w:vAlign w:val="bottom"/>
          </w:tcPr>
          <w:p>
            <w:pPr>
              <w:spacing w:after="0"/>
              <w:rPr>
                <w:sz w:val="20"/>
                <w:szCs w:val="20"/>
                <w:color w:val="auto"/>
              </w:rPr>
            </w:pPr>
            <w:r>
              <w:rPr>
                <w:rFonts w:ascii="Arial" w:cs="Arial" w:eastAsia="Arial" w:hAnsi="Arial"/>
                <w:sz w:val="16"/>
                <w:szCs w:val="16"/>
                <w:color w:val="auto"/>
              </w:rPr>
              <w:t>4.4</w:t>
            </w:r>
          </w:p>
        </w:tc>
        <w:tc>
          <w:tcPr>
            <w:tcW w:w="3920" w:type="dxa"/>
            <w:vAlign w:val="bottom"/>
            <w:tcBorders>
              <w:bottom w:val="single" w:sz="8" w:color="0000EE"/>
            </w:tcBorders>
            <w:gridSpan w:val="13"/>
          </w:tcPr>
          <w:p>
            <w:pPr>
              <w:spacing w:after="0"/>
              <w:rPr>
                <w:rFonts w:ascii="Arial" w:cs="Arial" w:eastAsia="Arial" w:hAnsi="Arial"/>
                <w:sz w:val="16"/>
                <w:szCs w:val="16"/>
                <w:color w:val="0000EE"/>
                <w:w w:val="92"/>
              </w:rPr>
            </w:pPr>
            <w:hyperlink r:id="rId27">
              <w:r>
                <w:rPr>
                  <w:rFonts w:ascii="Arial" w:cs="Arial" w:eastAsia="Arial" w:hAnsi="Arial"/>
                  <w:sz w:val="16"/>
                  <w:szCs w:val="16"/>
                  <w:color w:val="0000EE"/>
                  <w:w w:val="92"/>
                </w:rPr>
                <w:t>Form of Restricted Stock Award Agreement under the 2020</w:t>
              </w:r>
            </w:hyperlink>
          </w:p>
        </w:tc>
        <w:tc>
          <w:tcPr>
            <w:tcW w:w="18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80" w:type="dxa"/>
            <w:vAlign w:val="bottom"/>
          </w:tcPr>
          <w:p>
            <w:pPr>
              <w:spacing w:after="0"/>
              <w:rPr>
                <w:sz w:val="15"/>
                <w:szCs w:val="15"/>
                <w:color w:val="auto"/>
              </w:rPr>
            </w:pPr>
          </w:p>
        </w:tc>
        <w:tc>
          <w:tcPr>
            <w:tcW w:w="4100" w:type="dxa"/>
            <w:vAlign w:val="bottom"/>
            <w:gridSpan w:val="17"/>
          </w:tcPr>
          <w:p>
            <w:pPr>
              <w:spacing w:after="0" w:line="177" w:lineRule="exact"/>
              <w:rPr>
                <w:rFonts w:ascii="Arial" w:cs="Arial" w:eastAsia="Arial" w:hAnsi="Arial"/>
                <w:sz w:val="16"/>
                <w:szCs w:val="16"/>
                <w:color w:val="0000EE"/>
              </w:rPr>
            </w:pPr>
            <w:hyperlink r:id="rId27">
              <w:r>
                <w:rPr>
                  <w:rFonts w:ascii="Arial" w:cs="Arial" w:eastAsia="Arial" w:hAnsi="Arial"/>
                  <w:sz w:val="16"/>
                  <w:szCs w:val="16"/>
                  <w:color w:val="0000EE"/>
                </w:rPr>
                <w:t>Equity Incentive Plan</w:t>
              </w:r>
            </w:hyperlink>
          </w:p>
        </w:tc>
        <w:tc>
          <w:tcPr>
            <w:tcW w:w="820" w:type="dxa"/>
            <w:vAlign w:val="bottom"/>
            <w:gridSpan w:val="2"/>
          </w:tcPr>
          <w:p>
            <w:pPr>
              <w:ind w:left="60"/>
              <w:spacing w:after="0" w:line="177" w:lineRule="exact"/>
              <w:rPr>
                <w:sz w:val="20"/>
                <w:szCs w:val="20"/>
                <w:color w:val="auto"/>
              </w:rPr>
            </w:pPr>
            <w:r>
              <w:rPr>
                <w:rFonts w:ascii="Arial" w:cs="Arial" w:eastAsia="Arial" w:hAnsi="Arial"/>
                <w:sz w:val="16"/>
                <w:szCs w:val="16"/>
                <w:color w:val="auto"/>
              </w:rPr>
              <w:t>S-1/A</w:t>
            </w:r>
          </w:p>
        </w:tc>
        <w:tc>
          <w:tcPr>
            <w:tcW w:w="1920" w:type="dxa"/>
            <w:vAlign w:val="bottom"/>
          </w:tcPr>
          <w:p>
            <w:pPr>
              <w:jc w:val="right"/>
              <w:ind w:right="1004"/>
              <w:spacing w:after="0" w:line="177" w:lineRule="exact"/>
              <w:rPr>
                <w:sz w:val="20"/>
                <w:szCs w:val="20"/>
                <w:color w:val="auto"/>
              </w:rPr>
            </w:pPr>
            <w:r>
              <w:rPr>
                <w:rFonts w:ascii="Arial" w:cs="Arial" w:eastAsia="Arial" w:hAnsi="Arial"/>
                <w:sz w:val="16"/>
                <w:szCs w:val="16"/>
                <w:color w:val="auto"/>
                <w:w w:val="95"/>
              </w:rPr>
              <w:t>333-248428</w:t>
            </w:r>
          </w:p>
        </w:tc>
        <w:tc>
          <w:tcPr>
            <w:tcW w:w="180" w:type="dxa"/>
            <w:vAlign w:val="bottom"/>
          </w:tcPr>
          <w:p>
            <w:pPr>
              <w:spacing w:after="0"/>
              <w:rPr>
                <w:sz w:val="15"/>
                <w:szCs w:val="15"/>
                <w:color w:val="auto"/>
              </w:rPr>
            </w:pPr>
          </w:p>
        </w:tc>
        <w:tc>
          <w:tcPr>
            <w:tcW w:w="640" w:type="dxa"/>
            <w:vAlign w:val="bottom"/>
          </w:tcPr>
          <w:p>
            <w:pPr>
              <w:ind w:left="40"/>
              <w:spacing w:after="0" w:line="177" w:lineRule="exact"/>
              <w:rPr>
                <w:sz w:val="20"/>
                <w:szCs w:val="20"/>
                <w:color w:val="auto"/>
              </w:rPr>
            </w:pPr>
            <w:r>
              <w:rPr>
                <w:rFonts w:ascii="Arial" w:cs="Arial" w:eastAsia="Arial" w:hAnsi="Arial"/>
                <w:sz w:val="16"/>
                <w:szCs w:val="16"/>
                <w:color w:val="auto"/>
              </w:rPr>
              <w:t>10.7</w:t>
            </w:r>
          </w:p>
        </w:tc>
        <w:tc>
          <w:tcPr>
            <w:tcW w:w="180" w:type="dxa"/>
            <w:vAlign w:val="bottom"/>
          </w:tcPr>
          <w:p>
            <w:pPr>
              <w:spacing w:after="0"/>
              <w:rPr>
                <w:sz w:val="15"/>
                <w:szCs w:val="15"/>
                <w:color w:val="auto"/>
              </w:rPr>
            </w:pPr>
          </w:p>
        </w:tc>
        <w:tc>
          <w:tcPr>
            <w:tcW w:w="2480" w:type="dxa"/>
            <w:vAlign w:val="bottom"/>
          </w:tcPr>
          <w:p>
            <w:pPr>
              <w:ind w:left="60"/>
              <w:spacing w:after="0" w:line="177" w:lineRule="exact"/>
              <w:rPr>
                <w:sz w:val="20"/>
                <w:szCs w:val="20"/>
                <w:color w:val="auto"/>
              </w:rPr>
            </w:pPr>
            <w:r>
              <w:rPr>
                <w:rFonts w:ascii="Arial" w:cs="Arial" w:eastAsia="Arial" w:hAnsi="Arial"/>
                <w:sz w:val="16"/>
                <w:szCs w:val="16"/>
                <w:color w:val="auto"/>
              </w:rPr>
              <w:t>September 8, 2020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80" w:type="dxa"/>
            <w:vAlign w:val="bottom"/>
          </w:tcPr>
          <w:p>
            <w:pPr>
              <w:spacing w:after="0"/>
              <w:rPr>
                <w:sz w:val="20"/>
                <w:szCs w:val="20"/>
                <w:color w:val="auto"/>
              </w:rPr>
            </w:pPr>
            <w:r>
              <w:rPr>
                <w:rFonts w:ascii="Arial" w:cs="Arial" w:eastAsia="Arial" w:hAnsi="Arial"/>
                <w:sz w:val="16"/>
                <w:szCs w:val="16"/>
                <w:color w:val="auto"/>
              </w:rPr>
              <w:t>4.5</w:t>
            </w:r>
          </w:p>
        </w:tc>
        <w:tc>
          <w:tcPr>
            <w:tcW w:w="3820" w:type="dxa"/>
            <w:vAlign w:val="bottom"/>
            <w:tcBorders>
              <w:bottom w:val="single" w:sz="8" w:color="0000EE"/>
            </w:tcBorders>
            <w:gridSpan w:val="12"/>
          </w:tcPr>
          <w:p>
            <w:pPr>
              <w:spacing w:after="0"/>
              <w:rPr>
                <w:rFonts w:ascii="Arial" w:cs="Arial" w:eastAsia="Arial" w:hAnsi="Arial"/>
                <w:sz w:val="16"/>
                <w:szCs w:val="16"/>
                <w:color w:val="0000EE"/>
                <w:w w:val="93"/>
              </w:rPr>
            </w:pPr>
            <w:hyperlink r:id="rId28">
              <w:r>
                <w:rPr>
                  <w:rFonts w:ascii="Arial" w:cs="Arial" w:eastAsia="Arial" w:hAnsi="Arial"/>
                  <w:sz w:val="16"/>
                  <w:szCs w:val="16"/>
                  <w:color w:val="0000EE"/>
                  <w:w w:val="93"/>
                </w:rPr>
                <w:t>Form of RSU Agreement under the 2020 Equity Incentive</w:t>
              </w:r>
            </w:hyperlink>
          </w:p>
        </w:tc>
        <w:tc>
          <w:tcPr>
            <w:tcW w:w="28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80" w:type="dxa"/>
            <w:vAlign w:val="bottom"/>
          </w:tcPr>
          <w:p>
            <w:pPr>
              <w:spacing w:after="0"/>
              <w:rPr>
                <w:sz w:val="15"/>
                <w:szCs w:val="15"/>
                <w:color w:val="auto"/>
              </w:rPr>
            </w:pPr>
          </w:p>
        </w:tc>
        <w:tc>
          <w:tcPr>
            <w:tcW w:w="300" w:type="dxa"/>
            <w:vAlign w:val="bottom"/>
            <w:tcBorders>
              <w:bottom w:val="single" w:sz="8" w:color="0000EE"/>
            </w:tcBorders>
          </w:tcPr>
          <w:p>
            <w:pPr>
              <w:spacing w:after="0" w:line="177" w:lineRule="exact"/>
              <w:rPr>
                <w:rFonts w:ascii="Arial" w:cs="Arial" w:eastAsia="Arial" w:hAnsi="Arial"/>
                <w:sz w:val="16"/>
                <w:szCs w:val="16"/>
                <w:color w:val="0000EE"/>
                <w:w w:val="87"/>
              </w:rPr>
            </w:pPr>
            <w:hyperlink r:id="rId28">
              <w:r>
                <w:rPr>
                  <w:rFonts w:ascii="Arial" w:cs="Arial" w:eastAsia="Arial" w:hAnsi="Arial"/>
                  <w:sz w:val="16"/>
                  <w:szCs w:val="16"/>
                  <w:color w:val="0000EE"/>
                  <w:w w:val="87"/>
                </w:rPr>
                <w:t>Plan</w:t>
              </w:r>
            </w:hyperlink>
          </w:p>
        </w:tc>
        <w:tc>
          <w:tcPr>
            <w:tcW w:w="3800" w:type="dxa"/>
            <w:vAlign w:val="bottom"/>
            <w:gridSpan w:val="16"/>
          </w:tcPr>
          <w:p>
            <w:pPr>
              <w:spacing w:after="0"/>
              <w:rPr>
                <w:sz w:val="15"/>
                <w:szCs w:val="15"/>
                <w:color w:val="auto"/>
              </w:rPr>
            </w:pPr>
          </w:p>
        </w:tc>
        <w:tc>
          <w:tcPr>
            <w:tcW w:w="820" w:type="dxa"/>
            <w:vAlign w:val="bottom"/>
            <w:gridSpan w:val="2"/>
          </w:tcPr>
          <w:p>
            <w:pPr>
              <w:ind w:left="60"/>
              <w:spacing w:after="0" w:line="177" w:lineRule="exact"/>
              <w:rPr>
                <w:sz w:val="20"/>
                <w:szCs w:val="20"/>
                <w:color w:val="auto"/>
              </w:rPr>
            </w:pPr>
            <w:r>
              <w:rPr>
                <w:rFonts w:ascii="Arial" w:cs="Arial" w:eastAsia="Arial" w:hAnsi="Arial"/>
                <w:sz w:val="16"/>
                <w:szCs w:val="16"/>
                <w:color w:val="auto"/>
              </w:rPr>
              <w:t>S-1/A</w:t>
            </w:r>
          </w:p>
        </w:tc>
        <w:tc>
          <w:tcPr>
            <w:tcW w:w="1920" w:type="dxa"/>
            <w:vAlign w:val="bottom"/>
          </w:tcPr>
          <w:p>
            <w:pPr>
              <w:jc w:val="right"/>
              <w:ind w:right="1004"/>
              <w:spacing w:after="0" w:line="177" w:lineRule="exact"/>
              <w:rPr>
                <w:sz w:val="20"/>
                <w:szCs w:val="20"/>
                <w:color w:val="auto"/>
              </w:rPr>
            </w:pPr>
            <w:r>
              <w:rPr>
                <w:rFonts w:ascii="Arial" w:cs="Arial" w:eastAsia="Arial" w:hAnsi="Arial"/>
                <w:sz w:val="16"/>
                <w:szCs w:val="16"/>
                <w:color w:val="auto"/>
                <w:w w:val="95"/>
              </w:rPr>
              <w:t>333-248428</w:t>
            </w:r>
          </w:p>
        </w:tc>
        <w:tc>
          <w:tcPr>
            <w:tcW w:w="180" w:type="dxa"/>
            <w:vAlign w:val="bottom"/>
          </w:tcPr>
          <w:p>
            <w:pPr>
              <w:spacing w:after="0"/>
              <w:rPr>
                <w:sz w:val="15"/>
                <w:szCs w:val="15"/>
                <w:color w:val="auto"/>
              </w:rPr>
            </w:pPr>
          </w:p>
        </w:tc>
        <w:tc>
          <w:tcPr>
            <w:tcW w:w="640" w:type="dxa"/>
            <w:vAlign w:val="bottom"/>
          </w:tcPr>
          <w:p>
            <w:pPr>
              <w:ind w:left="40"/>
              <w:spacing w:after="0" w:line="177" w:lineRule="exact"/>
              <w:rPr>
                <w:sz w:val="20"/>
                <w:szCs w:val="20"/>
                <w:color w:val="auto"/>
              </w:rPr>
            </w:pPr>
            <w:r>
              <w:rPr>
                <w:rFonts w:ascii="Arial" w:cs="Arial" w:eastAsia="Arial" w:hAnsi="Arial"/>
                <w:sz w:val="16"/>
                <w:szCs w:val="16"/>
                <w:color w:val="auto"/>
              </w:rPr>
              <w:t>10.8</w:t>
            </w:r>
          </w:p>
        </w:tc>
        <w:tc>
          <w:tcPr>
            <w:tcW w:w="180" w:type="dxa"/>
            <w:vAlign w:val="bottom"/>
          </w:tcPr>
          <w:p>
            <w:pPr>
              <w:spacing w:after="0"/>
              <w:rPr>
                <w:sz w:val="15"/>
                <w:szCs w:val="15"/>
                <w:color w:val="auto"/>
              </w:rPr>
            </w:pPr>
          </w:p>
        </w:tc>
        <w:tc>
          <w:tcPr>
            <w:tcW w:w="2480" w:type="dxa"/>
            <w:vAlign w:val="bottom"/>
          </w:tcPr>
          <w:p>
            <w:pPr>
              <w:ind w:left="60"/>
              <w:spacing w:after="0" w:line="177" w:lineRule="exact"/>
              <w:rPr>
                <w:sz w:val="20"/>
                <w:szCs w:val="20"/>
                <w:color w:val="auto"/>
              </w:rPr>
            </w:pPr>
            <w:r>
              <w:rPr>
                <w:rFonts w:ascii="Arial" w:cs="Arial" w:eastAsia="Arial" w:hAnsi="Arial"/>
                <w:sz w:val="16"/>
                <w:szCs w:val="16"/>
                <w:color w:val="auto"/>
              </w:rPr>
              <w:t>September 8, 2020</w:t>
            </w:r>
          </w:p>
        </w:tc>
        <w:tc>
          <w:tcPr>
            <w:tcW w:w="0" w:type="dxa"/>
            <w:vAlign w:val="bottom"/>
          </w:tcPr>
          <w:p>
            <w:pPr>
              <w:spacing w:after="0"/>
              <w:rPr>
                <w:sz w:val="1"/>
                <w:szCs w:val="1"/>
                <w:color w:val="auto"/>
              </w:rPr>
            </w:pPr>
          </w:p>
        </w:tc>
      </w:tr>
      <w:tr>
        <w:trPr>
          <w:trHeight w:val="287"/>
        </w:trPr>
        <w:tc>
          <w:tcPr>
            <w:tcW w:w="880" w:type="dxa"/>
            <w:vAlign w:val="bottom"/>
          </w:tcPr>
          <w:p>
            <w:pPr>
              <w:spacing w:after="0"/>
              <w:rPr>
                <w:sz w:val="20"/>
                <w:szCs w:val="20"/>
                <w:color w:val="auto"/>
              </w:rPr>
            </w:pPr>
            <w:r>
              <w:rPr>
                <w:rFonts w:ascii="Arial" w:cs="Arial" w:eastAsia="Arial" w:hAnsi="Arial"/>
                <w:sz w:val="16"/>
                <w:szCs w:val="16"/>
                <w:color w:val="auto"/>
              </w:rPr>
              <w:t>4.6</w:t>
            </w:r>
          </w:p>
        </w:tc>
        <w:tc>
          <w:tcPr>
            <w:tcW w:w="4100" w:type="dxa"/>
            <w:vAlign w:val="bottom"/>
            <w:gridSpan w:val="17"/>
          </w:tcPr>
          <w:p>
            <w:pPr>
              <w:spacing w:after="0"/>
              <w:rPr>
                <w:rFonts w:ascii="Arial" w:cs="Arial" w:eastAsia="Arial" w:hAnsi="Arial"/>
                <w:sz w:val="16"/>
                <w:szCs w:val="16"/>
                <w:color w:val="0000EE"/>
              </w:rPr>
            </w:pPr>
            <w:hyperlink r:id="rId29">
              <w:r>
                <w:rPr>
                  <w:rFonts w:ascii="Arial" w:cs="Arial" w:eastAsia="Arial" w:hAnsi="Arial"/>
                  <w:sz w:val="16"/>
                  <w:szCs w:val="16"/>
                  <w:color w:val="0000EE"/>
                </w:rPr>
                <w:t>2020 Employee Stock Purchase Plan and Form of</w:t>
              </w:r>
            </w:hyperlink>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80" w:type="dxa"/>
            <w:vAlign w:val="bottom"/>
          </w:tcPr>
          <w:p>
            <w:pPr>
              <w:spacing w:after="0"/>
              <w:rPr>
                <w:sz w:val="15"/>
                <w:szCs w:val="15"/>
                <w:color w:val="auto"/>
              </w:rPr>
            </w:pPr>
          </w:p>
        </w:tc>
        <w:tc>
          <w:tcPr>
            <w:tcW w:w="3260" w:type="dxa"/>
            <w:vAlign w:val="bottom"/>
            <w:tcBorders>
              <w:top w:val="single" w:sz="8" w:color="0000EE"/>
            </w:tcBorders>
            <w:gridSpan w:val="8"/>
          </w:tcPr>
          <w:p>
            <w:pPr>
              <w:spacing w:after="0" w:line="177" w:lineRule="exact"/>
              <w:rPr>
                <w:rFonts w:ascii="Arial" w:cs="Arial" w:eastAsia="Arial" w:hAnsi="Arial"/>
                <w:sz w:val="16"/>
                <w:szCs w:val="16"/>
                <w:color w:val="0000EE"/>
              </w:rPr>
            </w:pPr>
            <w:hyperlink r:id="rId29">
              <w:r>
                <w:rPr>
                  <w:rFonts w:ascii="Arial" w:cs="Arial" w:eastAsia="Arial" w:hAnsi="Arial"/>
                  <w:sz w:val="16"/>
                  <w:szCs w:val="16"/>
                  <w:color w:val="0000EE"/>
                </w:rPr>
                <w:t>Subscription Agreement thereunder</w:t>
              </w:r>
            </w:hyperlink>
          </w:p>
        </w:tc>
        <w:tc>
          <w:tcPr>
            <w:tcW w:w="840" w:type="dxa"/>
            <w:vAlign w:val="bottom"/>
            <w:gridSpan w:val="9"/>
          </w:tcPr>
          <w:p>
            <w:pPr>
              <w:spacing w:after="0"/>
              <w:rPr>
                <w:sz w:val="15"/>
                <w:szCs w:val="15"/>
                <w:color w:val="auto"/>
              </w:rPr>
            </w:pPr>
          </w:p>
        </w:tc>
        <w:tc>
          <w:tcPr>
            <w:tcW w:w="820" w:type="dxa"/>
            <w:vAlign w:val="bottom"/>
            <w:gridSpan w:val="2"/>
          </w:tcPr>
          <w:p>
            <w:pPr>
              <w:ind w:left="60"/>
              <w:spacing w:after="0" w:line="177" w:lineRule="exact"/>
              <w:rPr>
                <w:sz w:val="20"/>
                <w:szCs w:val="20"/>
                <w:color w:val="auto"/>
              </w:rPr>
            </w:pPr>
            <w:r>
              <w:rPr>
                <w:rFonts w:ascii="Arial" w:cs="Arial" w:eastAsia="Arial" w:hAnsi="Arial"/>
                <w:sz w:val="16"/>
                <w:szCs w:val="16"/>
                <w:color w:val="auto"/>
              </w:rPr>
              <w:t>S-1/A</w:t>
            </w:r>
          </w:p>
        </w:tc>
        <w:tc>
          <w:tcPr>
            <w:tcW w:w="1920" w:type="dxa"/>
            <w:vAlign w:val="bottom"/>
          </w:tcPr>
          <w:p>
            <w:pPr>
              <w:jc w:val="right"/>
              <w:ind w:right="1004"/>
              <w:spacing w:after="0" w:line="177" w:lineRule="exact"/>
              <w:rPr>
                <w:sz w:val="20"/>
                <w:szCs w:val="20"/>
                <w:color w:val="auto"/>
              </w:rPr>
            </w:pPr>
            <w:r>
              <w:rPr>
                <w:rFonts w:ascii="Arial" w:cs="Arial" w:eastAsia="Arial" w:hAnsi="Arial"/>
                <w:sz w:val="16"/>
                <w:szCs w:val="16"/>
                <w:color w:val="auto"/>
                <w:w w:val="95"/>
              </w:rPr>
              <w:t>333-248428</w:t>
            </w:r>
          </w:p>
        </w:tc>
        <w:tc>
          <w:tcPr>
            <w:tcW w:w="180" w:type="dxa"/>
            <w:vAlign w:val="bottom"/>
          </w:tcPr>
          <w:p>
            <w:pPr>
              <w:spacing w:after="0"/>
              <w:rPr>
                <w:sz w:val="15"/>
                <w:szCs w:val="15"/>
                <w:color w:val="auto"/>
              </w:rPr>
            </w:pPr>
          </w:p>
        </w:tc>
        <w:tc>
          <w:tcPr>
            <w:tcW w:w="640" w:type="dxa"/>
            <w:vAlign w:val="bottom"/>
          </w:tcPr>
          <w:p>
            <w:pPr>
              <w:ind w:left="40"/>
              <w:spacing w:after="0" w:line="177" w:lineRule="exact"/>
              <w:rPr>
                <w:sz w:val="20"/>
                <w:szCs w:val="20"/>
                <w:color w:val="auto"/>
              </w:rPr>
            </w:pPr>
            <w:r>
              <w:rPr>
                <w:rFonts w:ascii="Arial" w:cs="Arial" w:eastAsia="Arial" w:hAnsi="Arial"/>
                <w:sz w:val="16"/>
                <w:szCs w:val="16"/>
                <w:color w:val="auto"/>
              </w:rPr>
              <w:t>10.10</w:t>
            </w:r>
          </w:p>
        </w:tc>
        <w:tc>
          <w:tcPr>
            <w:tcW w:w="180" w:type="dxa"/>
            <w:vAlign w:val="bottom"/>
          </w:tcPr>
          <w:p>
            <w:pPr>
              <w:spacing w:after="0"/>
              <w:rPr>
                <w:sz w:val="15"/>
                <w:szCs w:val="15"/>
                <w:color w:val="auto"/>
              </w:rPr>
            </w:pPr>
          </w:p>
        </w:tc>
        <w:tc>
          <w:tcPr>
            <w:tcW w:w="2480" w:type="dxa"/>
            <w:vAlign w:val="bottom"/>
          </w:tcPr>
          <w:p>
            <w:pPr>
              <w:ind w:left="60"/>
              <w:spacing w:after="0" w:line="177" w:lineRule="exact"/>
              <w:rPr>
                <w:sz w:val="20"/>
                <w:szCs w:val="20"/>
                <w:color w:val="auto"/>
              </w:rPr>
            </w:pPr>
            <w:r>
              <w:rPr>
                <w:rFonts w:ascii="Arial" w:cs="Arial" w:eastAsia="Arial" w:hAnsi="Arial"/>
                <w:sz w:val="16"/>
                <w:szCs w:val="16"/>
                <w:color w:val="auto"/>
              </w:rPr>
              <w:t>September 8, 2020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80" w:type="dxa"/>
            <w:vAlign w:val="bottom"/>
          </w:tcPr>
          <w:p>
            <w:pPr>
              <w:spacing w:after="0"/>
              <w:rPr>
                <w:sz w:val="20"/>
                <w:szCs w:val="20"/>
                <w:color w:val="auto"/>
              </w:rPr>
            </w:pPr>
            <w:r>
              <w:rPr>
                <w:rFonts w:ascii="Arial" w:cs="Arial" w:eastAsia="Arial" w:hAnsi="Arial"/>
                <w:sz w:val="16"/>
                <w:szCs w:val="16"/>
                <w:color w:val="auto"/>
              </w:rPr>
              <w:t>5.1</w:t>
            </w:r>
          </w:p>
        </w:tc>
        <w:tc>
          <w:tcPr>
            <w:tcW w:w="3960" w:type="dxa"/>
            <w:vAlign w:val="bottom"/>
            <w:tcBorders>
              <w:bottom w:val="single" w:sz="8" w:color="0000EE"/>
            </w:tcBorders>
            <w:gridSpan w:val="15"/>
          </w:tcPr>
          <w:p>
            <w:pPr>
              <w:spacing w:after="0"/>
              <w:rPr>
                <w:rFonts w:ascii="Arial" w:cs="Arial" w:eastAsia="Arial" w:hAnsi="Arial"/>
                <w:sz w:val="16"/>
                <w:szCs w:val="16"/>
                <w:color w:val="0000EE"/>
                <w:w w:val="95"/>
              </w:rPr>
            </w:pPr>
            <w:hyperlink w:anchor="page6">
              <w:r>
                <w:rPr>
                  <w:rFonts w:ascii="Arial" w:cs="Arial" w:eastAsia="Arial" w:hAnsi="Arial"/>
                  <w:sz w:val="16"/>
                  <w:szCs w:val="16"/>
                  <w:color w:val="0000EE"/>
                  <w:w w:val="95"/>
                </w:rPr>
                <w:t>Opinion of Wilson Sonsini Goodrich &amp; Rosati, Professional</w:t>
              </w:r>
            </w:hyperlink>
          </w:p>
        </w:tc>
        <w:tc>
          <w:tcPr>
            <w:tcW w:w="14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80" w:type="dxa"/>
            <w:vAlign w:val="bottom"/>
          </w:tcPr>
          <w:p>
            <w:pPr>
              <w:spacing w:after="0"/>
              <w:rPr>
                <w:sz w:val="15"/>
                <w:szCs w:val="15"/>
                <w:color w:val="auto"/>
              </w:rPr>
            </w:pPr>
          </w:p>
        </w:tc>
        <w:tc>
          <w:tcPr>
            <w:tcW w:w="800" w:type="dxa"/>
            <w:vAlign w:val="bottom"/>
            <w:tcBorders>
              <w:bottom w:val="single" w:sz="8" w:color="0000EE"/>
            </w:tcBorders>
            <w:gridSpan w:val="2"/>
          </w:tcPr>
          <w:p>
            <w:pPr>
              <w:spacing w:after="0" w:line="177" w:lineRule="exact"/>
              <w:rPr>
                <w:rFonts w:ascii="Arial" w:cs="Arial" w:eastAsia="Arial" w:hAnsi="Arial"/>
                <w:sz w:val="16"/>
                <w:szCs w:val="16"/>
                <w:color w:val="0000EE"/>
                <w:w w:val="93"/>
              </w:rPr>
            </w:pPr>
            <w:hyperlink w:anchor="page6">
              <w:r>
                <w:rPr>
                  <w:rFonts w:ascii="Arial" w:cs="Arial" w:eastAsia="Arial" w:hAnsi="Arial"/>
                  <w:sz w:val="16"/>
                  <w:szCs w:val="16"/>
                  <w:color w:val="0000EE"/>
                  <w:w w:val="93"/>
                </w:rPr>
                <w:t>Corporation</w:t>
              </w:r>
            </w:hyperlink>
          </w:p>
        </w:tc>
        <w:tc>
          <w:tcPr>
            <w:tcW w:w="3300" w:type="dxa"/>
            <w:vAlign w:val="bottom"/>
            <w:gridSpan w:val="15"/>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880" w:type="dxa"/>
            <w:vAlign w:val="bottom"/>
          </w:tcPr>
          <w:p>
            <w:pPr>
              <w:spacing w:after="0"/>
              <w:rPr>
                <w:sz w:val="20"/>
                <w:szCs w:val="20"/>
                <w:color w:val="auto"/>
              </w:rPr>
            </w:pPr>
            <w:r>
              <w:rPr>
                <w:rFonts w:ascii="Arial" w:cs="Arial" w:eastAsia="Arial" w:hAnsi="Arial"/>
                <w:sz w:val="16"/>
                <w:szCs w:val="16"/>
                <w:color w:val="auto"/>
              </w:rPr>
              <w:t>23.1</w:t>
            </w:r>
          </w:p>
        </w:tc>
        <w:tc>
          <w:tcPr>
            <w:tcW w:w="3940" w:type="dxa"/>
            <w:vAlign w:val="bottom"/>
            <w:tcBorders>
              <w:bottom w:val="single" w:sz="8" w:color="0000EE"/>
            </w:tcBorders>
            <w:gridSpan w:val="14"/>
          </w:tcPr>
          <w:p>
            <w:pPr>
              <w:spacing w:after="0"/>
              <w:rPr>
                <w:rFonts w:ascii="Arial" w:cs="Arial" w:eastAsia="Arial" w:hAnsi="Arial"/>
                <w:sz w:val="16"/>
                <w:szCs w:val="16"/>
                <w:color w:val="0000EE"/>
                <w:w w:val="93"/>
              </w:rPr>
            </w:pPr>
            <w:hyperlink w:anchor="page8">
              <w:r>
                <w:rPr>
                  <w:rFonts w:ascii="Arial" w:cs="Arial" w:eastAsia="Arial" w:hAnsi="Arial"/>
                  <w:sz w:val="16"/>
                  <w:szCs w:val="16"/>
                  <w:color w:val="0000EE"/>
                  <w:w w:val="93"/>
                </w:rPr>
                <w:t>Consent of Independent Registered Public Accounting Firm</w:t>
              </w:r>
            </w:hyperlink>
          </w:p>
        </w:tc>
        <w:tc>
          <w:tcPr>
            <w:tcW w:w="16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80" w:type="dxa"/>
            <w:vAlign w:val="bottom"/>
          </w:tcPr>
          <w:p>
            <w:pPr>
              <w:spacing w:after="0"/>
              <w:rPr>
                <w:sz w:val="20"/>
                <w:szCs w:val="20"/>
                <w:color w:val="auto"/>
              </w:rPr>
            </w:pPr>
            <w:r>
              <w:rPr>
                <w:rFonts w:ascii="Arial" w:cs="Arial" w:eastAsia="Arial" w:hAnsi="Arial"/>
                <w:sz w:val="16"/>
                <w:szCs w:val="16"/>
                <w:color w:val="auto"/>
              </w:rPr>
              <w:t>23.2</w:t>
            </w:r>
          </w:p>
        </w:tc>
        <w:tc>
          <w:tcPr>
            <w:tcW w:w="3960" w:type="dxa"/>
            <w:vAlign w:val="bottom"/>
            <w:tcBorders>
              <w:bottom w:val="single" w:sz="8" w:color="0000EE"/>
            </w:tcBorders>
            <w:gridSpan w:val="15"/>
          </w:tcPr>
          <w:p>
            <w:pPr>
              <w:spacing w:after="0"/>
              <w:rPr>
                <w:rFonts w:ascii="Arial" w:cs="Arial" w:eastAsia="Arial" w:hAnsi="Arial"/>
                <w:sz w:val="16"/>
                <w:szCs w:val="16"/>
                <w:color w:val="0000EE"/>
                <w:w w:val="94"/>
              </w:rPr>
            </w:pPr>
            <w:hyperlink w:anchor="page6">
              <w:r>
                <w:rPr>
                  <w:rFonts w:ascii="Arial" w:cs="Arial" w:eastAsia="Arial" w:hAnsi="Arial"/>
                  <w:sz w:val="16"/>
                  <w:szCs w:val="16"/>
                  <w:color w:val="0000EE"/>
                  <w:w w:val="94"/>
                </w:rPr>
                <w:t>Consent of Wilson Sonsini Goodrich &amp; Rosati, Professional</w:t>
              </w:r>
            </w:hyperlink>
          </w:p>
        </w:tc>
        <w:tc>
          <w:tcPr>
            <w:tcW w:w="14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80" w:type="dxa"/>
            <w:vAlign w:val="bottom"/>
          </w:tcPr>
          <w:p>
            <w:pPr>
              <w:spacing w:after="0"/>
              <w:rPr>
                <w:sz w:val="15"/>
                <w:szCs w:val="15"/>
                <w:color w:val="auto"/>
              </w:rPr>
            </w:pPr>
          </w:p>
        </w:tc>
        <w:tc>
          <w:tcPr>
            <w:tcW w:w="2980" w:type="dxa"/>
            <w:vAlign w:val="bottom"/>
            <w:tcBorders>
              <w:bottom w:val="single" w:sz="8" w:color="0000EE"/>
            </w:tcBorders>
            <w:gridSpan w:val="7"/>
          </w:tcPr>
          <w:p>
            <w:pPr>
              <w:spacing w:after="0" w:line="177" w:lineRule="exact"/>
              <w:rPr>
                <w:rFonts w:ascii="Arial" w:cs="Arial" w:eastAsia="Arial" w:hAnsi="Arial"/>
                <w:sz w:val="16"/>
                <w:szCs w:val="16"/>
                <w:color w:val="0000EE"/>
                <w:w w:val="94"/>
              </w:rPr>
            </w:pPr>
            <w:hyperlink w:anchor="page6">
              <w:r>
                <w:rPr>
                  <w:rFonts w:ascii="Arial" w:cs="Arial" w:eastAsia="Arial" w:hAnsi="Arial"/>
                  <w:sz w:val="16"/>
                  <w:szCs w:val="16"/>
                  <w:color w:val="0000EE"/>
                  <w:w w:val="94"/>
                </w:rPr>
                <w:t>Corporation (contained in Exhibit 5.1 hereto)</w:t>
              </w:r>
            </w:hyperlink>
          </w:p>
        </w:tc>
        <w:tc>
          <w:tcPr>
            <w:tcW w:w="1120" w:type="dxa"/>
            <w:vAlign w:val="bottom"/>
            <w:gridSpan w:val="10"/>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880" w:type="dxa"/>
            <w:vAlign w:val="bottom"/>
          </w:tcPr>
          <w:p>
            <w:pPr>
              <w:spacing w:after="0"/>
              <w:rPr>
                <w:sz w:val="20"/>
                <w:szCs w:val="20"/>
                <w:color w:val="auto"/>
              </w:rPr>
            </w:pPr>
            <w:r>
              <w:rPr>
                <w:rFonts w:ascii="Arial" w:cs="Arial" w:eastAsia="Arial" w:hAnsi="Arial"/>
                <w:sz w:val="16"/>
                <w:szCs w:val="16"/>
                <w:color w:val="auto"/>
              </w:rPr>
              <w:t>24.1</w:t>
            </w:r>
          </w:p>
        </w:tc>
        <w:tc>
          <w:tcPr>
            <w:tcW w:w="3660" w:type="dxa"/>
            <w:vAlign w:val="bottom"/>
            <w:tcBorders>
              <w:bottom w:val="single" w:sz="8" w:color="0000EE"/>
            </w:tcBorders>
            <w:gridSpan w:val="10"/>
          </w:tcPr>
          <w:p>
            <w:pPr>
              <w:spacing w:after="0"/>
              <w:rPr>
                <w:rFonts w:ascii="Arial" w:cs="Arial" w:eastAsia="Arial" w:hAnsi="Arial"/>
                <w:sz w:val="16"/>
                <w:szCs w:val="16"/>
                <w:color w:val="0000EE"/>
                <w:w w:val="92"/>
              </w:rPr>
            </w:pPr>
            <w:hyperlink w:anchor="page5">
              <w:r>
                <w:rPr>
                  <w:rFonts w:ascii="Arial" w:cs="Arial" w:eastAsia="Arial" w:hAnsi="Arial"/>
                  <w:sz w:val="16"/>
                  <w:szCs w:val="16"/>
                  <w:color w:val="0000EE"/>
                  <w:w w:val="92"/>
                </w:rPr>
                <w:t>Power of Attorney (contained on signature page hereto)</w:t>
              </w:r>
            </w:hyperlink>
          </w:p>
        </w:tc>
        <w:tc>
          <w:tcPr>
            <w:tcW w:w="440" w:type="dxa"/>
            <w:vAlign w:val="bottom"/>
            <w:gridSpan w:val="7"/>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880" w:hanging="878"/>
        <w:spacing w:after="0"/>
        <w:tabs>
          <w:tab w:leader="none" w:pos="880" w:val="left"/>
        </w:tabs>
        <w:numPr>
          <w:ilvl w:val="0"/>
          <w:numId w:val="2"/>
        </w:numPr>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299720</wp:posOffset>
            </wp:positionV>
            <wp:extent cx="718566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85660" cy="4127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SIGNATURES</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Bothell, State of Washington, on March 28, 2022.</w:t>
      </w:r>
    </w:p>
    <w:p>
      <w:pPr>
        <w:spacing w:after="0" w:line="159"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ATHIRA PHARMA, INC.</w:t>
      </w:r>
    </w:p>
    <w:p>
      <w:pPr>
        <w:spacing w:after="0" w:line="213"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6"/>
          <w:szCs w:val="16"/>
          <w:color w:val="auto"/>
        </w:rPr>
        <w:t>By:</w:t>
        <w:tab/>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4585335</wp:posOffset>
            </wp:positionH>
            <wp:positionV relativeFrom="paragraph">
              <wp:posOffset>15875</wp:posOffset>
            </wp:positionV>
            <wp:extent cx="255841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2558415" cy="7620"/>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6"/>
          <w:szCs w:val="16"/>
          <w:i w:val="1"/>
          <w:iCs w:val="1"/>
          <w:color w:val="auto"/>
        </w:rPr>
        <w:t>Mark Litton, Ph.D.</w:t>
      </w:r>
    </w:p>
    <w:p>
      <w:pPr>
        <w:spacing w:after="0" w:line="24" w:lineRule="exact"/>
        <w:rPr>
          <w:sz w:val="20"/>
          <w:szCs w:val="20"/>
          <w:color w:val="auto"/>
        </w:rPr>
      </w:pPr>
    </w:p>
    <w:p>
      <w:pPr>
        <w:ind w:left="7220"/>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213" w:lineRule="exact"/>
        <w:rPr>
          <w:sz w:val="20"/>
          <w:szCs w:val="20"/>
          <w:color w:val="auto"/>
        </w:rPr>
      </w:pPr>
    </w:p>
    <w:p>
      <w:pPr>
        <w:ind w:right="80"/>
        <w:spacing w:after="0" w:line="283" w:lineRule="auto"/>
        <w:rPr>
          <w:sz w:val="20"/>
          <w:szCs w:val="20"/>
          <w:color w:val="auto"/>
        </w:rPr>
      </w:pPr>
      <w:r>
        <w:rPr>
          <w:rFonts w:ascii="Arial" w:cs="Arial" w:eastAsia="Arial" w:hAnsi="Arial"/>
          <w:sz w:val="15"/>
          <w:szCs w:val="15"/>
          <w:color w:val="auto"/>
        </w:rPr>
        <w:t>KNOW ALL PERSONS BY THESE PRESENTS, that each person whose signature appears below hereby constitutes and appoints Mark Litton and Glenna Mileson, and each of them, as his or her true and lawful attorney-in-fact and agent with full power of substitution, for him or her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attorney-in-fact, proxy and agent full power and authority to do and perform each and every act and thing requisite or necessary to be done in connection therewith, as fully for all intents and purposes as he might or could do in person, hereby ratifying and confirming all the said attorney-in-fact, proxy and agent, or his substitute, may lawfully do or cause to be done by virtue hereof.</w:t>
      </w:r>
    </w:p>
    <w:p>
      <w:pPr>
        <w:spacing w:after="0" w:line="155"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Pursuant to the requirements of the Securities Act of 1933, this registration statement on Form S-8 has been signed by the following persons in the capacities and on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Signature</w:t>
            </w:r>
          </w:p>
        </w:tc>
        <w:tc>
          <w:tcPr>
            <w:tcW w:w="120" w:type="dxa"/>
            <w:vAlign w:val="bottom"/>
          </w:tcPr>
          <w:p>
            <w:pPr>
              <w:spacing w:after="0"/>
              <w:rPr>
                <w:sz w:val="14"/>
                <w:szCs w:val="14"/>
                <w:color w:val="auto"/>
              </w:rPr>
            </w:pPr>
          </w:p>
        </w:tc>
        <w:tc>
          <w:tcPr>
            <w:tcW w:w="4800" w:type="dxa"/>
            <w:vAlign w:val="bottom"/>
            <w:tcBorders>
              <w:bottom w:val="single" w:sz="8" w:color="auto"/>
            </w:tcBorders>
          </w:tcPr>
          <w:p>
            <w:pPr>
              <w:ind w:left="2260"/>
              <w:spacing w:after="0"/>
              <w:rPr>
                <w:sz w:val="20"/>
                <w:szCs w:val="20"/>
                <w:color w:val="auto"/>
              </w:rPr>
            </w:pPr>
            <w:r>
              <w:rPr>
                <w:rFonts w:ascii="Arial" w:cs="Arial" w:eastAsia="Arial" w:hAnsi="Arial"/>
                <w:sz w:val="13"/>
                <w:szCs w:val="13"/>
                <w:b w:val="1"/>
                <w:bCs w:val="1"/>
                <w:color w:val="auto"/>
              </w:rPr>
              <w:t>Title</w:t>
            </w:r>
          </w:p>
        </w:tc>
        <w:tc>
          <w:tcPr>
            <w:tcW w:w="18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r>
      <w:tr>
        <w:trPr>
          <w:trHeight w:val="299"/>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Mark Litton</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6"/>
                <w:szCs w:val="16"/>
                <w:color w:val="auto"/>
              </w:rPr>
              <w:t>President, Chief Executive Officer and Director</w:t>
            </w:r>
          </w:p>
        </w:tc>
        <w:tc>
          <w:tcPr>
            <w:tcW w:w="1960" w:type="dxa"/>
            <w:vAlign w:val="bottom"/>
          </w:tcPr>
          <w:p>
            <w:pPr>
              <w:jc w:val="center"/>
              <w:spacing w:after="0"/>
              <w:rPr>
                <w:sz w:val="20"/>
                <w:szCs w:val="20"/>
                <w:color w:val="auto"/>
              </w:rPr>
            </w:pPr>
            <w:r>
              <w:rPr>
                <w:rFonts w:ascii="Arial" w:cs="Arial" w:eastAsia="Arial" w:hAnsi="Arial"/>
                <w:sz w:val="16"/>
                <w:szCs w:val="16"/>
                <w:color w:val="auto"/>
                <w:w w:val="93"/>
              </w:rPr>
              <w:t>March 28, 2022</w:t>
            </w:r>
          </w:p>
        </w:tc>
      </w:tr>
      <w:tr>
        <w:trPr>
          <w:trHeight w:val="200"/>
        </w:trPr>
        <w:tc>
          <w:tcPr>
            <w:tcW w:w="4180" w:type="dxa"/>
            <w:vAlign w:val="bottom"/>
          </w:tcPr>
          <w:p>
            <w:pPr>
              <w:jc w:val="center"/>
              <w:spacing w:after="0"/>
              <w:rPr>
                <w:sz w:val="20"/>
                <w:szCs w:val="20"/>
                <w:color w:val="auto"/>
              </w:rPr>
            </w:pPr>
            <w:r>
              <w:rPr>
                <w:rFonts w:ascii="Arial" w:cs="Arial" w:eastAsia="Arial" w:hAnsi="Arial"/>
                <w:sz w:val="16"/>
                <w:szCs w:val="16"/>
                <w:color w:val="auto"/>
              </w:rPr>
              <w:t>Mark Litton</w:t>
            </w:r>
          </w:p>
        </w:tc>
        <w:tc>
          <w:tcPr>
            <w:tcW w:w="120" w:type="dxa"/>
            <w:vAlign w:val="bottom"/>
          </w:tcPr>
          <w:p>
            <w:pPr>
              <w:spacing w:after="0"/>
              <w:rPr>
                <w:sz w:val="17"/>
                <w:szCs w:val="17"/>
                <w:color w:val="auto"/>
              </w:rPr>
            </w:pPr>
          </w:p>
        </w:tc>
        <w:tc>
          <w:tcPr>
            <w:tcW w:w="4980" w:type="dxa"/>
            <w:vAlign w:val="bottom"/>
            <w:gridSpan w:val="2"/>
          </w:tcPr>
          <w:p>
            <w:pPr>
              <w:spacing w:after="0"/>
              <w:rPr>
                <w:sz w:val="20"/>
                <w:szCs w:val="20"/>
                <w:color w:val="auto"/>
              </w:rPr>
            </w:pPr>
            <w:r>
              <w:rPr>
                <w:rFonts w:ascii="Arial" w:cs="Arial" w:eastAsia="Arial" w:hAnsi="Arial"/>
                <w:sz w:val="16"/>
                <w:szCs w:val="16"/>
                <w:color w:val="auto"/>
              </w:rPr>
              <w:t>(Principal Executive Officer)</w:t>
            </w:r>
          </w:p>
        </w:tc>
        <w:tc>
          <w:tcPr>
            <w:tcW w:w="1960" w:type="dxa"/>
            <w:vAlign w:val="bottom"/>
          </w:tcPr>
          <w:p>
            <w:pPr>
              <w:spacing w:after="0"/>
              <w:rPr>
                <w:sz w:val="17"/>
                <w:szCs w:val="17"/>
                <w:color w:val="auto"/>
              </w:rPr>
            </w:pPr>
          </w:p>
        </w:tc>
      </w:tr>
      <w:tr>
        <w:trPr>
          <w:trHeight w:val="30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Glenna Mileson</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6"/>
                <w:szCs w:val="16"/>
                <w:color w:val="auto"/>
              </w:rPr>
              <w:t>Chief Financial Officer</w:t>
            </w:r>
          </w:p>
        </w:tc>
        <w:tc>
          <w:tcPr>
            <w:tcW w:w="1960" w:type="dxa"/>
            <w:vAlign w:val="bottom"/>
          </w:tcPr>
          <w:p>
            <w:pPr>
              <w:jc w:val="center"/>
              <w:spacing w:after="0"/>
              <w:rPr>
                <w:sz w:val="20"/>
                <w:szCs w:val="20"/>
                <w:color w:val="auto"/>
              </w:rPr>
            </w:pPr>
            <w:r>
              <w:rPr>
                <w:rFonts w:ascii="Arial" w:cs="Arial" w:eastAsia="Arial" w:hAnsi="Arial"/>
                <w:sz w:val="16"/>
                <w:szCs w:val="16"/>
                <w:color w:val="auto"/>
                <w:w w:val="93"/>
              </w:rPr>
              <w:t>March 28, 2022</w:t>
            </w:r>
          </w:p>
        </w:tc>
      </w:tr>
      <w:tr>
        <w:trPr>
          <w:trHeight w:val="200"/>
        </w:trPr>
        <w:tc>
          <w:tcPr>
            <w:tcW w:w="4180" w:type="dxa"/>
            <w:vAlign w:val="bottom"/>
          </w:tcPr>
          <w:p>
            <w:pPr>
              <w:jc w:val="center"/>
              <w:spacing w:after="0"/>
              <w:rPr>
                <w:sz w:val="20"/>
                <w:szCs w:val="20"/>
                <w:color w:val="auto"/>
              </w:rPr>
            </w:pPr>
            <w:r>
              <w:rPr>
                <w:rFonts w:ascii="Arial" w:cs="Arial" w:eastAsia="Arial" w:hAnsi="Arial"/>
                <w:sz w:val="16"/>
                <w:szCs w:val="16"/>
                <w:color w:val="auto"/>
                <w:w w:val="95"/>
              </w:rPr>
              <w:t>Glenna Mileson</w:t>
            </w:r>
          </w:p>
        </w:tc>
        <w:tc>
          <w:tcPr>
            <w:tcW w:w="120" w:type="dxa"/>
            <w:vAlign w:val="bottom"/>
          </w:tcPr>
          <w:p>
            <w:pPr>
              <w:spacing w:after="0"/>
              <w:rPr>
                <w:sz w:val="17"/>
                <w:szCs w:val="17"/>
                <w:color w:val="auto"/>
              </w:rPr>
            </w:pPr>
          </w:p>
        </w:tc>
        <w:tc>
          <w:tcPr>
            <w:tcW w:w="4980" w:type="dxa"/>
            <w:vAlign w:val="bottom"/>
            <w:gridSpan w:val="2"/>
          </w:tcPr>
          <w:p>
            <w:pPr>
              <w:spacing w:after="0"/>
              <w:rPr>
                <w:sz w:val="20"/>
                <w:szCs w:val="20"/>
                <w:color w:val="auto"/>
              </w:rPr>
            </w:pPr>
            <w:r>
              <w:rPr>
                <w:rFonts w:ascii="Arial" w:cs="Arial" w:eastAsia="Arial" w:hAnsi="Arial"/>
                <w:sz w:val="16"/>
                <w:szCs w:val="16"/>
                <w:color w:val="auto"/>
              </w:rPr>
              <w:t>(Principal Accounting and Financial Officer)</w:t>
            </w:r>
          </w:p>
        </w:tc>
        <w:tc>
          <w:tcPr>
            <w:tcW w:w="1960" w:type="dxa"/>
            <w:vAlign w:val="bottom"/>
          </w:tcPr>
          <w:p>
            <w:pPr>
              <w:spacing w:after="0"/>
              <w:rPr>
                <w:sz w:val="17"/>
                <w:szCs w:val="17"/>
                <w:color w:val="auto"/>
              </w:rPr>
            </w:pPr>
          </w:p>
        </w:tc>
      </w:tr>
      <w:tr>
        <w:trPr>
          <w:trHeight w:val="30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Kelly A. Romano</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6"/>
                <w:szCs w:val="16"/>
                <w:color w:val="auto"/>
              </w:rPr>
              <w:t>Chair of the Board of Directors</w:t>
            </w:r>
          </w:p>
        </w:tc>
        <w:tc>
          <w:tcPr>
            <w:tcW w:w="1960" w:type="dxa"/>
            <w:vAlign w:val="bottom"/>
          </w:tcPr>
          <w:p>
            <w:pPr>
              <w:jc w:val="center"/>
              <w:spacing w:after="0"/>
              <w:rPr>
                <w:sz w:val="20"/>
                <w:szCs w:val="20"/>
                <w:color w:val="auto"/>
              </w:rPr>
            </w:pPr>
            <w:r>
              <w:rPr>
                <w:rFonts w:ascii="Arial" w:cs="Arial" w:eastAsia="Arial" w:hAnsi="Arial"/>
                <w:sz w:val="16"/>
                <w:szCs w:val="16"/>
                <w:color w:val="auto"/>
                <w:w w:val="93"/>
              </w:rPr>
              <w:t>March 28, 2022</w:t>
            </w:r>
          </w:p>
        </w:tc>
      </w:tr>
      <w:tr>
        <w:trPr>
          <w:trHeight w:val="201"/>
        </w:trPr>
        <w:tc>
          <w:tcPr>
            <w:tcW w:w="4180" w:type="dxa"/>
            <w:vAlign w:val="bottom"/>
          </w:tcPr>
          <w:p>
            <w:pPr>
              <w:jc w:val="center"/>
              <w:spacing w:after="0"/>
              <w:rPr>
                <w:sz w:val="20"/>
                <w:szCs w:val="20"/>
                <w:color w:val="auto"/>
              </w:rPr>
            </w:pPr>
            <w:r>
              <w:rPr>
                <w:rFonts w:ascii="Arial" w:cs="Arial" w:eastAsia="Arial" w:hAnsi="Arial"/>
                <w:sz w:val="16"/>
                <w:szCs w:val="16"/>
                <w:color w:val="auto"/>
                <w:w w:val="97"/>
              </w:rPr>
              <w:t>Kelly A. Romano</w:t>
            </w:r>
          </w:p>
        </w:tc>
        <w:tc>
          <w:tcPr>
            <w:tcW w:w="1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30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/s/ Joseph Edelman</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960" w:type="dxa"/>
            <w:vAlign w:val="bottom"/>
          </w:tcPr>
          <w:p>
            <w:pPr>
              <w:jc w:val="center"/>
              <w:spacing w:after="0"/>
              <w:rPr>
                <w:sz w:val="20"/>
                <w:szCs w:val="20"/>
                <w:color w:val="auto"/>
              </w:rPr>
            </w:pPr>
            <w:r>
              <w:rPr>
                <w:rFonts w:ascii="Arial" w:cs="Arial" w:eastAsia="Arial" w:hAnsi="Arial"/>
                <w:sz w:val="16"/>
                <w:szCs w:val="16"/>
                <w:color w:val="auto"/>
                <w:w w:val="93"/>
              </w:rPr>
              <w:t>March 28, 2022</w:t>
            </w:r>
          </w:p>
        </w:tc>
      </w:tr>
      <w:tr>
        <w:trPr>
          <w:trHeight w:val="201"/>
        </w:trPr>
        <w:tc>
          <w:tcPr>
            <w:tcW w:w="4180" w:type="dxa"/>
            <w:vAlign w:val="bottom"/>
          </w:tcPr>
          <w:p>
            <w:pPr>
              <w:jc w:val="center"/>
              <w:spacing w:after="0"/>
              <w:rPr>
                <w:sz w:val="20"/>
                <w:szCs w:val="20"/>
                <w:color w:val="auto"/>
              </w:rPr>
            </w:pPr>
            <w:r>
              <w:rPr>
                <w:rFonts w:ascii="Arial" w:cs="Arial" w:eastAsia="Arial" w:hAnsi="Arial"/>
                <w:sz w:val="16"/>
                <w:szCs w:val="16"/>
                <w:color w:val="auto"/>
                <w:w w:val="88"/>
              </w:rPr>
              <w:t>Joseph Edelman</w:t>
            </w:r>
          </w:p>
        </w:tc>
        <w:tc>
          <w:tcPr>
            <w:tcW w:w="1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30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John M. Fluke, Jr.</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960" w:type="dxa"/>
            <w:vAlign w:val="bottom"/>
          </w:tcPr>
          <w:p>
            <w:pPr>
              <w:jc w:val="center"/>
              <w:spacing w:after="0"/>
              <w:rPr>
                <w:sz w:val="20"/>
                <w:szCs w:val="20"/>
                <w:color w:val="auto"/>
              </w:rPr>
            </w:pPr>
            <w:r>
              <w:rPr>
                <w:rFonts w:ascii="Arial" w:cs="Arial" w:eastAsia="Arial" w:hAnsi="Arial"/>
                <w:sz w:val="16"/>
                <w:szCs w:val="16"/>
                <w:color w:val="auto"/>
                <w:w w:val="93"/>
              </w:rPr>
              <w:t>March 28, 2022</w:t>
            </w:r>
          </w:p>
        </w:tc>
      </w:tr>
      <w:tr>
        <w:trPr>
          <w:trHeight w:val="201"/>
        </w:trPr>
        <w:tc>
          <w:tcPr>
            <w:tcW w:w="4180" w:type="dxa"/>
            <w:vAlign w:val="bottom"/>
          </w:tcPr>
          <w:p>
            <w:pPr>
              <w:jc w:val="center"/>
              <w:spacing w:after="0"/>
              <w:rPr>
                <w:sz w:val="20"/>
                <w:szCs w:val="20"/>
                <w:color w:val="auto"/>
              </w:rPr>
            </w:pPr>
            <w:r>
              <w:rPr>
                <w:rFonts w:ascii="Arial" w:cs="Arial" w:eastAsia="Arial" w:hAnsi="Arial"/>
                <w:sz w:val="16"/>
                <w:szCs w:val="16"/>
                <w:color w:val="auto"/>
                <w:w w:val="92"/>
              </w:rPr>
              <w:t>John M. Fluke, Jr.</w:t>
            </w:r>
          </w:p>
        </w:tc>
        <w:tc>
          <w:tcPr>
            <w:tcW w:w="1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30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/s/ James A. Johnson</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960" w:type="dxa"/>
            <w:vAlign w:val="bottom"/>
          </w:tcPr>
          <w:p>
            <w:pPr>
              <w:jc w:val="center"/>
              <w:spacing w:after="0"/>
              <w:rPr>
                <w:sz w:val="20"/>
                <w:szCs w:val="20"/>
                <w:color w:val="auto"/>
              </w:rPr>
            </w:pPr>
            <w:r>
              <w:rPr>
                <w:rFonts w:ascii="Arial" w:cs="Arial" w:eastAsia="Arial" w:hAnsi="Arial"/>
                <w:sz w:val="16"/>
                <w:szCs w:val="16"/>
                <w:color w:val="auto"/>
                <w:w w:val="93"/>
              </w:rPr>
              <w:t>March 28, 2022</w:t>
            </w:r>
          </w:p>
        </w:tc>
      </w:tr>
      <w:tr>
        <w:trPr>
          <w:trHeight w:val="201"/>
        </w:trPr>
        <w:tc>
          <w:tcPr>
            <w:tcW w:w="4180" w:type="dxa"/>
            <w:vAlign w:val="bottom"/>
          </w:tcPr>
          <w:p>
            <w:pPr>
              <w:jc w:val="center"/>
              <w:spacing w:after="0"/>
              <w:rPr>
                <w:sz w:val="20"/>
                <w:szCs w:val="20"/>
                <w:color w:val="auto"/>
              </w:rPr>
            </w:pPr>
            <w:r>
              <w:rPr>
                <w:rFonts w:ascii="Arial" w:cs="Arial" w:eastAsia="Arial" w:hAnsi="Arial"/>
                <w:sz w:val="16"/>
                <w:szCs w:val="16"/>
                <w:color w:val="auto"/>
                <w:w w:val="89"/>
              </w:rPr>
              <w:t>James A. Johnson</w:t>
            </w:r>
          </w:p>
        </w:tc>
        <w:tc>
          <w:tcPr>
            <w:tcW w:w="1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30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Barbara Kosacz</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960" w:type="dxa"/>
            <w:vAlign w:val="bottom"/>
          </w:tcPr>
          <w:p>
            <w:pPr>
              <w:jc w:val="center"/>
              <w:spacing w:after="0"/>
              <w:rPr>
                <w:sz w:val="20"/>
                <w:szCs w:val="20"/>
                <w:color w:val="auto"/>
              </w:rPr>
            </w:pPr>
            <w:r>
              <w:rPr>
                <w:rFonts w:ascii="Arial" w:cs="Arial" w:eastAsia="Arial" w:hAnsi="Arial"/>
                <w:sz w:val="16"/>
                <w:szCs w:val="16"/>
                <w:color w:val="auto"/>
                <w:w w:val="93"/>
              </w:rPr>
              <w:t>March 28, 2022</w:t>
            </w:r>
          </w:p>
        </w:tc>
      </w:tr>
      <w:tr>
        <w:trPr>
          <w:trHeight w:val="201"/>
        </w:trPr>
        <w:tc>
          <w:tcPr>
            <w:tcW w:w="4180" w:type="dxa"/>
            <w:vAlign w:val="bottom"/>
          </w:tcPr>
          <w:p>
            <w:pPr>
              <w:jc w:val="center"/>
              <w:spacing w:after="0"/>
              <w:rPr>
                <w:sz w:val="20"/>
                <w:szCs w:val="20"/>
                <w:color w:val="auto"/>
              </w:rPr>
            </w:pPr>
            <w:r>
              <w:rPr>
                <w:rFonts w:ascii="Arial" w:cs="Arial" w:eastAsia="Arial" w:hAnsi="Arial"/>
                <w:sz w:val="16"/>
                <w:szCs w:val="16"/>
                <w:color w:val="auto"/>
                <w:w w:val="91"/>
              </w:rPr>
              <w:t>Barbara Kosacz</w:t>
            </w:r>
          </w:p>
        </w:tc>
        <w:tc>
          <w:tcPr>
            <w:tcW w:w="1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30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Michael Panzara</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960" w:type="dxa"/>
            <w:vAlign w:val="bottom"/>
          </w:tcPr>
          <w:p>
            <w:pPr>
              <w:jc w:val="center"/>
              <w:spacing w:after="0"/>
              <w:rPr>
                <w:sz w:val="20"/>
                <w:szCs w:val="20"/>
                <w:color w:val="auto"/>
              </w:rPr>
            </w:pPr>
            <w:r>
              <w:rPr>
                <w:rFonts w:ascii="Arial" w:cs="Arial" w:eastAsia="Arial" w:hAnsi="Arial"/>
                <w:sz w:val="16"/>
                <w:szCs w:val="16"/>
                <w:color w:val="auto"/>
                <w:w w:val="93"/>
              </w:rPr>
              <w:t>March 28, 2022</w:t>
            </w:r>
          </w:p>
        </w:tc>
      </w:tr>
      <w:tr>
        <w:trPr>
          <w:trHeight w:val="201"/>
        </w:trPr>
        <w:tc>
          <w:tcPr>
            <w:tcW w:w="4180" w:type="dxa"/>
            <w:vAlign w:val="bottom"/>
          </w:tcPr>
          <w:p>
            <w:pPr>
              <w:jc w:val="center"/>
              <w:spacing w:after="0"/>
              <w:rPr>
                <w:sz w:val="20"/>
                <w:szCs w:val="20"/>
                <w:color w:val="auto"/>
              </w:rPr>
            </w:pPr>
            <w:r>
              <w:rPr>
                <w:rFonts w:ascii="Arial" w:cs="Arial" w:eastAsia="Arial" w:hAnsi="Arial"/>
                <w:sz w:val="16"/>
                <w:szCs w:val="16"/>
                <w:color w:val="auto"/>
                <w:w w:val="92"/>
              </w:rPr>
              <w:t>Michael Panzara</w:t>
            </w:r>
          </w:p>
        </w:tc>
        <w:tc>
          <w:tcPr>
            <w:tcW w:w="1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30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Grant Pickering</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960" w:type="dxa"/>
            <w:vAlign w:val="bottom"/>
          </w:tcPr>
          <w:p>
            <w:pPr>
              <w:jc w:val="center"/>
              <w:spacing w:after="0"/>
              <w:rPr>
                <w:sz w:val="20"/>
                <w:szCs w:val="20"/>
                <w:color w:val="auto"/>
              </w:rPr>
            </w:pPr>
            <w:r>
              <w:rPr>
                <w:rFonts w:ascii="Arial" w:cs="Arial" w:eastAsia="Arial" w:hAnsi="Arial"/>
                <w:sz w:val="16"/>
                <w:szCs w:val="16"/>
                <w:color w:val="auto"/>
                <w:w w:val="93"/>
              </w:rPr>
              <w:t>March 28, 2022</w:t>
            </w:r>
          </w:p>
        </w:tc>
      </w:tr>
      <w:tr>
        <w:trPr>
          <w:trHeight w:val="201"/>
        </w:trPr>
        <w:tc>
          <w:tcPr>
            <w:tcW w:w="4180" w:type="dxa"/>
            <w:vAlign w:val="bottom"/>
          </w:tcPr>
          <w:p>
            <w:pPr>
              <w:jc w:val="center"/>
              <w:spacing w:after="0"/>
              <w:rPr>
                <w:sz w:val="20"/>
                <w:szCs w:val="20"/>
                <w:color w:val="auto"/>
              </w:rPr>
            </w:pPr>
            <w:r>
              <w:rPr>
                <w:rFonts w:ascii="Arial" w:cs="Arial" w:eastAsia="Arial" w:hAnsi="Arial"/>
                <w:sz w:val="16"/>
                <w:szCs w:val="16"/>
                <w:color w:val="auto"/>
                <w:w w:val="94"/>
              </w:rPr>
              <w:t>Grant Pickering</w:t>
            </w:r>
          </w:p>
        </w:tc>
        <w:tc>
          <w:tcPr>
            <w:tcW w:w="1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r>
    </w:tbl>
    <w:p>
      <w:pPr>
        <w:sectPr>
          <w:pgSz w:w="11900" w:h="16838" w:orient="portrait"/>
          <w:cols w:equalWidth="0" w:num="1">
            <w:col w:w="11240"/>
          </w:cols>
          <w:pgMar w:left="320" w:top="320" w:right="339" w:bottom="1440" w:gutter="0" w:footer="0" w:header="0"/>
        </w:sectPr>
      </w:pPr>
    </w:p>
    <w:bookmarkStart w:id="5" w:name="page6"/>
    <w:bookmarkEnd w:id="5"/>
    <w:p>
      <w:pPr>
        <w:jc w:val="right"/>
        <w:ind w:right="40"/>
        <w:spacing w:after="0"/>
        <w:rPr>
          <w:sz w:val="20"/>
          <w:szCs w:val="20"/>
          <w:color w:val="auto"/>
        </w:rPr>
      </w:pPr>
      <w:r>
        <w:rPr>
          <w:rFonts w:ascii="Arial" w:cs="Arial" w:eastAsia="Arial" w:hAnsi="Arial"/>
          <w:sz w:val="15"/>
          <w:szCs w:val="15"/>
          <w:b w:val="1"/>
          <w:bCs w:val="1"/>
          <w:color w:val="auto"/>
        </w:rPr>
        <w:t>Exhibit 5.1</w:t>
      </w:r>
    </w:p>
    <w:p>
      <w:pPr>
        <w:spacing w:after="0" w:line="290" w:lineRule="exact"/>
        <w:rPr>
          <w:sz w:val="20"/>
          <w:szCs w:val="20"/>
          <w:color w:val="auto"/>
        </w:rPr>
      </w:pPr>
    </w:p>
    <w:p>
      <w:pPr>
        <w:ind w:left="5300"/>
        <w:spacing w:after="0"/>
        <w:rPr>
          <w:sz w:val="20"/>
          <w:szCs w:val="20"/>
          <w:color w:val="auto"/>
        </w:rPr>
      </w:pPr>
      <w:r>
        <w:rPr>
          <w:rFonts w:ascii="Arial" w:cs="Arial" w:eastAsia="Arial" w:hAnsi="Arial"/>
          <w:sz w:val="13"/>
          <w:szCs w:val="13"/>
          <w:color w:val="003D4C"/>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-81280</wp:posOffset>
            </wp:positionV>
            <wp:extent cx="990600" cy="36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990600" cy="366395"/>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3"/>
          <w:szCs w:val="13"/>
          <w:color w:val="003D4C"/>
        </w:rPr>
        <w:t>Professional Corporation</w:t>
      </w:r>
    </w:p>
    <w:p>
      <w:pPr>
        <w:spacing w:after="0" w:line="33" w:lineRule="exact"/>
        <w:rPr>
          <w:sz w:val="20"/>
          <w:szCs w:val="20"/>
          <w:color w:val="auto"/>
        </w:rPr>
      </w:pPr>
    </w:p>
    <w:p>
      <w:pPr>
        <w:ind w:left="5900"/>
        <w:spacing w:after="0"/>
        <w:rPr>
          <w:sz w:val="20"/>
          <w:szCs w:val="20"/>
          <w:color w:val="auto"/>
        </w:rPr>
      </w:pPr>
      <w:r>
        <w:rPr>
          <w:rFonts w:ascii="Arial" w:cs="Arial" w:eastAsia="Arial" w:hAnsi="Arial"/>
          <w:sz w:val="13"/>
          <w:szCs w:val="13"/>
          <w:color w:val="003D4C"/>
        </w:rPr>
        <w:t>701 Fifth Avenue</w:t>
      </w:r>
    </w:p>
    <w:p>
      <w:pPr>
        <w:ind w:left="5300"/>
        <w:spacing w:after="0" w:line="216" w:lineRule="auto"/>
        <w:rPr>
          <w:sz w:val="20"/>
          <w:szCs w:val="20"/>
          <w:color w:val="auto"/>
        </w:rPr>
      </w:pPr>
      <w:r>
        <w:rPr>
          <w:rFonts w:ascii="Arial" w:cs="Arial" w:eastAsia="Arial" w:hAnsi="Arial"/>
          <w:sz w:val="13"/>
          <w:szCs w:val="13"/>
          <w:color w:val="003D4C"/>
        </w:rPr>
        <w:t>Suite 5100</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3"/>
          <w:szCs w:val="13"/>
          <w:color w:val="003D4C"/>
        </w:rPr>
        <w:t>Seattle, Washington 98104-7036</w:t>
      </w:r>
    </w:p>
    <w:p>
      <w:pPr>
        <w:spacing w:after="0" w:line="45" w:lineRule="exact"/>
        <w:rPr>
          <w:sz w:val="20"/>
          <w:szCs w:val="20"/>
          <w:color w:val="auto"/>
        </w:rPr>
      </w:pPr>
    </w:p>
    <w:p>
      <w:pPr>
        <w:ind w:left="5900"/>
        <w:spacing w:after="0"/>
        <w:rPr>
          <w:sz w:val="20"/>
          <w:szCs w:val="20"/>
          <w:color w:val="auto"/>
        </w:rPr>
      </w:pPr>
      <w:r>
        <w:rPr>
          <w:rFonts w:ascii="Arial" w:cs="Arial" w:eastAsia="Arial" w:hAnsi="Arial"/>
          <w:sz w:val="9"/>
          <w:szCs w:val="9"/>
          <w:color w:val="003D4C"/>
        </w:rPr>
        <w:t>O</w:t>
      </w:r>
      <w:r>
        <w:rPr>
          <w:rFonts w:ascii="Arial" w:cs="Arial" w:eastAsia="Arial" w:hAnsi="Arial"/>
          <w:sz w:val="13"/>
          <w:szCs w:val="13"/>
          <w:color w:val="003D4C"/>
        </w:rPr>
        <w:t>: 206.883.2500</w:t>
      </w:r>
    </w:p>
    <w:p>
      <w:pPr>
        <w:ind w:left="5300"/>
        <w:spacing w:after="0"/>
        <w:rPr>
          <w:sz w:val="20"/>
          <w:szCs w:val="20"/>
          <w:color w:val="auto"/>
        </w:rPr>
      </w:pPr>
      <w:r>
        <w:rPr>
          <w:rFonts w:ascii="Arial" w:cs="Arial" w:eastAsia="Arial" w:hAnsi="Arial"/>
          <w:sz w:val="9"/>
          <w:szCs w:val="9"/>
          <w:color w:val="003D4C"/>
        </w:rPr>
        <w:t>F</w:t>
      </w:r>
      <w:r>
        <w:rPr>
          <w:rFonts w:ascii="Arial" w:cs="Arial" w:eastAsia="Arial" w:hAnsi="Arial"/>
          <w:sz w:val="13"/>
          <w:szCs w:val="13"/>
          <w:color w:val="003D4C"/>
        </w:rPr>
        <w:t>: 206.883.2699</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March 28, 2022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Athira Pharma,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18706 North Creek Parkway, Suite 104</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Bothell, WA 98011</w:t>
      </w:r>
    </w:p>
    <w:p>
      <w:pPr>
        <w:spacing w:after="0" w:line="17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Registration Statement on Form S-8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40" w:firstLine="865"/>
        <w:spacing w:after="0" w:line="264" w:lineRule="auto"/>
        <w:rPr>
          <w:sz w:val="20"/>
          <w:szCs w:val="20"/>
          <w:color w:val="auto"/>
        </w:rPr>
      </w:pPr>
      <w:r>
        <w:rPr>
          <w:rFonts w:ascii="Arial" w:cs="Arial" w:eastAsia="Arial" w:hAnsi="Arial"/>
          <w:sz w:val="17"/>
          <w:szCs w:val="17"/>
          <w:color w:val="auto"/>
        </w:rPr>
        <w:t>We have examined the Registration Statement on Form S-8 (the “Registration Statement”) to be filed by Athira Pharma, Inc., a Delaware corporation, with the Securities and Exchange Commission on or about the date hereof, in connection with the registration under the Securities Act of 1933, as amended, of an aggregate of 2,242,743 shares of your common stock, par value $0.0001 per share (the “Shares”), consisting of: (i) 1,868,953 shares of common stock to be issued under the 2020 Equity Incentive Plan (the “2020 Plan”) and (ii) 373,790 shares of common stock to be issued under the 2020 Employee Stock Purchase Plan (the “2020 ESPP,” and together with the 2020 Plan, the “Plans”). As your legal counsel, we have reviewed the actions proposed to be taken by you in connection with the issuance and sale of the Shares to be issued under the Plans.</w:t>
      </w:r>
    </w:p>
    <w:p>
      <w:pPr>
        <w:spacing w:after="0" w:line="159" w:lineRule="exact"/>
        <w:rPr>
          <w:sz w:val="20"/>
          <w:szCs w:val="20"/>
          <w:color w:val="auto"/>
        </w:rPr>
      </w:pPr>
    </w:p>
    <w:p>
      <w:pPr>
        <w:ind w:right="80" w:firstLine="865"/>
        <w:spacing w:after="0" w:line="269" w:lineRule="auto"/>
        <w:rPr>
          <w:sz w:val="20"/>
          <w:szCs w:val="20"/>
          <w:color w:val="auto"/>
        </w:rPr>
      </w:pPr>
      <w:r>
        <w:rPr>
          <w:rFonts w:ascii="Arial" w:cs="Arial" w:eastAsia="Arial" w:hAnsi="Arial"/>
          <w:sz w:val="18"/>
          <w:szCs w:val="18"/>
          <w:color w:val="auto"/>
        </w:rPr>
        <w:t>It is our opinion that the Shares, when issued and sold in the manner referred to in the Plans and pursuant to the agreements that accompany the Plans, will be legally and validly issued, fully paid and nonassessable.</w:t>
      </w:r>
    </w:p>
    <w:p>
      <w:pPr>
        <w:spacing w:after="0" w:line="150" w:lineRule="exact"/>
        <w:rPr>
          <w:sz w:val="20"/>
          <w:szCs w:val="20"/>
          <w:color w:val="auto"/>
        </w:rPr>
      </w:pPr>
    </w:p>
    <w:p>
      <w:pPr>
        <w:ind w:right="60" w:firstLine="865"/>
        <w:spacing w:after="0" w:line="269"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40" w:type="dxa"/>
            <w:vAlign w:val="bottom"/>
          </w:tcPr>
          <w:p>
            <w:pPr>
              <w:ind w:left="2180"/>
              <w:spacing w:after="0"/>
              <w:rPr>
                <w:sz w:val="20"/>
                <w:szCs w:val="20"/>
                <w:color w:val="auto"/>
              </w:rPr>
            </w:pPr>
            <w:r>
              <w:rPr>
                <w:rFonts w:ascii="Arial" w:cs="Arial" w:eastAsia="Arial" w:hAnsi="Arial"/>
                <w:sz w:val="11"/>
                <w:szCs w:val="11"/>
                <w:color w:val="003D4C"/>
                <w:w w:val="98"/>
              </w:rPr>
              <w:t>AUSTINBEIJING</w:t>
            </w:r>
          </w:p>
        </w:tc>
        <w:tc>
          <w:tcPr>
            <w:tcW w:w="1320" w:type="dxa"/>
            <w:vAlign w:val="bottom"/>
          </w:tcPr>
          <w:p>
            <w:pPr>
              <w:ind w:left="60"/>
              <w:spacing w:after="0"/>
              <w:rPr>
                <w:sz w:val="20"/>
                <w:szCs w:val="20"/>
                <w:color w:val="auto"/>
              </w:rPr>
            </w:pPr>
            <w:r>
              <w:rPr>
                <w:rFonts w:ascii="Arial" w:cs="Arial" w:eastAsia="Arial" w:hAnsi="Arial"/>
                <w:sz w:val="11"/>
                <w:szCs w:val="11"/>
                <w:color w:val="003D4C"/>
                <w:w w:val="95"/>
              </w:rPr>
              <w:t>BOSTONBRUSSELS</w:t>
            </w:r>
          </w:p>
        </w:tc>
        <w:tc>
          <w:tcPr>
            <w:tcW w:w="2680" w:type="dxa"/>
            <w:vAlign w:val="bottom"/>
          </w:tcPr>
          <w:p>
            <w:pPr>
              <w:ind w:left="220"/>
              <w:spacing w:after="0"/>
              <w:rPr>
                <w:sz w:val="20"/>
                <w:szCs w:val="20"/>
                <w:color w:val="auto"/>
              </w:rPr>
            </w:pPr>
            <w:r>
              <w:rPr>
                <w:rFonts w:ascii="Arial" w:cs="Arial" w:eastAsia="Arial" w:hAnsi="Arial"/>
                <w:sz w:val="11"/>
                <w:szCs w:val="11"/>
                <w:color w:val="003D4C"/>
                <w:w w:val="98"/>
              </w:rPr>
              <w:t>HONG KONGLONDONLOS ANGELES</w:t>
            </w:r>
          </w:p>
        </w:tc>
        <w:tc>
          <w:tcPr>
            <w:tcW w:w="3840" w:type="dxa"/>
            <w:vAlign w:val="bottom"/>
          </w:tcPr>
          <w:p>
            <w:pPr>
              <w:ind w:left="160"/>
              <w:spacing w:after="0"/>
              <w:rPr>
                <w:sz w:val="20"/>
                <w:szCs w:val="20"/>
                <w:color w:val="auto"/>
              </w:rPr>
            </w:pPr>
            <w:r>
              <w:rPr>
                <w:rFonts w:ascii="Arial" w:cs="Arial" w:eastAsia="Arial" w:hAnsi="Arial"/>
                <w:sz w:val="11"/>
                <w:szCs w:val="11"/>
                <w:color w:val="003D4C"/>
                <w:w w:val="98"/>
              </w:rPr>
              <w:t>NEW YORKPALO ALTO</w:t>
            </w:r>
          </w:p>
        </w:tc>
      </w:tr>
      <w:tr>
        <w:trPr>
          <w:trHeight w:val="146"/>
        </w:trPr>
        <w:tc>
          <w:tcPr>
            <w:tcW w:w="3440" w:type="dxa"/>
            <w:vAlign w:val="bottom"/>
          </w:tcPr>
          <w:p>
            <w:pPr>
              <w:ind w:left="2780"/>
              <w:spacing w:after="0"/>
              <w:rPr>
                <w:sz w:val="20"/>
                <w:szCs w:val="20"/>
                <w:color w:val="auto"/>
              </w:rPr>
            </w:pPr>
            <w:r>
              <w:rPr>
                <w:rFonts w:ascii="Arial" w:cs="Arial" w:eastAsia="Arial" w:hAnsi="Arial"/>
                <w:sz w:val="11"/>
                <w:szCs w:val="11"/>
                <w:color w:val="003D4C"/>
              </w:rPr>
              <w:t>SAN DIEGO</w:t>
            </w:r>
          </w:p>
        </w:tc>
        <w:tc>
          <w:tcPr>
            <w:tcW w:w="1320" w:type="dxa"/>
            <w:vAlign w:val="bottom"/>
          </w:tcPr>
          <w:p>
            <w:pPr>
              <w:ind w:left="180"/>
              <w:spacing w:after="0"/>
              <w:rPr>
                <w:sz w:val="20"/>
                <w:szCs w:val="20"/>
                <w:color w:val="auto"/>
              </w:rPr>
            </w:pPr>
            <w:r>
              <w:rPr>
                <w:rFonts w:ascii="Arial" w:cs="Arial" w:eastAsia="Arial" w:hAnsi="Arial"/>
                <w:sz w:val="11"/>
                <w:szCs w:val="11"/>
                <w:color w:val="003D4C"/>
              </w:rPr>
              <w:t>SAN FRANCISCO</w:t>
            </w:r>
          </w:p>
        </w:tc>
        <w:tc>
          <w:tcPr>
            <w:tcW w:w="2680" w:type="dxa"/>
            <w:vAlign w:val="bottom"/>
          </w:tcPr>
          <w:p>
            <w:pPr>
              <w:spacing w:after="0"/>
              <w:rPr>
                <w:sz w:val="20"/>
                <w:szCs w:val="20"/>
                <w:color w:val="auto"/>
              </w:rPr>
            </w:pPr>
            <w:r>
              <w:rPr>
                <w:rFonts w:ascii="Arial" w:cs="Arial" w:eastAsia="Arial" w:hAnsi="Arial"/>
                <w:sz w:val="11"/>
                <w:szCs w:val="11"/>
                <w:color w:val="003D4C"/>
              </w:rPr>
              <w:t>SEATTLESHANGHAIWASHINGTON, DC</w:t>
            </w:r>
          </w:p>
        </w:tc>
        <w:tc>
          <w:tcPr>
            <w:tcW w:w="3840" w:type="dxa"/>
            <w:vAlign w:val="bottom"/>
          </w:tcPr>
          <w:p>
            <w:pPr>
              <w:ind w:left="60"/>
              <w:spacing w:after="0"/>
              <w:rPr>
                <w:sz w:val="20"/>
                <w:szCs w:val="20"/>
                <w:color w:val="auto"/>
              </w:rPr>
            </w:pPr>
            <w:r>
              <w:rPr>
                <w:rFonts w:ascii="Arial" w:cs="Arial" w:eastAsia="Arial" w:hAnsi="Arial"/>
                <w:sz w:val="11"/>
                <w:szCs w:val="11"/>
                <w:color w:val="003D4C"/>
              </w:rPr>
              <w:t>WILMINGTON, DE</w:t>
            </w:r>
          </w:p>
        </w:tc>
      </w:tr>
      <w:tr>
        <w:trPr>
          <w:trHeight w:val="278"/>
        </w:trPr>
        <w:tc>
          <w:tcPr>
            <w:tcW w:w="34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-27940</wp:posOffset>
            </wp:positionV>
            <wp:extent cx="3302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3"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49149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491490" cy="179705"/>
                    </a:xfrm>
                    <a:prstGeom prst="rect">
                      <a:avLst/>
                    </a:prstGeom>
                    <a:noFill/>
                  </pic:spPr>
                </pic:pic>
              </a:graphicData>
            </a:graphic>
          </wp:anchor>
        </w:drawing>
        <w:t>March 28, 2022</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7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 Wilson Sonsini Goodrich &amp; Rosati, P.C.</w:t>
      </w:r>
    </w:p>
    <w:p>
      <w:pPr>
        <w:spacing w:after="0" w:line="21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WILSON SONSINI GOODRICH &amp; ROSATI</w:t>
      </w:r>
    </w:p>
    <w:p>
      <w:pPr>
        <w:spacing w:after="0" w:line="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0139"/>
          </w:cols>
          <w:pgMar w:left="320" w:top="626"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color w:val="auto"/>
        </w:rPr>
        <w:t>Exhibit 23.1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59"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2020 Equity Incentive Plan and 2020 Employee Stock Purchase Plan of Athira Pharma, Inc. of our report dated March 28, 2022, with respect to the consolidated financial statements of Athira Pharma, Inc. included in its Annual Report (Form 10-K) for the year ended December 31, 2021, filed with the Securities and Exchange Commission.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Seattle, Washington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March 28, 2022</w:t>
      </w:r>
    </w:p>
    <w:p>
      <w:pPr>
        <w:sectPr>
          <w:pgSz w:w="11900" w:h="16838" w:orient="portrait"/>
          <w:cols w:equalWidth="0" w:num="1">
            <w:col w:w="11240"/>
          </w:cols>
          <w:pgMar w:left="320" w:top="320" w:right="339" w:bottom="1440" w:gutter="0" w:footer="0" w:header="0"/>
        </w:sectPr>
      </w:pPr>
    </w:p>
    <w:bookmarkStart w:id="8" w:name="page9"/>
    <w:bookmarkEnd w:id="8"/>
    <w:p>
      <w:pPr>
        <w:jc w:val="right"/>
        <w:ind w:right="100"/>
        <w:spacing w:after="0"/>
        <w:rPr>
          <w:sz w:val="20"/>
          <w:szCs w:val="20"/>
          <w:color w:val="auto"/>
        </w:rPr>
      </w:pPr>
      <w:r>
        <w:rPr>
          <w:rFonts w:ascii="Arial" w:cs="Arial" w:eastAsia="Arial" w:hAnsi="Arial"/>
          <w:sz w:val="16"/>
          <w:szCs w:val="16"/>
          <w:b w:val="1"/>
          <w:bCs w:val="1"/>
          <w:color w:val="auto"/>
        </w:rPr>
        <w:t>Exhibit 107</w:t>
      </w:r>
    </w:p>
    <w:p>
      <w:pPr>
        <w:spacing w:after="0" w:line="156" w:lineRule="exact"/>
        <w:rPr>
          <w:sz w:val="20"/>
          <w:szCs w:val="20"/>
          <w:color w:val="auto"/>
        </w:rPr>
      </w:pPr>
    </w:p>
    <w:p>
      <w:pPr>
        <w:jc w:val="center"/>
        <w:ind w:right="98"/>
        <w:spacing w:after="0"/>
        <w:rPr>
          <w:sz w:val="20"/>
          <w:szCs w:val="20"/>
          <w:color w:val="auto"/>
        </w:rPr>
      </w:pPr>
      <w:r>
        <w:rPr>
          <w:rFonts w:ascii="Arial" w:cs="Arial" w:eastAsia="Arial" w:hAnsi="Arial"/>
          <w:sz w:val="18"/>
          <w:szCs w:val="18"/>
          <w:b w:val="1"/>
          <w:bCs w:val="1"/>
          <w:color w:val="auto"/>
        </w:rPr>
        <w:t>Calculation of Filing Fee Table</w:t>
      </w:r>
    </w:p>
    <w:p>
      <w:pPr>
        <w:spacing w:after="0" w:line="198" w:lineRule="exact"/>
        <w:rPr>
          <w:sz w:val="20"/>
          <w:szCs w:val="20"/>
          <w:color w:val="auto"/>
        </w:rPr>
      </w:pPr>
    </w:p>
    <w:p>
      <w:pPr>
        <w:jc w:val="center"/>
        <w:ind w:right="98"/>
        <w:spacing w:after="0"/>
        <w:rPr>
          <w:sz w:val="20"/>
          <w:szCs w:val="20"/>
          <w:color w:val="auto"/>
        </w:rPr>
      </w:pPr>
      <w:r>
        <w:rPr>
          <w:rFonts w:ascii="Arial" w:cs="Arial" w:eastAsia="Arial" w:hAnsi="Arial"/>
          <w:sz w:val="18"/>
          <w:szCs w:val="18"/>
          <w:b w:val="1"/>
          <w:bCs w:val="1"/>
          <w:color w:val="auto"/>
        </w:rPr>
        <w:t>Form S-8</w:t>
      </w:r>
    </w:p>
    <w:p>
      <w:pPr>
        <w:spacing w:after="0" w:line="43" w:lineRule="exact"/>
        <w:rPr>
          <w:sz w:val="20"/>
          <w:szCs w:val="20"/>
          <w:color w:val="auto"/>
        </w:rPr>
      </w:pPr>
    </w:p>
    <w:p>
      <w:pPr>
        <w:jc w:val="center"/>
        <w:ind w:right="98"/>
        <w:spacing w:after="0"/>
        <w:rPr>
          <w:sz w:val="20"/>
          <w:szCs w:val="20"/>
          <w:color w:val="auto"/>
        </w:rPr>
      </w:pPr>
      <w:r>
        <w:rPr>
          <w:rFonts w:ascii="Arial" w:cs="Arial" w:eastAsia="Arial" w:hAnsi="Arial"/>
          <w:sz w:val="18"/>
          <w:szCs w:val="18"/>
          <w:color w:val="auto"/>
        </w:rPr>
        <w:t>(Form Type)</w:t>
      </w:r>
    </w:p>
    <w:p>
      <w:pPr>
        <w:spacing w:after="0" w:line="194" w:lineRule="exact"/>
        <w:rPr>
          <w:sz w:val="20"/>
          <w:szCs w:val="20"/>
          <w:color w:val="auto"/>
        </w:rPr>
      </w:pPr>
    </w:p>
    <w:p>
      <w:pPr>
        <w:jc w:val="center"/>
        <w:ind w:right="98"/>
        <w:spacing w:after="0"/>
        <w:rPr>
          <w:sz w:val="20"/>
          <w:szCs w:val="20"/>
          <w:color w:val="auto"/>
        </w:rPr>
      </w:pPr>
      <w:r>
        <w:rPr>
          <w:rFonts w:ascii="Arial" w:cs="Arial" w:eastAsia="Arial" w:hAnsi="Arial"/>
          <w:sz w:val="18"/>
          <w:szCs w:val="18"/>
          <w:b w:val="1"/>
          <w:bCs w:val="1"/>
          <w:color w:val="auto"/>
        </w:rPr>
        <w:t>Athira Pharma, Inc.</w:t>
      </w:r>
    </w:p>
    <w:p>
      <w:pPr>
        <w:spacing w:after="0" w:line="30" w:lineRule="exact"/>
        <w:rPr>
          <w:sz w:val="20"/>
          <w:szCs w:val="20"/>
          <w:color w:val="auto"/>
        </w:rPr>
      </w:pPr>
    </w:p>
    <w:p>
      <w:pPr>
        <w:jc w:val="center"/>
        <w:ind w:right="98"/>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0"/>
          <w:szCs w:val="20"/>
          <w:color w:val="auto"/>
        </w:rPr>
      </w:pPr>
    </w:p>
    <w:p>
      <w:pPr>
        <w:jc w:val="center"/>
        <w:ind w:right="98"/>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00" w:lineRule="exact"/>
        <w:rPr>
          <w:sz w:val="20"/>
          <w:szCs w:val="20"/>
          <w:color w:val="auto"/>
        </w:rPr>
      </w:pPr>
    </w:p>
    <w:p>
      <w:pPr>
        <w:spacing w:after="0" w:line="212" w:lineRule="exact"/>
        <w:rPr>
          <w:sz w:val="20"/>
          <w:szCs w:val="20"/>
          <w:color w:val="auto"/>
        </w:rPr>
      </w:pPr>
    </w:p>
    <w:tbl>
      <w:tblPr>
        <w:tblLayout w:type="fixed"/>
        <w:tblInd w:w="2" w:type="dxa"/>
        <w:tblCellMar>
          <w:top w:w="0" w:type="dxa"/>
          <w:left w:w="0" w:type="dxa"/>
          <w:bottom w:w="0" w:type="dxa"/>
          <w:right w:w="0" w:type="dxa"/>
        </w:tblCellMar>
      </w:tblPr>
      <w:tr>
        <w:trPr>
          <w:trHeight w:val="209"/>
        </w:trPr>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5"/>
                <w:szCs w:val="15"/>
                <w:b w:val="1"/>
                <w:bCs w:val="1"/>
                <w:color w:val="auto"/>
                <w:w w:val="84"/>
              </w:rPr>
              <w:t>Fee</w:t>
            </w:r>
          </w:p>
        </w:tc>
        <w:tc>
          <w:tcPr>
            <w:tcW w:w="1200" w:type="dxa"/>
            <w:vAlign w:val="bottom"/>
            <w:gridSpan w:val="2"/>
            <w:vMerge w:val="restart"/>
            <w:shd w:val="clear" w:color="auto" w:fill="CCEEFF"/>
          </w:tcPr>
          <w:p>
            <w:pPr>
              <w:jc w:val="center"/>
              <w:ind w:right="40"/>
              <w:spacing w:after="0"/>
              <w:rPr>
                <w:sz w:val="20"/>
                <w:szCs w:val="20"/>
                <w:color w:val="auto"/>
              </w:rPr>
            </w:pPr>
            <w:r>
              <w:rPr>
                <w:rFonts w:ascii="Arial" w:cs="Arial" w:eastAsia="Arial" w:hAnsi="Arial"/>
                <w:sz w:val="15"/>
                <w:szCs w:val="15"/>
                <w:b w:val="1"/>
                <w:bCs w:val="1"/>
                <w:color w:val="auto"/>
                <w:w w:val="91"/>
              </w:rPr>
              <w:t>Amount</w:t>
            </w:r>
          </w:p>
        </w:tc>
        <w:tc>
          <w:tcPr>
            <w:tcW w:w="112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b w:val="1"/>
                <w:bCs w:val="1"/>
                <w:color w:val="auto"/>
                <w:w w:val="83"/>
              </w:rPr>
              <w:t>Proposed</w:t>
            </w:r>
          </w:p>
        </w:tc>
        <w:tc>
          <w:tcPr>
            <w:tcW w:w="116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b w:val="1"/>
                <w:bCs w:val="1"/>
                <w:color w:val="auto"/>
                <w:w w:val="83"/>
              </w:rPr>
              <w:t>Proposed</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9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5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120" w:type="dxa"/>
            <w:vAlign w:val="bottom"/>
            <w:gridSpan w:val="2"/>
            <w:vMerge w:val="restart"/>
            <w:shd w:val="clear" w:color="auto" w:fill="CCEEFF"/>
          </w:tcPr>
          <w:p>
            <w:pPr>
              <w:jc w:val="center"/>
              <w:ind w:right="60"/>
              <w:spacing w:after="0" w:line="169" w:lineRule="exact"/>
              <w:rPr>
                <w:sz w:val="20"/>
                <w:szCs w:val="20"/>
                <w:color w:val="auto"/>
              </w:rPr>
            </w:pPr>
            <w:r>
              <w:rPr>
                <w:rFonts w:ascii="Arial" w:cs="Arial" w:eastAsia="Arial" w:hAnsi="Arial"/>
                <w:sz w:val="15"/>
                <w:szCs w:val="15"/>
                <w:b w:val="1"/>
                <w:bCs w:val="1"/>
                <w:color w:val="auto"/>
                <w:w w:val="95"/>
              </w:rPr>
              <w:t>Maximum</w:t>
            </w:r>
          </w:p>
        </w:tc>
        <w:tc>
          <w:tcPr>
            <w:tcW w:w="1160" w:type="dxa"/>
            <w:vAlign w:val="bottom"/>
            <w:gridSpan w:val="2"/>
            <w:vMerge w:val="restart"/>
            <w:shd w:val="clear" w:color="auto" w:fill="CCEEFF"/>
          </w:tcPr>
          <w:p>
            <w:pPr>
              <w:jc w:val="center"/>
              <w:ind w:right="60"/>
              <w:spacing w:after="0" w:line="169" w:lineRule="exact"/>
              <w:rPr>
                <w:sz w:val="20"/>
                <w:szCs w:val="20"/>
                <w:color w:val="auto"/>
              </w:rPr>
            </w:pPr>
            <w:r>
              <w:rPr>
                <w:rFonts w:ascii="Arial" w:cs="Arial" w:eastAsia="Arial" w:hAnsi="Arial"/>
                <w:sz w:val="15"/>
                <w:szCs w:val="15"/>
                <w:b w:val="1"/>
                <w:bCs w:val="1"/>
                <w:color w:val="auto"/>
                <w:w w:val="95"/>
              </w:rPr>
              <w:t>Maximum</w:t>
            </w:r>
          </w:p>
        </w:tc>
        <w:tc>
          <w:tcPr>
            <w:tcW w:w="9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9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5"/>
                <w:szCs w:val="15"/>
                <w:b w:val="1"/>
                <w:bCs w:val="1"/>
                <w:color w:val="auto"/>
                <w:w w:val="91"/>
              </w:rPr>
              <w:t>Calculation</w:t>
            </w:r>
          </w:p>
        </w:tc>
        <w:tc>
          <w:tcPr>
            <w:tcW w:w="1200" w:type="dxa"/>
            <w:vAlign w:val="bottom"/>
            <w:gridSpan w:val="2"/>
            <w:vMerge w:val="continue"/>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1160" w:type="dxa"/>
            <w:vAlign w:val="bottom"/>
            <w:gridSpan w:val="2"/>
            <w:vMerge w:val="continue"/>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9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80" w:type="dxa"/>
            <w:vAlign w:val="bottom"/>
            <w:gridSpan w:val="2"/>
            <w:vMerge w:val="continue"/>
            <w:shd w:val="clear" w:color="auto" w:fill="CCEEFF"/>
          </w:tcPr>
          <w:p>
            <w:pPr>
              <w:spacing w:after="0"/>
              <w:rPr>
                <w:sz w:val="7"/>
                <w:szCs w:val="7"/>
                <w:color w:val="auto"/>
              </w:rPr>
            </w:pPr>
          </w:p>
        </w:tc>
        <w:tc>
          <w:tcPr>
            <w:tcW w:w="1200" w:type="dxa"/>
            <w:vAlign w:val="bottom"/>
            <w:gridSpan w:val="2"/>
            <w:vMerge w:val="restart"/>
            <w:shd w:val="clear" w:color="auto" w:fill="CCEEFF"/>
          </w:tcPr>
          <w:p>
            <w:pPr>
              <w:jc w:val="center"/>
              <w:ind w:right="40"/>
              <w:spacing w:after="0" w:line="199" w:lineRule="exact"/>
              <w:rPr>
                <w:sz w:val="20"/>
                <w:szCs w:val="20"/>
                <w:color w:val="auto"/>
              </w:rPr>
            </w:pPr>
            <w:r>
              <w:rPr>
                <w:rFonts w:ascii="Arial" w:cs="Arial" w:eastAsia="Arial" w:hAnsi="Arial"/>
                <w:sz w:val="14"/>
                <w:szCs w:val="14"/>
                <w:b w:val="1"/>
                <w:bCs w:val="1"/>
                <w:color w:val="auto"/>
                <w:w w:val="87"/>
              </w:rPr>
              <w:t xml:space="preserve">Registered </w:t>
            </w:r>
            <w:r>
              <w:rPr>
                <w:rFonts w:ascii="Arial" w:cs="Arial" w:eastAsia="Arial" w:hAnsi="Arial"/>
                <w:sz w:val="23"/>
                <w:szCs w:val="23"/>
                <w:b w:val="1"/>
                <w:bCs w:val="1"/>
                <w:color w:val="auto"/>
                <w:w w:val="87"/>
                <w:vertAlign w:val="superscript"/>
              </w:rPr>
              <w:t>(1)(2)</w:t>
            </w:r>
          </w:p>
        </w:tc>
        <w:tc>
          <w:tcPr>
            <w:tcW w:w="112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5"/>
                <w:szCs w:val="15"/>
                <w:b w:val="1"/>
                <w:bCs w:val="1"/>
                <w:color w:val="auto"/>
                <w:w w:val="90"/>
              </w:rPr>
              <w:t>Offering Price</w:t>
            </w:r>
          </w:p>
        </w:tc>
        <w:tc>
          <w:tcPr>
            <w:tcW w:w="116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5"/>
                <w:szCs w:val="15"/>
                <w:b w:val="1"/>
                <w:bCs w:val="1"/>
                <w:color w:val="auto"/>
                <w:w w:val="88"/>
              </w:rPr>
              <w:t>Aggregate</w:t>
            </w:r>
          </w:p>
        </w:tc>
        <w:tc>
          <w:tcPr>
            <w:tcW w:w="9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300" w:type="dxa"/>
            <w:vAlign w:val="bottom"/>
            <w:vMerge w:val="restart"/>
            <w:shd w:val="clear" w:color="auto" w:fill="CCEEFF"/>
          </w:tcPr>
          <w:p>
            <w:pPr>
              <w:jc w:val="center"/>
              <w:spacing w:after="0"/>
              <w:rPr>
                <w:sz w:val="20"/>
                <w:szCs w:val="20"/>
                <w:color w:val="auto"/>
              </w:rPr>
            </w:pPr>
            <w:r>
              <w:rPr>
                <w:rFonts w:ascii="Arial" w:cs="Arial" w:eastAsia="Arial" w:hAnsi="Arial"/>
                <w:sz w:val="15"/>
                <w:szCs w:val="15"/>
                <w:b w:val="1"/>
                <w:bCs w:val="1"/>
                <w:color w:val="auto"/>
                <w:w w:val="90"/>
              </w:rPr>
              <w:t>Amount of</w:t>
            </w:r>
          </w:p>
        </w:tc>
        <w:tc>
          <w:tcPr>
            <w:tcW w:w="0" w:type="dxa"/>
            <w:vAlign w:val="bottom"/>
          </w:tcPr>
          <w:p>
            <w:pPr>
              <w:spacing w:after="0"/>
              <w:rPr>
                <w:sz w:val="1"/>
                <w:szCs w:val="1"/>
                <w:color w:val="auto"/>
              </w:rPr>
            </w:pPr>
          </w:p>
        </w:tc>
      </w:tr>
      <w:tr>
        <w:trPr>
          <w:trHeight w:val="111"/>
        </w:trPr>
        <w:tc>
          <w:tcPr>
            <w:tcW w:w="9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5"/>
                <w:szCs w:val="15"/>
                <w:b w:val="1"/>
                <w:bCs w:val="1"/>
                <w:color w:val="auto"/>
                <w:w w:val="92"/>
              </w:rPr>
              <w:t>Rule</w:t>
            </w:r>
          </w:p>
        </w:tc>
        <w:tc>
          <w:tcPr>
            <w:tcW w:w="1200" w:type="dxa"/>
            <w:vAlign w:val="bottom"/>
            <w:gridSpan w:val="2"/>
            <w:vMerge w:val="continue"/>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160" w:type="dxa"/>
            <w:vAlign w:val="bottom"/>
            <w:gridSpan w:val="2"/>
            <w:vMerge w:val="continue"/>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3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980" w:type="dxa"/>
            <w:vAlign w:val="bottom"/>
            <w:vMerge w:val="restart"/>
            <w:shd w:val="clear" w:color="auto" w:fill="CCEEFF"/>
          </w:tcPr>
          <w:p>
            <w:pPr>
              <w:ind w:left="60"/>
              <w:spacing w:after="0"/>
              <w:rPr>
                <w:sz w:val="20"/>
                <w:szCs w:val="20"/>
                <w:color w:val="auto"/>
              </w:rPr>
            </w:pPr>
            <w:r>
              <w:rPr>
                <w:rFonts w:ascii="Arial" w:cs="Arial" w:eastAsia="Arial" w:hAnsi="Arial"/>
                <w:sz w:val="15"/>
                <w:szCs w:val="15"/>
                <w:b w:val="1"/>
                <w:bCs w:val="1"/>
                <w:color w:val="auto"/>
                <w:w w:val="91"/>
              </w:rPr>
              <w:t>Security Type</w:t>
            </w:r>
          </w:p>
        </w:tc>
        <w:tc>
          <w:tcPr>
            <w:tcW w:w="140" w:type="dxa"/>
            <w:vAlign w:val="bottom"/>
            <w:vMerge w:val="restart"/>
            <w:shd w:val="clear" w:color="auto" w:fill="CCEEFF"/>
          </w:tcPr>
          <w:p>
            <w:pPr>
              <w:spacing w:after="0"/>
              <w:rPr>
                <w:sz w:val="7"/>
                <w:szCs w:val="7"/>
                <w:color w:val="auto"/>
              </w:rPr>
            </w:pPr>
          </w:p>
        </w:tc>
        <w:tc>
          <w:tcPr>
            <w:tcW w:w="3540" w:type="dxa"/>
            <w:vAlign w:val="bottom"/>
            <w:vMerge w:val="restart"/>
            <w:shd w:val="clear" w:color="auto" w:fill="CCEEFF"/>
          </w:tcPr>
          <w:p>
            <w:pPr>
              <w:ind w:left="1160"/>
              <w:spacing w:after="0"/>
              <w:rPr>
                <w:sz w:val="20"/>
                <w:szCs w:val="20"/>
                <w:color w:val="auto"/>
              </w:rPr>
            </w:pPr>
            <w:r>
              <w:rPr>
                <w:rFonts w:ascii="Arial" w:cs="Arial" w:eastAsia="Arial" w:hAnsi="Arial"/>
                <w:sz w:val="15"/>
                <w:szCs w:val="15"/>
                <w:b w:val="1"/>
                <w:bCs w:val="1"/>
                <w:color w:val="auto"/>
              </w:rPr>
              <w:t>Security Class Title</w:t>
            </w:r>
          </w:p>
        </w:tc>
        <w:tc>
          <w:tcPr>
            <w:tcW w:w="40" w:type="dxa"/>
            <w:vAlign w:val="bottom"/>
            <w:vMerge w:val="restart"/>
            <w:shd w:val="clear" w:color="auto" w:fill="CCEEFF"/>
          </w:tcPr>
          <w:p>
            <w:pPr>
              <w:spacing w:after="0"/>
              <w:rPr>
                <w:sz w:val="7"/>
                <w:szCs w:val="7"/>
                <w:color w:val="auto"/>
              </w:rPr>
            </w:pPr>
          </w:p>
        </w:tc>
        <w:tc>
          <w:tcPr>
            <w:tcW w:w="880" w:type="dxa"/>
            <w:vAlign w:val="bottom"/>
            <w:gridSpan w:val="2"/>
            <w:vMerge w:val="continue"/>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5"/>
                <w:szCs w:val="15"/>
                <w:b w:val="1"/>
                <w:bCs w:val="1"/>
                <w:color w:val="auto"/>
                <w:w w:val="93"/>
              </w:rPr>
              <w:t>Per Unit</w:t>
            </w:r>
          </w:p>
        </w:tc>
        <w:tc>
          <w:tcPr>
            <w:tcW w:w="60" w:type="dxa"/>
            <w:vAlign w:val="bottom"/>
            <w:vMerge w:val="restart"/>
            <w:shd w:val="clear" w:color="auto" w:fill="CCEEFF"/>
          </w:tcPr>
          <w:p>
            <w:pPr>
              <w:spacing w:after="0"/>
              <w:rPr>
                <w:sz w:val="7"/>
                <w:szCs w:val="7"/>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5"/>
                <w:szCs w:val="15"/>
                <w:b w:val="1"/>
                <w:bCs w:val="1"/>
                <w:color w:val="auto"/>
                <w:w w:val="90"/>
              </w:rPr>
              <w:t>Offering Price</w:t>
            </w:r>
          </w:p>
        </w:tc>
        <w:tc>
          <w:tcPr>
            <w:tcW w:w="60" w:type="dxa"/>
            <w:vAlign w:val="bottom"/>
            <w:vMerge w:val="restart"/>
            <w:shd w:val="clear" w:color="auto" w:fill="CCEEFF"/>
          </w:tcPr>
          <w:p>
            <w:pPr>
              <w:spacing w:after="0"/>
              <w:rPr>
                <w:sz w:val="7"/>
                <w:szCs w:val="7"/>
                <w:color w:val="auto"/>
              </w:rPr>
            </w:pPr>
          </w:p>
        </w:tc>
        <w:tc>
          <w:tcPr>
            <w:tcW w:w="920" w:type="dxa"/>
            <w:vAlign w:val="bottom"/>
            <w:vMerge w:val="restart"/>
            <w:shd w:val="clear" w:color="auto" w:fill="CCEEFF"/>
          </w:tcPr>
          <w:p>
            <w:pPr>
              <w:ind w:left="180"/>
              <w:spacing w:after="0"/>
              <w:rPr>
                <w:sz w:val="20"/>
                <w:szCs w:val="20"/>
                <w:color w:val="auto"/>
              </w:rPr>
            </w:pPr>
            <w:r>
              <w:rPr>
                <w:rFonts w:ascii="Arial" w:cs="Arial" w:eastAsia="Arial" w:hAnsi="Arial"/>
                <w:sz w:val="15"/>
                <w:szCs w:val="15"/>
                <w:b w:val="1"/>
                <w:bCs w:val="1"/>
                <w:color w:val="auto"/>
              </w:rPr>
              <w:t>Fee Rate</w:t>
            </w:r>
          </w:p>
        </w:tc>
        <w:tc>
          <w:tcPr>
            <w:tcW w:w="60" w:type="dxa"/>
            <w:vAlign w:val="bottom"/>
            <w:vMerge w:val="restart"/>
            <w:shd w:val="clear" w:color="auto" w:fill="CCEEFF"/>
          </w:tcPr>
          <w:p>
            <w:pPr>
              <w:spacing w:after="0"/>
              <w:rPr>
                <w:sz w:val="7"/>
                <w:szCs w:val="7"/>
                <w:color w:val="auto"/>
              </w:rPr>
            </w:pPr>
          </w:p>
        </w:tc>
        <w:tc>
          <w:tcPr>
            <w:tcW w:w="1300" w:type="dxa"/>
            <w:vAlign w:val="bottom"/>
            <w:vMerge w:val="restart"/>
            <w:shd w:val="clear" w:color="auto" w:fill="CCEEFF"/>
          </w:tcPr>
          <w:p>
            <w:pPr>
              <w:jc w:val="center"/>
              <w:spacing w:after="0"/>
              <w:rPr>
                <w:sz w:val="20"/>
                <w:szCs w:val="20"/>
                <w:color w:val="auto"/>
              </w:rPr>
            </w:pPr>
            <w:r>
              <w:rPr>
                <w:rFonts w:ascii="Arial" w:cs="Arial" w:eastAsia="Arial" w:hAnsi="Arial"/>
                <w:sz w:val="15"/>
                <w:szCs w:val="15"/>
                <w:b w:val="1"/>
                <w:bCs w:val="1"/>
                <w:color w:val="auto"/>
                <w:w w:val="88"/>
              </w:rPr>
              <w:t>Registration Fee</w:t>
            </w:r>
          </w:p>
        </w:tc>
        <w:tc>
          <w:tcPr>
            <w:tcW w:w="0" w:type="dxa"/>
            <w:vAlign w:val="bottom"/>
          </w:tcPr>
          <w:p>
            <w:pPr>
              <w:spacing w:after="0"/>
              <w:rPr>
                <w:sz w:val="1"/>
                <w:szCs w:val="1"/>
                <w:color w:val="auto"/>
              </w:rPr>
            </w:pPr>
          </w:p>
        </w:tc>
      </w:tr>
      <w:tr>
        <w:trPr>
          <w:trHeight w:val="120"/>
        </w:trPr>
        <w:tc>
          <w:tcPr>
            <w:tcW w:w="980" w:type="dxa"/>
            <w:vAlign w:val="bottom"/>
            <w:tcBorders>
              <w:bottom w:val="single" w:sz="8" w:color="auto"/>
            </w:tcBorders>
            <w:vMerge w:val="continue"/>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3540" w:type="dxa"/>
            <w:vAlign w:val="bottom"/>
            <w:tcBorders>
              <w:bottom w:val="single" w:sz="8" w:color="auto"/>
            </w:tcBorders>
            <w:vMerge w:val="continue"/>
            <w:shd w:val="clear" w:color="auto" w:fill="CCEEFF"/>
          </w:tcPr>
          <w:p>
            <w:pPr>
              <w:spacing w:after="0"/>
              <w:rPr>
                <w:sz w:val="10"/>
                <w:szCs w:val="10"/>
                <w:color w:val="auto"/>
              </w:rPr>
            </w:pPr>
          </w:p>
        </w:tc>
        <w:tc>
          <w:tcPr>
            <w:tcW w:w="40" w:type="dxa"/>
            <w:vAlign w:val="bottom"/>
            <w:vMerge w:val="continue"/>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110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92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130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sectPr>
          <w:pgSz w:w="11900" w:h="16838" w:orient="portrait"/>
          <w:cols w:equalWidth="0" w:num="1">
            <w:col w:w="11342"/>
          </w:cols>
          <w:pgMar w:left="318" w:top="344" w:right="239" w:bottom="1440" w:gutter="0" w:footer="0" w:header="0"/>
        </w:sectPr>
      </w:pPr>
    </w:p>
    <w:p>
      <w:pPr>
        <w:spacing w:after="0" w:line="184" w:lineRule="exact"/>
        <w:rPr>
          <w:sz w:val="20"/>
          <w:szCs w:val="20"/>
          <w:color w:val="auto"/>
        </w:rPr>
      </w:pPr>
    </w:p>
    <w:p>
      <w:pPr>
        <w:ind w:left="42"/>
        <w:spacing w:after="0"/>
        <w:rPr>
          <w:sz w:val="20"/>
          <w:szCs w:val="20"/>
          <w:color w:val="auto"/>
        </w:rPr>
      </w:pPr>
      <w:r>
        <w:rPr>
          <w:rFonts w:ascii="Arial" w:cs="Arial" w:eastAsia="Arial" w:hAnsi="Arial"/>
          <w:sz w:val="14"/>
          <w:szCs w:val="14"/>
          <w:color w:val="auto"/>
        </w:rPr>
        <w:t>Equity</w:t>
      </w:r>
    </w:p>
    <w:p>
      <w:pPr>
        <w:spacing w:after="0" w:line="200" w:lineRule="exact"/>
        <w:rPr>
          <w:sz w:val="20"/>
          <w:szCs w:val="20"/>
          <w:color w:val="auto"/>
        </w:rPr>
      </w:pPr>
    </w:p>
    <w:p>
      <w:pPr>
        <w:spacing w:after="0" w:line="290" w:lineRule="exact"/>
        <w:rPr>
          <w:sz w:val="20"/>
          <w:szCs w:val="20"/>
          <w:color w:val="auto"/>
        </w:rPr>
      </w:pPr>
    </w:p>
    <w:p>
      <w:pPr>
        <w:ind w:left="42"/>
        <w:spacing w:after="0"/>
        <w:rPr>
          <w:sz w:val="20"/>
          <w:szCs w:val="20"/>
          <w:color w:val="auto"/>
        </w:rPr>
      </w:pPr>
      <w:r>
        <w:rPr>
          <w:rFonts w:ascii="Arial" w:cs="Arial" w:eastAsia="Arial" w:hAnsi="Arial"/>
          <w:sz w:val="14"/>
          <w:szCs w:val="14"/>
          <w:color w:val="auto"/>
        </w:rPr>
        <w:t>Equity</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Arial" w:cs="Arial" w:eastAsia="Arial" w:hAnsi="Arial"/>
          <w:sz w:val="15"/>
          <w:szCs w:val="15"/>
          <w:color w:val="auto"/>
        </w:rPr>
        <w:t>Common Stock, $0.0001 par value per share, reserved for issuance pursuant to the 2020 Employee Stock Purchase Plan</w:t>
      </w:r>
    </w:p>
    <w:p>
      <w:pPr>
        <w:spacing w:after="0" w:line="163" w:lineRule="exact"/>
        <w:rPr>
          <w:sz w:val="20"/>
          <w:szCs w:val="20"/>
          <w:color w:val="auto"/>
        </w:rPr>
      </w:pPr>
    </w:p>
    <w:p>
      <w:pPr>
        <w:spacing w:after="0" w:line="356" w:lineRule="auto"/>
        <w:rPr>
          <w:sz w:val="20"/>
          <w:szCs w:val="20"/>
          <w:color w:val="auto"/>
        </w:rPr>
      </w:pPr>
      <w:r>
        <w:rPr>
          <w:rFonts w:ascii="Arial" w:cs="Arial" w:eastAsia="Arial" w:hAnsi="Arial"/>
          <w:sz w:val="13"/>
          <w:szCs w:val="13"/>
          <w:color w:val="auto"/>
        </w:rPr>
        <w:t>Common Stock, $0.0001 par value per share, reserved for issuance pursuant to the 2020 Equity Incentive Plan</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80" w:type="dxa"/>
            <w:vAlign w:val="bottom"/>
          </w:tcPr>
          <w:p>
            <w:pPr>
              <w:jc w:val="center"/>
              <w:ind w:right="146"/>
              <w:spacing w:after="0"/>
              <w:rPr>
                <w:sz w:val="20"/>
                <w:szCs w:val="20"/>
                <w:color w:val="auto"/>
              </w:rPr>
            </w:pPr>
            <w:r>
              <w:rPr>
                <w:rFonts w:ascii="Arial" w:cs="Arial" w:eastAsia="Arial" w:hAnsi="Arial"/>
                <w:sz w:val="15"/>
                <w:szCs w:val="15"/>
                <w:color w:val="auto"/>
                <w:w w:val="86"/>
              </w:rPr>
              <w:t>457 (c) and</w:t>
            </w:r>
          </w:p>
        </w:tc>
        <w:tc>
          <w:tcPr>
            <w:tcW w:w="1260" w:type="dxa"/>
            <w:vAlign w:val="bottom"/>
            <w:vMerge w:val="restart"/>
          </w:tcPr>
          <w:p>
            <w:pPr>
              <w:jc w:val="right"/>
              <w:ind w:right="186"/>
              <w:spacing w:after="0"/>
              <w:rPr>
                <w:sz w:val="20"/>
                <w:szCs w:val="20"/>
                <w:color w:val="auto"/>
              </w:rPr>
            </w:pPr>
            <w:r>
              <w:rPr>
                <w:rFonts w:ascii="Arial" w:cs="Arial" w:eastAsia="Arial" w:hAnsi="Arial"/>
                <w:sz w:val="15"/>
                <w:szCs w:val="15"/>
                <w:color w:val="auto"/>
              </w:rPr>
              <w:t xml:space="preserve">373,790 </w:t>
            </w:r>
            <w:r>
              <w:rPr>
                <w:rFonts w:ascii="Arial" w:cs="Arial" w:eastAsia="Arial" w:hAnsi="Arial"/>
                <w:sz w:val="12"/>
                <w:szCs w:val="12"/>
                <w:b w:val="1"/>
                <w:bCs w:val="1"/>
                <w:color w:val="auto"/>
              </w:rPr>
              <w:t>(3)</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$8.85</w:t>
            </w:r>
          </w:p>
        </w:tc>
        <w:tc>
          <w:tcPr>
            <w:tcW w:w="2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(4)</w:t>
            </w:r>
          </w:p>
        </w:tc>
        <w:tc>
          <w:tcPr>
            <w:tcW w:w="1220" w:type="dxa"/>
            <w:vAlign w:val="bottom"/>
            <w:vMerge w:val="restart"/>
          </w:tcPr>
          <w:p>
            <w:pPr>
              <w:ind w:left="100"/>
              <w:spacing w:after="0"/>
              <w:rPr>
                <w:sz w:val="20"/>
                <w:szCs w:val="20"/>
                <w:color w:val="auto"/>
              </w:rPr>
            </w:pPr>
            <w:r>
              <w:rPr>
                <w:rFonts w:ascii="Arial" w:cs="Arial" w:eastAsia="Arial" w:hAnsi="Arial"/>
                <w:sz w:val="15"/>
                <w:szCs w:val="15"/>
                <w:color w:val="auto"/>
              </w:rPr>
              <w:t>$ 3,309,069.42</w:t>
            </w:r>
          </w:p>
        </w:tc>
        <w:tc>
          <w:tcPr>
            <w:tcW w:w="1200" w:type="dxa"/>
            <w:vAlign w:val="bottom"/>
            <w:vMerge w:val="restart"/>
          </w:tcPr>
          <w:p>
            <w:pPr>
              <w:jc w:val="right"/>
              <w:ind w:right="266"/>
              <w:spacing w:after="0"/>
              <w:rPr>
                <w:sz w:val="20"/>
                <w:szCs w:val="20"/>
                <w:color w:val="auto"/>
              </w:rPr>
            </w:pPr>
            <w:r>
              <w:rPr>
                <w:rFonts w:ascii="Arial" w:cs="Arial" w:eastAsia="Arial" w:hAnsi="Arial"/>
                <w:sz w:val="15"/>
                <w:szCs w:val="15"/>
                <w:color w:val="auto"/>
              </w:rPr>
              <w:t>$0.0000927</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$307.76</w:t>
            </w:r>
          </w:p>
        </w:tc>
        <w:tc>
          <w:tcPr>
            <w:tcW w:w="0" w:type="dxa"/>
            <w:vAlign w:val="bottom"/>
          </w:tcPr>
          <w:p>
            <w:pPr>
              <w:spacing w:after="0"/>
              <w:rPr>
                <w:sz w:val="1"/>
                <w:szCs w:val="1"/>
                <w:color w:val="auto"/>
              </w:rPr>
            </w:pPr>
          </w:p>
        </w:tc>
      </w:tr>
      <w:tr>
        <w:trPr>
          <w:trHeight w:val="89"/>
        </w:trPr>
        <w:tc>
          <w:tcPr>
            <w:tcW w:w="880" w:type="dxa"/>
            <w:vAlign w:val="bottom"/>
            <w:vMerge w:val="restart"/>
          </w:tcPr>
          <w:p>
            <w:pPr>
              <w:jc w:val="center"/>
              <w:ind w:right="146"/>
              <w:spacing w:after="0"/>
              <w:rPr>
                <w:sz w:val="20"/>
                <w:szCs w:val="20"/>
                <w:color w:val="auto"/>
              </w:rPr>
            </w:pPr>
            <w:r>
              <w:rPr>
                <w:rFonts w:ascii="Arial" w:cs="Arial" w:eastAsia="Arial" w:hAnsi="Arial"/>
                <w:sz w:val="15"/>
                <w:szCs w:val="15"/>
                <w:color w:val="auto"/>
                <w:w w:val="87"/>
              </w:rPr>
              <w:t>457(h)</w:t>
            </w:r>
          </w:p>
        </w:tc>
        <w:tc>
          <w:tcPr>
            <w:tcW w:w="12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8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1"/>
        </w:trPr>
        <w:tc>
          <w:tcPr>
            <w:tcW w:w="880" w:type="dxa"/>
            <w:vAlign w:val="bottom"/>
          </w:tcPr>
          <w:p>
            <w:pPr>
              <w:jc w:val="center"/>
              <w:ind w:right="146"/>
              <w:spacing w:after="0"/>
              <w:rPr>
                <w:sz w:val="20"/>
                <w:szCs w:val="20"/>
                <w:color w:val="auto"/>
              </w:rPr>
            </w:pPr>
            <w:r>
              <w:rPr>
                <w:rFonts w:ascii="Arial" w:cs="Arial" w:eastAsia="Arial" w:hAnsi="Arial"/>
                <w:sz w:val="15"/>
                <w:szCs w:val="15"/>
                <w:color w:val="auto"/>
                <w:w w:val="86"/>
              </w:rPr>
              <w:t>457 (c) and</w:t>
            </w:r>
          </w:p>
        </w:tc>
        <w:tc>
          <w:tcPr>
            <w:tcW w:w="1260" w:type="dxa"/>
            <w:vAlign w:val="bottom"/>
            <w:vMerge w:val="restart"/>
          </w:tcPr>
          <w:p>
            <w:pPr>
              <w:jc w:val="right"/>
              <w:ind w:right="186"/>
              <w:spacing w:after="0"/>
              <w:rPr>
                <w:sz w:val="20"/>
                <w:szCs w:val="20"/>
                <w:color w:val="auto"/>
              </w:rPr>
            </w:pPr>
            <w:r>
              <w:rPr>
                <w:rFonts w:ascii="Arial" w:cs="Arial" w:eastAsia="Arial" w:hAnsi="Arial"/>
                <w:sz w:val="15"/>
                <w:szCs w:val="15"/>
                <w:color w:val="auto"/>
              </w:rPr>
              <w:t xml:space="preserve">1,868,953 </w:t>
            </w:r>
            <w:r>
              <w:rPr>
                <w:rFonts w:ascii="Arial" w:cs="Arial" w:eastAsia="Arial" w:hAnsi="Arial"/>
                <w:sz w:val="12"/>
                <w:szCs w:val="12"/>
                <w:b w:val="1"/>
                <w:bCs w:val="1"/>
                <w:color w:val="auto"/>
              </w:rPr>
              <w:t>(5)</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$10.42</w:t>
            </w:r>
          </w:p>
        </w:tc>
        <w:tc>
          <w:tcPr>
            <w:tcW w:w="2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(6)</w:t>
            </w:r>
          </w:p>
        </w:tc>
        <w:tc>
          <w:tcPr>
            <w:tcW w:w="1220" w:type="dxa"/>
            <w:vAlign w:val="bottom"/>
            <w:vMerge w:val="restart"/>
          </w:tcPr>
          <w:p>
            <w:pPr>
              <w:ind w:left="100"/>
              <w:spacing w:after="0"/>
              <w:rPr>
                <w:sz w:val="20"/>
                <w:szCs w:val="20"/>
                <w:color w:val="auto"/>
              </w:rPr>
            </w:pPr>
            <w:r>
              <w:rPr>
                <w:rFonts w:ascii="Arial" w:cs="Arial" w:eastAsia="Arial" w:hAnsi="Arial"/>
                <w:sz w:val="15"/>
                <w:szCs w:val="15"/>
                <w:color w:val="auto"/>
              </w:rPr>
              <w:t>$ 19,465,145.50</w:t>
            </w:r>
          </w:p>
        </w:tc>
        <w:tc>
          <w:tcPr>
            <w:tcW w:w="1200" w:type="dxa"/>
            <w:vAlign w:val="bottom"/>
            <w:vMerge w:val="restart"/>
          </w:tcPr>
          <w:p>
            <w:pPr>
              <w:jc w:val="right"/>
              <w:ind w:right="266"/>
              <w:spacing w:after="0"/>
              <w:rPr>
                <w:sz w:val="20"/>
                <w:szCs w:val="20"/>
                <w:color w:val="auto"/>
              </w:rPr>
            </w:pPr>
            <w:r>
              <w:rPr>
                <w:rFonts w:ascii="Arial" w:cs="Arial" w:eastAsia="Arial" w:hAnsi="Arial"/>
                <w:sz w:val="15"/>
                <w:szCs w:val="15"/>
                <w:color w:val="auto"/>
              </w:rPr>
              <w:t>$0.0000927</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$ 1,804.42</w:t>
            </w:r>
          </w:p>
        </w:tc>
        <w:tc>
          <w:tcPr>
            <w:tcW w:w="0" w:type="dxa"/>
            <w:vAlign w:val="bottom"/>
          </w:tcPr>
          <w:p>
            <w:pPr>
              <w:spacing w:after="0"/>
              <w:rPr>
                <w:sz w:val="1"/>
                <w:szCs w:val="1"/>
                <w:color w:val="auto"/>
              </w:rPr>
            </w:pPr>
          </w:p>
        </w:tc>
      </w:tr>
      <w:tr>
        <w:trPr>
          <w:trHeight w:val="101"/>
        </w:trPr>
        <w:tc>
          <w:tcPr>
            <w:tcW w:w="880" w:type="dxa"/>
            <w:vAlign w:val="bottom"/>
            <w:vMerge w:val="restart"/>
          </w:tcPr>
          <w:p>
            <w:pPr>
              <w:jc w:val="center"/>
              <w:ind w:right="146"/>
              <w:spacing w:after="0"/>
              <w:rPr>
                <w:sz w:val="20"/>
                <w:szCs w:val="20"/>
                <w:color w:val="auto"/>
              </w:rPr>
            </w:pPr>
            <w:r>
              <w:rPr>
                <w:rFonts w:ascii="Arial" w:cs="Arial" w:eastAsia="Arial" w:hAnsi="Arial"/>
                <w:sz w:val="15"/>
                <w:szCs w:val="15"/>
                <w:color w:val="auto"/>
                <w:w w:val="87"/>
              </w:rPr>
              <w:t>457(h)</w:t>
            </w:r>
          </w:p>
        </w:tc>
        <w:tc>
          <w:tcPr>
            <w:tcW w:w="12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88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-315595</wp:posOffset>
            </wp:positionV>
            <wp:extent cx="7202170" cy="41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202170" cy="413385"/>
                    </a:xfrm>
                    <a:prstGeom prst="rect">
                      <a:avLst/>
                    </a:prstGeom>
                    <a:noFill/>
                  </pic:spPr>
                </pic:pic>
              </a:graphicData>
            </a:graphic>
          </wp:anchor>
        </w:drawing>
      </w:r>
    </w:p>
    <w:p>
      <w:pPr>
        <w:spacing w:after="0" w:line="271" w:lineRule="exact"/>
        <w:rPr>
          <w:sz w:val="20"/>
          <w:szCs w:val="20"/>
          <w:color w:val="auto"/>
        </w:rPr>
      </w:pPr>
    </w:p>
    <w:p>
      <w:pPr>
        <w:sectPr>
          <w:pgSz w:w="11900" w:h="16838" w:orient="portrait"/>
          <w:cols w:equalWidth="0" w:num="3">
            <w:col w:w="442" w:space="720"/>
            <w:col w:w="3400" w:space="240"/>
            <w:col w:w="6540"/>
          </w:cols>
          <w:pgMar w:left="318" w:top="344" w:right="239" w:bottom="1440" w:gutter="0" w:footer="0" w:header="0"/>
          <w:type w:val="continuous"/>
        </w:sectPr>
      </w:pPr>
    </w:p>
    <w:p>
      <w:pPr>
        <w:spacing w:after="0" w:line="77" w:lineRule="exact"/>
        <w:rPr>
          <w:sz w:val="20"/>
          <w:szCs w:val="20"/>
          <w:color w:val="auto"/>
        </w:rPr>
      </w:pPr>
    </w:p>
    <w:tbl>
      <w:tblPr>
        <w:tblLayout w:type="fixed"/>
        <w:tblInd w:w="2" w:type="dxa"/>
        <w:tblCellMar>
          <w:top w:w="0" w:type="dxa"/>
          <w:left w:w="0" w:type="dxa"/>
          <w:bottom w:w="0" w:type="dxa"/>
          <w:right w:w="0" w:type="dxa"/>
        </w:tblCellMar>
      </w:tblPr>
      <w:tr>
        <w:trPr>
          <w:trHeight w:val="228"/>
        </w:trPr>
        <w:tc>
          <w:tcPr>
            <w:tcW w:w="312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Total</w:t>
            </w:r>
          </w:p>
        </w:tc>
        <w:tc>
          <w:tcPr>
            <w:tcW w:w="4140" w:type="dxa"/>
            <w:vAlign w:val="bottom"/>
            <w:shd w:val="clear" w:color="auto" w:fill="CCEEFF"/>
          </w:tcPr>
          <w:p>
            <w:pPr>
              <w:jc w:val="right"/>
              <w:ind w:right="706"/>
              <w:spacing w:after="0"/>
              <w:rPr>
                <w:sz w:val="20"/>
                <w:szCs w:val="20"/>
                <w:color w:val="auto"/>
              </w:rPr>
            </w:pPr>
            <w:r>
              <w:rPr>
                <w:rFonts w:ascii="Arial" w:cs="Arial" w:eastAsia="Arial" w:hAnsi="Arial"/>
                <w:sz w:val="15"/>
                <w:szCs w:val="15"/>
                <w:b w:val="1"/>
                <w:bCs w:val="1"/>
                <w:color w:val="auto"/>
              </w:rPr>
              <w:t>2,242,743</w:t>
            </w:r>
          </w:p>
        </w:tc>
        <w:tc>
          <w:tcPr>
            <w:tcW w:w="2720" w:type="dxa"/>
            <w:vAlign w:val="bottom"/>
            <w:vMerge w:val="restart"/>
            <w:shd w:val="clear" w:color="auto" w:fill="CCEEFF"/>
          </w:tcPr>
          <w:p>
            <w:pPr>
              <w:jc w:val="right"/>
              <w:ind w:right="1066"/>
              <w:spacing w:after="0"/>
              <w:rPr>
                <w:sz w:val="20"/>
                <w:szCs w:val="20"/>
                <w:color w:val="auto"/>
              </w:rPr>
            </w:pPr>
            <w:r>
              <w:rPr>
                <w:rFonts w:ascii="Arial" w:cs="Arial" w:eastAsia="Arial" w:hAnsi="Arial"/>
                <w:sz w:val="15"/>
                <w:szCs w:val="15"/>
                <w:b w:val="1"/>
                <w:bCs w:val="1"/>
                <w:color w:val="auto"/>
              </w:rPr>
              <w:t>$ 22,774,215</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$2,111.18</w:t>
            </w:r>
          </w:p>
        </w:tc>
        <w:tc>
          <w:tcPr>
            <w:tcW w:w="0" w:type="dxa"/>
            <w:vAlign w:val="bottom"/>
          </w:tcPr>
          <w:p>
            <w:pPr>
              <w:spacing w:after="0"/>
              <w:rPr>
                <w:sz w:val="1"/>
                <w:szCs w:val="1"/>
                <w:color w:val="auto"/>
              </w:rPr>
            </w:pPr>
          </w:p>
        </w:tc>
      </w:tr>
      <w:tr>
        <w:trPr>
          <w:trHeight w:val="49"/>
        </w:trPr>
        <w:tc>
          <w:tcPr>
            <w:tcW w:w="3120" w:type="dxa"/>
            <w:vAlign w:val="bottom"/>
            <w:shd w:val="clear" w:color="auto" w:fill="CCEEFF"/>
          </w:tcPr>
          <w:p>
            <w:pPr>
              <w:spacing w:after="0"/>
              <w:rPr>
                <w:sz w:val="4"/>
                <w:szCs w:val="4"/>
                <w:color w:val="auto"/>
              </w:rPr>
            </w:pPr>
          </w:p>
        </w:tc>
        <w:tc>
          <w:tcPr>
            <w:tcW w:w="4140" w:type="dxa"/>
            <w:vAlign w:val="bottom"/>
            <w:shd w:val="clear" w:color="auto" w:fill="CCEEFF"/>
          </w:tcPr>
          <w:p>
            <w:pPr>
              <w:spacing w:after="0"/>
              <w:rPr>
                <w:sz w:val="4"/>
                <w:szCs w:val="4"/>
                <w:color w:val="auto"/>
              </w:rPr>
            </w:pPr>
          </w:p>
        </w:tc>
        <w:tc>
          <w:tcPr>
            <w:tcW w:w="2720" w:type="dxa"/>
            <w:vAlign w:val="bottom"/>
            <w:vMerge w:val="continue"/>
            <w:shd w:val="clear" w:color="auto" w:fill="CCEEFF"/>
          </w:tcPr>
          <w:p>
            <w:pPr>
              <w:spacing w:after="0"/>
              <w:rPr>
                <w:sz w:val="4"/>
                <w:szCs w:val="4"/>
                <w:color w:val="auto"/>
              </w:rPr>
            </w:pPr>
          </w:p>
        </w:tc>
        <w:tc>
          <w:tcPr>
            <w:tcW w:w="136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3120" w:type="dxa"/>
            <w:vAlign w:val="bottom"/>
            <w:shd w:val="clear" w:color="auto" w:fill="CCEEFF"/>
          </w:tcPr>
          <w:p>
            <w:pPr>
              <w:spacing w:after="0"/>
              <w:rPr>
                <w:sz w:val="21"/>
                <w:szCs w:val="21"/>
                <w:color w:val="auto"/>
              </w:rPr>
            </w:pPr>
          </w:p>
        </w:tc>
        <w:tc>
          <w:tcPr>
            <w:tcW w:w="4140" w:type="dxa"/>
            <w:vAlign w:val="bottom"/>
            <w:shd w:val="clear" w:color="auto" w:fill="CCEEFF"/>
          </w:tcPr>
          <w:p>
            <w:pPr>
              <w:spacing w:after="0"/>
              <w:rPr>
                <w:sz w:val="21"/>
                <w:szCs w:val="21"/>
                <w:color w:val="auto"/>
              </w:rPr>
            </w:pPr>
          </w:p>
        </w:tc>
        <w:tc>
          <w:tcPr>
            <w:tcW w:w="27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sectPr>
          <w:pgSz w:w="11900" w:h="16838" w:orient="portrait"/>
          <w:cols w:equalWidth="0" w:num="1">
            <w:col w:w="11342"/>
          </w:cols>
          <w:pgMar w:left="318" w:top="344" w:right="239" w:bottom="1440" w:gutter="0" w:footer="0" w:header="0"/>
          <w:type w:val="continuous"/>
        </w:sectPr>
      </w:pPr>
    </w:p>
    <w:p>
      <w:pPr>
        <w:ind w:left="42"/>
        <w:spacing w:after="0"/>
        <w:rPr>
          <w:sz w:val="20"/>
          <w:szCs w:val="20"/>
          <w:color w:val="auto"/>
        </w:rPr>
      </w:pPr>
      <w:r>
        <w:rPr>
          <w:rFonts w:ascii="Arial" w:cs="Arial" w:eastAsia="Arial" w:hAnsi="Arial"/>
          <w:sz w:val="13"/>
          <w:szCs w:val="13"/>
          <w:b w:val="1"/>
          <w:bCs w:val="1"/>
          <w:color w:val="auto"/>
        </w:rPr>
        <w:t>Total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02170" cy="163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202170" cy="163830"/>
                    </a:xfrm>
                    <a:prstGeom prst="rect">
                      <a:avLst/>
                    </a:prstGeom>
                    <a:noFill/>
                  </pic:spPr>
                </pic:pic>
              </a:graphicData>
            </a:graphic>
          </wp:anchor>
        </w:drawing>
      </w:r>
    </w:p>
    <w:p>
      <w:pPr>
        <w:spacing w:after="0" w:line="88" w:lineRule="exact"/>
        <w:rPr>
          <w:sz w:val="20"/>
          <w:szCs w:val="20"/>
          <w:color w:val="auto"/>
        </w:rPr>
      </w:pPr>
    </w:p>
    <w:p>
      <w:pPr>
        <w:ind w:left="42"/>
        <w:spacing w:after="0"/>
        <w:rPr>
          <w:sz w:val="20"/>
          <w:szCs w:val="20"/>
          <w:color w:val="auto"/>
        </w:rPr>
      </w:pPr>
      <w:r>
        <w:rPr>
          <w:rFonts w:ascii="Arial" w:cs="Arial" w:eastAsia="Arial" w:hAnsi="Arial"/>
          <w:sz w:val="15"/>
          <w:szCs w:val="15"/>
          <w:b w:val="1"/>
          <w:bCs w:val="1"/>
          <w:color w:val="auto"/>
        </w:rPr>
        <w:t>Net Fee Due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b w:val="1"/>
          <w:bCs w:val="1"/>
          <w:color w:val="auto"/>
        </w:rPr>
        <w: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$2,111.18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53340</wp:posOffset>
            </wp:positionV>
            <wp:extent cx="82169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821690" cy="762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10042" w:space="720"/>
            <w:col w:w="580"/>
          </w:cols>
          <w:pgMar w:left="318" w:top="344" w:right="239" w:bottom="1440" w:gutter="0" w:footer="0" w:header="0"/>
          <w:type w:val="continuous"/>
        </w:sectPr>
      </w:pPr>
    </w:p>
    <w:p>
      <w:pPr>
        <w:spacing w:after="0" w:line="98" w:lineRule="exact"/>
        <w:rPr>
          <w:sz w:val="20"/>
          <w:szCs w:val="20"/>
          <w:color w:val="auto"/>
        </w:rPr>
      </w:pPr>
    </w:p>
    <w:p>
      <w:pPr>
        <w:ind w:left="362" w:right="240" w:hanging="362"/>
        <w:spacing w:after="0" w:line="261" w:lineRule="auto"/>
        <w:tabs>
          <w:tab w:leader="none" w:pos="362" w:val="left"/>
        </w:tabs>
        <w:numPr>
          <w:ilvl w:val="0"/>
          <w:numId w:val="3"/>
        </w:numPr>
        <w:rPr>
          <w:rFonts w:ascii="Arial" w:cs="Arial" w:eastAsia="Arial" w:hAnsi="Arial"/>
          <w:sz w:val="15"/>
          <w:szCs w:val="15"/>
          <w:color w:val="auto"/>
        </w:rPr>
      </w:pPr>
      <w:r>
        <w:rPr>
          <w:rFonts w:ascii="Arial" w:cs="Arial" w:eastAsia="Arial" w:hAnsi="Arial"/>
          <w:sz w:val="15"/>
          <w:szCs w:val="15"/>
          <w:color w:val="auto"/>
        </w:rPr>
        <w:t>Represents shares of common stock, par value $0.0001 per share (“Common Stock”) of Athira Pharma, Inc. (the “Registrant”) available for issuance pursuant to awards granted pursuant to the Registrant’s 2020 Employee Stock Purchase Plan (the “2020 ESPP”) and 2020 Equity Incentive Plan (the “2020 Plan”). In addition, Pursuant to Rule 416(a) under the Securities Act of 1933, as amended (the “Securities Act”), this Registration Statement shall also cover any additional shares of the Registrant’s Common Stock that become issuable under the 2020 ESPP or 2020 Plan by reason of an event such as any stock split, stock dividend, recapitalization or similar transaction effected without receipt of consideration that increases the number of the Registrant’s outstanding shares of Common Stock.</w:t>
      </w:r>
    </w:p>
    <w:p>
      <w:pPr>
        <w:spacing w:after="0" w:line="81" w:lineRule="exact"/>
        <w:rPr>
          <w:rFonts w:ascii="Arial" w:cs="Arial" w:eastAsia="Arial" w:hAnsi="Arial"/>
          <w:sz w:val="15"/>
          <w:szCs w:val="15"/>
          <w:color w:val="auto"/>
        </w:rPr>
      </w:pPr>
    </w:p>
    <w:p>
      <w:pPr>
        <w:ind w:left="362" w:hanging="362"/>
        <w:spacing w:after="0"/>
        <w:tabs>
          <w:tab w:leader="none" w:pos="362" w:val="left"/>
        </w:tabs>
        <w:numPr>
          <w:ilvl w:val="0"/>
          <w:numId w:val="3"/>
        </w:numPr>
        <w:rPr>
          <w:rFonts w:ascii="Arial" w:cs="Arial" w:eastAsia="Arial" w:hAnsi="Arial"/>
          <w:sz w:val="15"/>
          <w:szCs w:val="15"/>
          <w:color w:val="auto"/>
        </w:rPr>
      </w:pPr>
      <w:r>
        <w:rPr>
          <w:rFonts w:ascii="Arial" w:cs="Arial" w:eastAsia="Arial" w:hAnsi="Arial"/>
          <w:sz w:val="15"/>
          <w:szCs w:val="15"/>
          <w:color w:val="auto"/>
        </w:rPr>
        <w:t>For the sole purpose of calculating the registration fee, the amount to be registered under this Registration Statement has been broken down into two subtotals.</w:t>
      </w:r>
    </w:p>
    <w:p>
      <w:pPr>
        <w:spacing w:after="0" w:line="110" w:lineRule="exact"/>
        <w:rPr>
          <w:rFonts w:ascii="Arial" w:cs="Arial" w:eastAsia="Arial" w:hAnsi="Arial"/>
          <w:sz w:val="15"/>
          <w:szCs w:val="15"/>
          <w:color w:val="auto"/>
        </w:rPr>
      </w:pPr>
    </w:p>
    <w:p>
      <w:pPr>
        <w:ind w:left="362" w:right="240" w:hanging="362"/>
        <w:spacing w:after="0" w:line="284" w:lineRule="auto"/>
        <w:tabs>
          <w:tab w:leader="none" w:pos="362"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an automatic annual increase on January 1, 2022 to the number of shares of the Registrant’s common stock reserved for issuance under the 2020 ESPP pursuant to an “evergreen” provision contained in the 2020 ESPP. Pursuant to such provision, the number of shares of the Registrant’s common stock available for issuance under the 2020 ESPP is subject to an annual increase on the first day of each fiscal year by an amount equal to the least of (i) 646,000 shares of common stock, (ii) one percent (1%) of the outstanding shares of all classes of the Registrant’s common stock on the last day of the immediately preceding fiscal year or (iii) such other number of shares as the Registrant’s board of directors may determine as of no later than the last day of the Registrant’s immediately preceding fiscal year.</w:t>
      </w:r>
    </w:p>
    <w:p>
      <w:pPr>
        <w:spacing w:after="0" w:line="66" w:lineRule="exact"/>
        <w:rPr>
          <w:rFonts w:ascii="Arial" w:cs="Arial" w:eastAsia="Arial" w:hAnsi="Arial"/>
          <w:sz w:val="14"/>
          <w:szCs w:val="14"/>
          <w:color w:val="auto"/>
        </w:rPr>
      </w:pPr>
    </w:p>
    <w:p>
      <w:pPr>
        <w:ind w:left="362" w:right="200" w:hanging="362"/>
        <w:spacing w:after="0" w:line="356" w:lineRule="auto"/>
        <w:tabs>
          <w:tab w:leader="none" w:pos="362" w:val="left"/>
        </w:tabs>
        <w:numPr>
          <w:ilvl w:val="0"/>
          <w:numId w:val="3"/>
        </w:numPr>
        <w:rPr>
          <w:rFonts w:ascii="Arial" w:cs="Arial" w:eastAsia="Arial" w:hAnsi="Arial"/>
          <w:sz w:val="13"/>
          <w:szCs w:val="13"/>
          <w:color w:val="auto"/>
        </w:rPr>
      </w:pPr>
      <w:r>
        <w:rPr>
          <w:rFonts w:ascii="Arial" w:cs="Arial" w:eastAsia="Arial" w:hAnsi="Arial"/>
          <w:sz w:val="13"/>
          <w:szCs w:val="13"/>
          <w:color w:val="auto"/>
        </w:rPr>
        <w:t>Estimated in accordance with Rules (c) and (h) of Rule 457 under the Securities Act solely for the purposes of calculating the registration fee on the basis of 85% of $10.42 per share, which represents the average of the high and low price per share of the Registrant’s Common Stock on March 21, 2022, as reported on The Nasdaq Global Market. Pursuant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334645</wp:posOffset>
            </wp:positionV>
            <wp:extent cx="718566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85660" cy="41275"/>
                    </a:xfrm>
                    <a:prstGeom prst="rect">
                      <a:avLst/>
                    </a:prstGeom>
                    <a:noFill/>
                  </pic:spPr>
                </pic:pic>
              </a:graphicData>
            </a:graphic>
          </wp:anchor>
        </w:drawing>
      </w:r>
    </w:p>
    <w:p>
      <w:pPr>
        <w:sectPr>
          <w:pgSz w:w="11900" w:h="16838" w:orient="portrait"/>
          <w:cols w:equalWidth="0" w:num="1">
            <w:col w:w="11342"/>
          </w:cols>
          <w:pgMar w:left="318" w:top="344" w:right="239" w:bottom="1440" w:gutter="0" w:footer="0" w:header="0"/>
          <w:type w:val="continuous"/>
        </w:sectPr>
      </w:pPr>
    </w:p>
    <w:bookmarkStart w:id="9" w:name="page10"/>
    <w:bookmarkEnd w:id="9"/>
    <w:p>
      <w:pPr>
        <w:ind w:left="362"/>
        <w:spacing w:after="0" w:line="277" w:lineRule="auto"/>
        <w:rPr>
          <w:sz w:val="20"/>
          <w:szCs w:val="20"/>
          <w:color w:val="auto"/>
        </w:rPr>
      </w:pPr>
      <w:r>
        <w:rPr>
          <w:rFonts w:ascii="Arial" w:cs="Arial" w:eastAsia="Arial" w:hAnsi="Arial"/>
          <w:sz w:val="15"/>
          <w:szCs w:val="15"/>
          <w:color w:val="auto"/>
        </w:rPr>
        <w:t>2020 ESPP, the purchase price of the shares of the Registrant’s Common Stock reserved for issuance thereunder will be 85% of the lower of the fair market value of the Common Stock on the first trading day of the offering period or on the last day of the offering period.</w:t>
      </w:r>
    </w:p>
    <w:p>
      <w:pPr>
        <w:spacing w:after="0" w:line="61" w:lineRule="exact"/>
        <w:rPr>
          <w:sz w:val="20"/>
          <w:szCs w:val="20"/>
          <w:color w:val="auto"/>
        </w:rPr>
      </w:pPr>
    </w:p>
    <w:p>
      <w:pPr>
        <w:ind w:left="362" w:hanging="362"/>
        <w:spacing w:after="0" w:line="287" w:lineRule="auto"/>
        <w:tabs>
          <w:tab w:leader="none" w:pos="362"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an automatic annual increase on January 1, 2022 to the number of shares of the Registrant’s common stock reserved for issuance under the 2020 Plan pursuant to an “evergreen” provision contained in the 2020 Plan. Pursuant to such provision, the number of shares of the Registrant’s common stock available for grant and issuance under the 2020 Plan is subject to an annual increase on the first day of each fiscal year by an amount equal to the least of (i) 3,230,000 shares of common stock, (ii) five percent (5%) of the outstanding shares of all classes of the Registrant’s common stock as of the last day of the immediately preceding fiscal year or (iii) such number of shares as the Registrant’s board of directors may determine no later than the last day of the Registrant’s immediately preceding fiscal year</w:t>
      </w:r>
      <w:r>
        <w:rPr>
          <w:rFonts w:ascii="Arial" w:cs="Arial" w:eastAsia="Arial" w:hAnsi="Arial"/>
          <w:sz w:val="13"/>
          <w:szCs w:val="13"/>
          <w:color w:val="auto"/>
        </w:rPr>
        <w:t>.</w:t>
      </w:r>
    </w:p>
    <w:p>
      <w:pPr>
        <w:spacing w:after="0" w:line="64" w:lineRule="exact"/>
        <w:rPr>
          <w:rFonts w:ascii="Arial" w:cs="Arial" w:eastAsia="Arial" w:hAnsi="Arial"/>
          <w:sz w:val="14"/>
          <w:szCs w:val="14"/>
          <w:color w:val="auto"/>
        </w:rPr>
      </w:pPr>
    </w:p>
    <w:p>
      <w:pPr>
        <w:ind w:left="362" w:right="280" w:hanging="362"/>
        <w:spacing w:after="0" w:line="277" w:lineRule="auto"/>
        <w:tabs>
          <w:tab w:leader="none" w:pos="362" w:val="left"/>
        </w:tabs>
        <w:numPr>
          <w:ilvl w:val="0"/>
          <w:numId w:val="4"/>
        </w:numPr>
        <w:rPr>
          <w:rFonts w:ascii="Arial" w:cs="Arial" w:eastAsia="Arial" w:hAnsi="Arial"/>
          <w:sz w:val="15"/>
          <w:szCs w:val="15"/>
          <w:color w:val="auto"/>
        </w:rPr>
      </w:pPr>
      <w:r>
        <w:rPr>
          <w:rFonts w:ascii="Arial" w:cs="Arial" w:eastAsia="Arial" w:hAnsi="Arial"/>
          <w:sz w:val="15"/>
          <w:szCs w:val="15"/>
          <w:color w:val="auto"/>
        </w:rPr>
        <w:t>Estimated in accordance with Rules 457(c) and (h) of the Securities Act solely for purposes of calculating the registration fee on the basis of $10.42 per share, which represents the average of the high and low prices of the Registrant’s Common Stock on March 21, 2022, as reported on The Nasdaq Global Market.</w:t>
      </w:r>
    </w:p>
    <w:p>
      <w:pPr>
        <w:spacing w:after="0" w:line="257" w:lineRule="exact"/>
        <w:rPr>
          <w:sz w:val="20"/>
          <w:szCs w:val="20"/>
          <w:color w:val="auto"/>
        </w:rPr>
      </w:pPr>
    </w:p>
    <w:p>
      <w:pPr>
        <w:jc w:val="center"/>
        <w:ind w:right="38"/>
        <w:spacing w:after="0"/>
        <w:rPr>
          <w:sz w:val="20"/>
          <w:szCs w:val="20"/>
          <w:color w:val="auto"/>
        </w:rPr>
      </w:pPr>
      <w:r>
        <w:rPr>
          <w:rFonts w:ascii="Arial" w:cs="Arial" w:eastAsia="Arial" w:hAnsi="Arial"/>
          <w:sz w:val="18"/>
          <w:szCs w:val="18"/>
          <w:u w:val="single" w:color="auto"/>
          <w:color w:val="auto"/>
        </w:rPr>
        <w:t>Table 2: Fee Offset Claims and Sources</w:t>
      </w:r>
    </w:p>
    <w:p>
      <w:pPr>
        <w:spacing w:after="0" w:line="200" w:lineRule="exact"/>
        <w:rPr>
          <w:sz w:val="20"/>
          <w:szCs w:val="20"/>
          <w:color w:val="auto"/>
        </w:rPr>
      </w:pPr>
    </w:p>
    <w:p>
      <w:pPr>
        <w:spacing w:after="0" w:line="212" w:lineRule="exact"/>
        <w:rPr>
          <w:sz w:val="20"/>
          <w:szCs w:val="20"/>
          <w:color w:val="auto"/>
        </w:rPr>
      </w:pPr>
    </w:p>
    <w:tbl>
      <w:tblPr>
        <w:tblLayout w:type="fixed"/>
        <w:tblInd w:w="2" w:type="dxa"/>
        <w:tblCellMar>
          <w:top w:w="0" w:type="dxa"/>
          <w:left w:w="0" w:type="dxa"/>
          <w:bottom w:w="0" w:type="dxa"/>
          <w:right w:w="0" w:type="dxa"/>
        </w:tblCellMar>
      </w:tblPr>
      <w:tr>
        <w:trPr>
          <w:trHeight w:val="516"/>
        </w:trPr>
        <w:tc>
          <w:tcPr>
            <w:tcW w:w="150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95"/>
              </w:rPr>
              <w:t>Form</w:t>
            </w:r>
          </w:p>
        </w:tc>
        <w:tc>
          <w:tcPr>
            <w:tcW w:w="16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87"/>
              </w:rPr>
              <w:t>Security Type</w:t>
            </w:r>
          </w:p>
        </w:tc>
        <w:tc>
          <w:tcPr>
            <w:tcW w:w="14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184"/>
        </w:trPr>
        <w:tc>
          <w:tcPr>
            <w:tcW w:w="1500" w:type="dxa"/>
            <w:vAlign w:val="bottom"/>
            <w:shd w:val="clear" w:color="auto" w:fill="CCEEFF"/>
          </w:tcPr>
          <w:p>
            <w:pPr>
              <w:jc w:val="center"/>
              <w:ind w:left="586"/>
              <w:spacing w:after="0"/>
              <w:rPr>
                <w:sz w:val="20"/>
                <w:szCs w:val="20"/>
                <w:color w:val="auto"/>
              </w:rPr>
            </w:pPr>
            <w:r>
              <w:rPr>
                <w:rFonts w:ascii="Arial" w:cs="Arial" w:eastAsia="Arial" w:hAnsi="Arial"/>
                <w:sz w:val="15"/>
                <w:szCs w:val="15"/>
                <w:b w:val="1"/>
                <w:bCs w:val="1"/>
                <w:color w:val="auto"/>
                <w:w w:val="91"/>
              </w:rPr>
              <w:t>Registrant</w:t>
            </w:r>
          </w:p>
        </w:tc>
        <w:tc>
          <w:tcPr>
            <w:tcW w:w="58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93"/>
              </w:rPr>
              <w:t>or</w:t>
            </w:r>
          </w:p>
        </w:tc>
        <w:tc>
          <w:tcPr>
            <w:tcW w:w="1600" w:type="dxa"/>
            <w:vAlign w:val="bottom"/>
            <w:shd w:val="clear" w:color="auto" w:fill="CCEEFF"/>
          </w:tcPr>
          <w:p>
            <w:pPr>
              <w:ind w:left="1060"/>
              <w:spacing w:after="0"/>
              <w:rPr>
                <w:sz w:val="20"/>
                <w:szCs w:val="20"/>
                <w:color w:val="auto"/>
              </w:rPr>
            </w:pPr>
            <w:r>
              <w:rPr>
                <w:rFonts w:ascii="Arial" w:cs="Arial" w:eastAsia="Arial" w:hAnsi="Arial"/>
                <w:sz w:val="15"/>
                <w:szCs w:val="15"/>
                <w:b w:val="1"/>
                <w:bCs w:val="1"/>
                <w:color w:val="auto"/>
              </w:rPr>
              <w:t>Initial</w:t>
            </w:r>
          </w:p>
        </w:tc>
        <w:tc>
          <w:tcPr>
            <w:tcW w:w="102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84"/>
              </w:rPr>
              <w:t>Fee</w:t>
            </w: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85"/>
              </w:rPr>
              <w:t>Associated with</w:t>
            </w: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86"/>
              </w:rPr>
              <w:t>Unsold Securities</w:t>
            </w:r>
          </w:p>
        </w:tc>
        <w:tc>
          <w:tcPr>
            <w:tcW w:w="192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88"/>
              </w:rPr>
              <w:t>Unsold Aggregate Offering</w:t>
            </w: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89"/>
              </w:rPr>
              <w:t>Fee Paid with</w:t>
            </w:r>
          </w:p>
        </w:tc>
      </w:tr>
      <w:tr>
        <w:trPr>
          <w:trHeight w:val="184"/>
        </w:trPr>
        <w:tc>
          <w:tcPr>
            <w:tcW w:w="1500" w:type="dxa"/>
            <w:vAlign w:val="bottom"/>
            <w:shd w:val="clear" w:color="auto" w:fill="CCEEFF"/>
          </w:tcPr>
          <w:p>
            <w:pPr>
              <w:jc w:val="center"/>
              <w:ind w:left="586"/>
              <w:spacing w:after="0"/>
              <w:rPr>
                <w:sz w:val="20"/>
                <w:szCs w:val="20"/>
                <w:color w:val="auto"/>
              </w:rPr>
            </w:pPr>
            <w:r>
              <w:rPr>
                <w:rFonts w:ascii="Arial" w:cs="Arial" w:eastAsia="Arial" w:hAnsi="Arial"/>
                <w:sz w:val="15"/>
                <w:szCs w:val="15"/>
                <w:b w:val="1"/>
                <w:bCs w:val="1"/>
                <w:color w:val="auto"/>
                <w:w w:val="94"/>
              </w:rPr>
              <w:t>or Filer</w:t>
            </w:r>
          </w:p>
        </w:tc>
        <w:tc>
          <w:tcPr>
            <w:tcW w:w="58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89"/>
              </w:rPr>
              <w:t>Filing</w:t>
            </w:r>
          </w:p>
        </w:tc>
        <w:tc>
          <w:tcPr>
            <w:tcW w:w="1600" w:type="dxa"/>
            <w:vAlign w:val="bottom"/>
            <w:shd w:val="clear" w:color="auto" w:fill="CCEEFF"/>
          </w:tcPr>
          <w:p>
            <w:pPr>
              <w:ind w:left="1060"/>
              <w:spacing w:after="0"/>
              <w:rPr>
                <w:sz w:val="20"/>
                <w:szCs w:val="20"/>
                <w:color w:val="auto"/>
              </w:rPr>
            </w:pPr>
            <w:r>
              <w:rPr>
                <w:rFonts w:ascii="Arial" w:cs="Arial" w:eastAsia="Arial" w:hAnsi="Arial"/>
                <w:sz w:val="15"/>
                <w:szCs w:val="15"/>
                <w:b w:val="1"/>
                <w:bCs w:val="1"/>
                <w:color w:val="auto"/>
              </w:rPr>
              <w:t>Filing</w:t>
            </w:r>
          </w:p>
        </w:tc>
        <w:tc>
          <w:tcPr>
            <w:tcW w:w="102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87"/>
              </w:rPr>
              <w:t>Offset</w:t>
            </w: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87"/>
              </w:rPr>
              <w:t>Fee Offset</w:t>
            </w: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85"/>
              </w:rPr>
              <w:t>Associated with Fee</w:t>
            </w:r>
          </w:p>
        </w:tc>
        <w:tc>
          <w:tcPr>
            <w:tcW w:w="192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87"/>
              </w:rPr>
              <w:t>Amount Associated with</w:t>
            </w: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89"/>
              </w:rPr>
              <w:t>Fee Offset</w:t>
            </w:r>
          </w:p>
        </w:tc>
      </w:tr>
      <w:tr>
        <w:trPr>
          <w:trHeight w:val="206"/>
        </w:trPr>
        <w:tc>
          <w:tcPr>
            <w:tcW w:w="1500" w:type="dxa"/>
            <w:vAlign w:val="bottom"/>
            <w:tcBorders>
              <w:bottom w:val="single" w:sz="8" w:color="auto"/>
            </w:tcBorders>
            <w:shd w:val="clear" w:color="auto" w:fill="CCEEFF"/>
          </w:tcPr>
          <w:p>
            <w:pPr>
              <w:jc w:val="center"/>
              <w:ind w:left="586"/>
              <w:spacing w:after="0"/>
              <w:rPr>
                <w:sz w:val="20"/>
                <w:szCs w:val="20"/>
                <w:color w:val="auto"/>
              </w:rPr>
            </w:pPr>
            <w:r>
              <w:rPr>
                <w:rFonts w:ascii="Arial" w:cs="Arial" w:eastAsia="Arial" w:hAnsi="Arial"/>
                <w:sz w:val="15"/>
                <w:szCs w:val="15"/>
                <w:b w:val="1"/>
                <w:bCs w:val="1"/>
                <w:color w:val="auto"/>
                <w:w w:val="88"/>
              </w:rPr>
              <w:t>Name</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85"/>
              </w:rPr>
              <w:t>Type</w:t>
            </w:r>
          </w:p>
        </w:tc>
        <w:tc>
          <w:tcPr>
            <w:tcW w:w="16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b w:val="1"/>
                <w:bCs w:val="1"/>
                <w:color w:val="auto"/>
              </w:rPr>
              <w:t>File Number   Date</w:t>
            </w:r>
          </w:p>
        </w:tc>
        <w:tc>
          <w:tcPr>
            <w:tcW w:w="1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Filing Date</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2"/>
              </w:rPr>
              <w:t>Claimed</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2"/>
              </w:rPr>
              <w:t>Claimed</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0"/>
              </w:rPr>
              <w:t>Offset Claimed</w:t>
            </w:r>
          </w:p>
        </w:tc>
        <w:tc>
          <w:tcPr>
            <w:tcW w:w="1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89"/>
              </w:rPr>
              <w:t>Fee Offset Claimed</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82"/>
              </w:rPr>
              <w:t>Source</w:t>
            </w:r>
          </w:p>
        </w:tc>
      </w:tr>
    </w:tbl>
    <w:p>
      <w:pPr>
        <w:spacing w:after="0" w:line="12" w:lineRule="exact"/>
        <w:rPr>
          <w:sz w:val="20"/>
          <w:szCs w:val="20"/>
          <w:color w:val="auto"/>
        </w:rPr>
      </w:pPr>
    </w:p>
    <w:p>
      <w:pPr>
        <w:jc w:val="center"/>
        <w:ind w:right="18"/>
        <w:spacing w:after="0"/>
        <w:rPr>
          <w:sz w:val="20"/>
          <w:szCs w:val="20"/>
          <w:color w:val="auto"/>
        </w:rPr>
      </w:pPr>
      <w:r>
        <w:rPr>
          <w:rFonts w:ascii="Arial" w:cs="Arial" w:eastAsia="Arial" w:hAnsi="Arial"/>
          <w:sz w:val="15"/>
          <w:szCs w:val="15"/>
          <w:b w:val="1"/>
          <w:bCs w:val="1"/>
          <w:color w:val="auto"/>
        </w:rPr>
        <w:t>Rule 457(p)</w:t>
      </w:r>
    </w:p>
    <w:p>
      <w:pPr>
        <w:spacing w:after="0" w:line="53" w:lineRule="exact"/>
        <w:rPr>
          <w:sz w:val="20"/>
          <w:szCs w:val="20"/>
          <w:color w:val="auto"/>
        </w:rPr>
      </w:pPr>
    </w:p>
    <w:p>
      <w:pPr>
        <w:ind w:left="42"/>
        <w:spacing w:after="0"/>
        <w:rPr>
          <w:sz w:val="20"/>
          <w:szCs w:val="20"/>
          <w:color w:val="auto"/>
        </w:rPr>
      </w:pPr>
      <w:r>
        <w:rPr>
          <w:rFonts w:ascii="Arial" w:cs="Arial" w:eastAsia="Arial" w:hAnsi="Arial"/>
          <w:sz w:val="15"/>
          <w:szCs w:val="15"/>
          <w:color w:val="auto"/>
        </w:rPr>
        <w:t>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121525" cy="351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21525" cy="351155"/>
                    </a:xfrm>
                    <a:prstGeom prst="rect">
                      <a:avLst/>
                    </a:prstGeom>
                    <a:noFill/>
                  </pic:spPr>
                </pic:pic>
              </a:graphicData>
            </a:graphic>
          </wp:anchor>
        </w:drawing>
      </w:r>
    </w:p>
    <w:p>
      <w:pPr>
        <w:ind w:left="42"/>
        <w:spacing w:after="0"/>
        <w:rPr>
          <w:sz w:val="20"/>
          <w:szCs w:val="20"/>
          <w:color w:val="auto"/>
        </w:rPr>
      </w:pPr>
      <w:r>
        <w:rPr>
          <w:rFonts w:ascii="Arial" w:cs="Arial" w:eastAsia="Arial" w:hAnsi="Arial"/>
          <w:sz w:val="15"/>
          <w:szCs w:val="15"/>
          <w:color w:val="auto"/>
        </w:rPr>
        <w:t>Off-set</w:t>
      </w:r>
    </w:p>
    <w:p>
      <w:pPr>
        <w:spacing w:after="0" w:line="12" w:lineRule="exact"/>
        <w:rPr>
          <w:sz w:val="20"/>
          <w:szCs w:val="20"/>
          <w:color w:val="auto"/>
        </w:rPr>
      </w:pPr>
    </w:p>
    <w:p>
      <w:pPr>
        <w:ind w:left="42"/>
        <w:spacing w:after="0"/>
        <w:rPr>
          <w:sz w:val="20"/>
          <w:szCs w:val="20"/>
          <w:color w:val="auto"/>
        </w:rPr>
      </w:pPr>
      <w:r>
        <w:rPr>
          <w:rFonts w:ascii="Arial" w:cs="Arial" w:eastAsia="Arial" w:hAnsi="Arial"/>
          <w:sz w:val="15"/>
          <w:szCs w:val="15"/>
          <w:color w:val="auto"/>
        </w:rPr>
        <w:t>Claims</w:t>
      </w:r>
    </w:p>
    <w:p>
      <w:pPr>
        <w:spacing w:after="0" w:line="12" w:lineRule="exact"/>
        <w:rPr>
          <w:sz w:val="20"/>
          <w:szCs w:val="20"/>
          <w:color w:val="auto"/>
        </w:rPr>
      </w:pPr>
    </w:p>
    <w:p>
      <w:pPr>
        <w:ind w:left="42"/>
        <w:spacing w:after="0"/>
        <w:rPr>
          <w:sz w:val="20"/>
          <w:szCs w:val="20"/>
          <w:color w:val="auto"/>
        </w:rPr>
      </w:pPr>
      <w:r>
        <w:rPr>
          <w:rFonts w:ascii="Arial" w:cs="Arial" w:eastAsia="Arial" w:hAnsi="Arial"/>
          <w:sz w:val="15"/>
          <w:szCs w:val="15"/>
          <w:color w:val="auto"/>
        </w:rPr>
        <w:t>Fee</w:t>
      </w:r>
    </w:p>
    <w:p>
      <w:pPr>
        <w:spacing w:after="0" w:line="12" w:lineRule="exact"/>
        <w:rPr>
          <w:sz w:val="20"/>
          <w:szCs w:val="20"/>
          <w:color w:val="auto"/>
        </w:rPr>
      </w:pPr>
    </w:p>
    <w:p>
      <w:pPr>
        <w:ind w:left="42"/>
        <w:spacing w:after="0"/>
        <w:rPr>
          <w:sz w:val="20"/>
          <w:szCs w:val="20"/>
          <w:color w:val="auto"/>
        </w:rPr>
      </w:pPr>
      <w:r>
        <w:rPr>
          <w:rFonts w:ascii="Arial" w:cs="Arial" w:eastAsia="Arial" w:hAnsi="Arial"/>
          <w:sz w:val="15"/>
          <w:szCs w:val="15"/>
          <w:color w:val="auto"/>
        </w:rPr>
        <w:t>Off-set</w:t>
      </w:r>
    </w:p>
    <w:p>
      <w:pPr>
        <w:spacing w:after="0" w:line="12" w:lineRule="exact"/>
        <w:rPr>
          <w:sz w:val="20"/>
          <w:szCs w:val="20"/>
          <w:color w:val="auto"/>
        </w:rPr>
      </w:pPr>
    </w:p>
    <w:p>
      <w:pPr>
        <w:ind w:left="42"/>
        <w:spacing w:after="0"/>
        <w:rPr>
          <w:sz w:val="20"/>
          <w:szCs w:val="20"/>
          <w:color w:val="auto"/>
        </w:rPr>
      </w:pPr>
      <w:r>
        <w:rPr>
          <w:rFonts w:ascii="Arial" w:cs="Arial" w:eastAsia="Arial" w:hAnsi="Arial"/>
          <w:sz w:val="15"/>
          <w:szCs w:val="15"/>
          <w:color w:val="auto"/>
        </w:rPr>
        <w:t>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21525" cy="1250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21525" cy="125095"/>
                    </a:xfrm>
                    <a:prstGeom prst="rect">
                      <a:avLst/>
                    </a:prstGeom>
                    <a:noFill/>
                  </pic:spPr>
                </pic:pic>
              </a:graphicData>
            </a:graphic>
          </wp:anchor>
        </w:drawing>
      </w:r>
    </w:p>
    <w:sectPr>
      <w:pgSz w:w="11900" w:h="16838" w:orient="portrait"/>
      <w:cols w:equalWidth="0" w:num="1">
        <w:col w:w="11222"/>
      </w:cols>
      <w:pgMar w:left="318" w:top="35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07"/>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jpe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jpe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21" Type="http://schemas.openxmlformats.org/officeDocument/2006/relationships/hyperlink" Target="https://www.sec.gov/ix?doc=/Archives/edgar/data/0001620463/000095017022004782/atha-20211231.htm" TargetMode="External"/><Relationship Id="rId22" Type="http://schemas.openxmlformats.org/officeDocument/2006/relationships/hyperlink" Target="http://www.sec.gov/Archives/edgar/data/1620463/000095012320009608/atha-8a12b.htm" TargetMode="External"/><Relationship Id="rId24" Type="http://schemas.openxmlformats.org/officeDocument/2006/relationships/hyperlink" Target="http://www.sec.gov/Archives/edgar/data/1620463/000156459020043324/atha-ex41_478.htm" TargetMode="External"/><Relationship Id="rId25" Type="http://schemas.openxmlformats.org/officeDocument/2006/relationships/hyperlink" Target="http://www.sec.gov/Archives/edgar/data/1620463/000156459020042848/atha-ex105_89.htm" TargetMode="External"/><Relationship Id="rId26" Type="http://schemas.openxmlformats.org/officeDocument/2006/relationships/hyperlink" Target="http://www.sec.gov/Archives/edgar/data/1620463/000156459020042848/atha-ex106_88.htm" TargetMode="External"/><Relationship Id="rId27" Type="http://schemas.openxmlformats.org/officeDocument/2006/relationships/hyperlink" Target="http://www.sec.gov/Archives/edgar/data/1620463/000156459020042848/atha-ex107_87.htm" TargetMode="External"/><Relationship Id="rId28" Type="http://schemas.openxmlformats.org/officeDocument/2006/relationships/hyperlink" Target="http://www.sec.gov/Archives/edgar/data/1620463/000156459020042848/atha-ex108_86.htm" TargetMode="External"/><Relationship Id="rId29" Type="http://schemas.openxmlformats.org/officeDocument/2006/relationships/hyperlink" Target="http://www.sec.gov/Archives/edgar/data/1620463/000156459020042848/atha-ex1010_8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2022-03-28T16:15:49Z</dcterms:created>
  <dcterms:modified xsi:type="dcterms:W3CDTF">2022-03-28T16:15:49Z</dcterms:modified>
</cp:coreProperties>
</file>