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COMMISSION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-758825</wp:posOffset>
            </wp:positionV>
            <wp:extent cx="1340485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88"/>
                </w:rPr>
                <w:t>Gengos Andrew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ATHIRA PHARMA,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 w:right="172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18706 NORTH CREEK PARKWAY, SUITE 104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BOTHELL  WA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98011</w:t>
            </w:r>
          </w:p>
        </w:tc>
      </w:tr>
    </w:tbl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Athira Pharma,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ATHA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4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90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ind w:left="1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7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See Below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1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6. Individual or Joint/Group Filing</w:t>
            </w:r>
          </w:p>
        </w:tc>
      </w:tr>
      <w:tr>
        <w:trPr>
          <w:trHeight w:val="19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</w:tr>
      <w:tr>
        <w:trPr>
          <w:trHeight w:val="19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</w:tr>
      <w:tr>
        <w:trPr>
          <w:trHeight w:val="19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40" w:space="26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8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89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40" w:type="dxa"/>
            <w:vAlign w:val="bottom"/>
            <w:gridSpan w:val="9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Not applicable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0.00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1. Not applicable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  <w:w w:val="92"/>
              </w:rPr>
              <w:t>Chief Financial Officer and Chief Business Officer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Mark Worthington,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Attorney-in-fact for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05/22/2023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Andrew Gengos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60" w:type="dxa"/>
            <w:vAlign w:val="bottom"/>
            <w:vMerge w:val="restart"/>
          </w:tcPr>
          <w:p>
            <w:pPr>
              <w:ind w:left="6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63623" TargetMode="External"/><Relationship Id="rId11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2023-05-22T16:56:23Z</dcterms:created>
  <dcterms:modified xsi:type="dcterms:W3CDTF">2023-05-22T16:56:23Z</dcterms:modified>
</cp:coreProperties>
</file>