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635</wp:posOffset>
            </wp:positionH>
            <wp:positionV relativeFrom="page">
              <wp:posOffset>0</wp:posOffset>
            </wp:positionV>
            <wp:extent cx="754253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2530" cy="98291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6220"/>
        <w:spacing w:after="0"/>
        <w:rPr>
          <w:sz w:val="20"/>
          <w:szCs w:val="20"/>
          <w:color w:val="auto"/>
        </w:rPr>
      </w:pPr>
      <w:r>
        <w:rPr>
          <w:rFonts w:ascii="Arial" w:cs="Arial" w:eastAsia="Arial" w:hAnsi="Arial"/>
          <w:sz w:val="18"/>
          <w:szCs w:val="18"/>
          <w:b w:val="1"/>
          <w:bCs w:val="1"/>
          <w:color w:val="auto"/>
        </w:rPr>
        <w:t xml:space="preserve">2 0 2 3 </w:t>
      </w:r>
      <w:r>
        <w:rPr>
          <w:rFonts w:ascii="Arial" w:cs="Arial" w:eastAsia="Arial" w:hAnsi="Arial"/>
          <w:sz w:val="18"/>
          <w:szCs w:val="18"/>
          <w:color w:val="auto"/>
        </w:rPr>
        <w:t>A N N U A L R E P O R T</w:t>
      </w:r>
    </w:p>
    <w:p>
      <w:pPr>
        <w:sectPr>
          <w:pgSz w:w="11880" w:h="15479" w:orient="portrait"/>
          <w:cols w:equalWidth="0" w:num="1">
            <w:col w:w="9140"/>
          </w:cols>
          <w:pgMar w:left="1440" w:top="1440" w:right="1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5620"/>
        <w:spacing w:after="0"/>
        <w:rPr>
          <w:sz w:val="20"/>
          <w:szCs w:val="20"/>
          <w:color w:val="auto"/>
        </w:rPr>
      </w:pPr>
      <w:r>
        <w:rPr>
          <w:rFonts w:ascii="Arial" w:cs="Arial" w:eastAsia="Arial" w:hAnsi="Arial"/>
          <w:sz w:val="32"/>
          <w:szCs w:val="32"/>
          <w:color w:val="F97223"/>
        </w:rPr>
        <w:t>Enhancing Connections</w:t>
      </w:r>
    </w:p>
    <w:p>
      <w:pPr>
        <w:sectPr>
          <w:pgSz w:w="11880" w:h="15479" w:orient="portrait"/>
          <w:cols w:equalWidth="0" w:num="1">
            <w:col w:w="9140"/>
          </w:cols>
          <w:pgMar w:left="1440" w:top="1440" w:right="1299" w:bottom="1440" w:gutter="0" w:footer="0" w:header="0"/>
          <w:type w:val="continuous"/>
        </w:sectPr>
      </w:pPr>
    </w:p>
    <w:bookmarkStart w:id="1" w:name="page2"/>
    <w:bookmarkEnd w:id="1"/>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color w:val="auto"/>
        </w:rPr>
        <w:t>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0"/>
        <w:spacing w:after="0" w:line="314" w:lineRule="auto"/>
        <w:rPr>
          <w:sz w:val="20"/>
          <w:szCs w:val="20"/>
          <w:color w:val="auto"/>
        </w:rPr>
      </w:pPr>
      <w:r>
        <w:rPr>
          <w:rFonts w:ascii="Arial" w:cs="Arial" w:eastAsia="Arial" w:hAnsi="Arial"/>
          <w:sz w:val="20"/>
          <w:szCs w:val="20"/>
          <w:color w:val="auto"/>
        </w:rPr>
        <w:t>2023 marked an important year for Athira, as we continued to make significant progress in our pursuit to advance novel, first-in-class therapies to patients with neurodegenerative diseases in need of better treatment options.</w:t>
      </w:r>
    </w:p>
    <w:p>
      <w:pPr>
        <w:spacing w:after="0" w:line="216" w:lineRule="exact"/>
        <w:rPr>
          <w:sz w:val="20"/>
          <w:szCs w:val="20"/>
          <w:color w:val="auto"/>
        </w:rPr>
      </w:pPr>
    </w:p>
    <w:p>
      <w:pPr>
        <w:spacing w:after="0" w:line="314" w:lineRule="auto"/>
        <w:rPr>
          <w:sz w:val="20"/>
          <w:szCs w:val="20"/>
          <w:color w:val="auto"/>
        </w:rPr>
      </w:pPr>
      <w:r>
        <w:rPr>
          <w:rFonts w:ascii="Arial" w:cs="Arial" w:eastAsia="Arial" w:hAnsi="Arial"/>
          <w:sz w:val="20"/>
          <w:szCs w:val="20"/>
          <w:color w:val="auto"/>
        </w:rPr>
        <w:t>Our approach to altering the course of neuro-logical diseases is focused on the development of therapeutic candidates designed to modulate the neurotrophic hepatocyte growth factor (HGF) system. The HGF system plays a critical role in nervous system maintenance and repair, including stimulating neuron survival, increasing neuronal outgrowth and enhancing neuronal network repair.</w:t>
      </w:r>
    </w:p>
    <w:p>
      <w:pPr>
        <w:spacing w:after="0" w:line="217" w:lineRule="exact"/>
        <w:rPr>
          <w:sz w:val="20"/>
          <w:szCs w:val="20"/>
          <w:color w:val="auto"/>
        </w:rPr>
      </w:pPr>
    </w:p>
    <w:p>
      <w:pPr>
        <w:ind w:right="120"/>
        <w:spacing w:after="0" w:line="315" w:lineRule="auto"/>
        <w:rPr>
          <w:sz w:val="20"/>
          <w:szCs w:val="20"/>
          <w:color w:val="auto"/>
        </w:rPr>
      </w:pPr>
      <w:r>
        <w:rPr>
          <w:rFonts w:ascii="Arial" w:cs="Arial" w:eastAsia="Arial" w:hAnsi="Arial"/>
          <w:sz w:val="20"/>
          <w:szCs w:val="20"/>
          <w:color w:val="auto"/>
        </w:rPr>
        <w:t>Throughout 2023 and the first quarter of 2024, we presented and published preclinical and clinical data that further reinforce the potential of our small molecule approach targeting the neurotrophic HGF system across several neuro-degenerative diseases including Alzheimer’s disease (AD), Parkinson’s disease (PD), and amyotrophic lateral sclerosis (ALS).</w:t>
      </w:r>
    </w:p>
    <w:p>
      <w:pPr>
        <w:spacing w:after="0" w:line="210" w:lineRule="exact"/>
        <w:rPr>
          <w:sz w:val="20"/>
          <w:szCs w:val="20"/>
          <w:color w:val="auto"/>
        </w:rPr>
      </w:pPr>
    </w:p>
    <w:p>
      <w:pPr>
        <w:ind w:right="160"/>
        <w:spacing w:after="0" w:line="315" w:lineRule="auto"/>
        <w:rPr>
          <w:sz w:val="20"/>
          <w:szCs w:val="20"/>
          <w:color w:val="auto"/>
        </w:rPr>
      </w:pPr>
      <w:r>
        <w:rPr>
          <w:rFonts w:ascii="Arial" w:cs="Arial" w:eastAsia="Arial" w:hAnsi="Arial"/>
          <w:sz w:val="20"/>
          <w:szCs w:val="20"/>
          <w:color w:val="auto"/>
        </w:rPr>
        <w:t>We are approaching a critical inflection point toward achieving our mission with topline data from our Phase 2/3 LIFT-AD clinical trial of fosgonimeton in mild-to-moderate AD on the horizon. In 2023, we made meaningful strides advancing fosgonimeton through late-stage clinical development and have built on this momentum moving into 2024. In July 2023,</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2080"/>
        <w:spacing w:after="0"/>
        <w:rPr>
          <w:sz w:val="20"/>
          <w:szCs w:val="20"/>
          <w:color w:val="auto"/>
        </w:rPr>
      </w:pPr>
      <w:r>
        <w:rPr>
          <w:rFonts w:ascii="Arial" w:cs="Arial" w:eastAsia="Arial" w:hAnsi="Arial"/>
          <w:sz w:val="20"/>
          <w:szCs w:val="20"/>
          <w:b w:val="1"/>
          <w:bCs w:val="1"/>
          <w:i w:val="1"/>
          <w:iCs w:val="1"/>
          <w:color w:val="2A8697"/>
        </w:rPr>
        <w:t>In January 2024,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1114425</wp:posOffset>
            </wp:positionH>
            <wp:positionV relativeFrom="paragraph">
              <wp:posOffset>-1162050</wp:posOffset>
            </wp:positionV>
            <wp:extent cx="1350010" cy="2844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0010" cy="2844800"/>
                    </a:xfrm>
                    <a:prstGeom prst="rect">
                      <a:avLst/>
                    </a:prstGeom>
                    <a:noFill/>
                  </pic:spPr>
                </pic:pic>
              </a:graphicData>
            </a:graphic>
          </wp:anchor>
        </w:drawing>
      </w:r>
    </w:p>
    <w:p>
      <w:pPr>
        <w:spacing w:after="0" w:line="53" w:lineRule="exact"/>
        <w:rPr>
          <w:sz w:val="20"/>
          <w:szCs w:val="20"/>
          <w:color w:val="auto"/>
        </w:rPr>
      </w:pPr>
    </w:p>
    <w:p>
      <w:pPr>
        <w:ind w:left="2080"/>
        <w:spacing w:after="0"/>
        <w:rPr>
          <w:sz w:val="20"/>
          <w:szCs w:val="20"/>
          <w:color w:val="auto"/>
        </w:rPr>
      </w:pPr>
      <w:r>
        <w:rPr>
          <w:rFonts w:ascii="Arial" w:cs="Arial" w:eastAsia="Arial" w:hAnsi="Arial"/>
          <w:sz w:val="20"/>
          <w:szCs w:val="20"/>
          <w:b w:val="1"/>
          <w:bCs w:val="1"/>
          <w:i w:val="1"/>
          <w:iCs w:val="1"/>
          <w:color w:val="2A8697"/>
        </w:rPr>
        <w:t>announced the comple-</w:t>
      </w:r>
    </w:p>
    <w:p>
      <w:pPr>
        <w:spacing w:after="0" w:line="73" w:lineRule="exact"/>
        <w:rPr>
          <w:sz w:val="20"/>
          <w:szCs w:val="20"/>
          <w:color w:val="auto"/>
        </w:rPr>
      </w:pPr>
    </w:p>
    <w:p>
      <w:pPr>
        <w:ind w:left="2080"/>
        <w:spacing w:after="0"/>
        <w:rPr>
          <w:sz w:val="20"/>
          <w:szCs w:val="20"/>
          <w:color w:val="auto"/>
        </w:rPr>
      </w:pPr>
      <w:r>
        <w:rPr>
          <w:rFonts w:ascii="Arial" w:cs="Arial" w:eastAsia="Arial" w:hAnsi="Arial"/>
          <w:sz w:val="20"/>
          <w:szCs w:val="20"/>
          <w:b w:val="1"/>
          <w:bCs w:val="1"/>
          <w:i w:val="1"/>
          <w:iCs w:val="1"/>
          <w:color w:val="2A8697"/>
        </w:rPr>
        <w:t>tion of enrollment for</w:t>
      </w:r>
    </w:p>
    <w:p>
      <w:pPr>
        <w:spacing w:after="0" w:line="73" w:lineRule="exact"/>
        <w:rPr>
          <w:sz w:val="20"/>
          <w:szCs w:val="20"/>
          <w:color w:val="auto"/>
        </w:rPr>
      </w:pPr>
    </w:p>
    <w:p>
      <w:pPr>
        <w:ind w:left="2080"/>
        <w:spacing w:after="0"/>
        <w:rPr>
          <w:sz w:val="20"/>
          <w:szCs w:val="20"/>
          <w:color w:val="auto"/>
        </w:rPr>
      </w:pPr>
      <w:r>
        <w:rPr>
          <w:rFonts w:ascii="Arial" w:cs="Arial" w:eastAsia="Arial" w:hAnsi="Arial"/>
          <w:sz w:val="20"/>
          <w:szCs w:val="20"/>
          <w:b w:val="1"/>
          <w:bCs w:val="1"/>
          <w:i w:val="1"/>
          <w:iCs w:val="1"/>
          <w:color w:val="2A8697"/>
        </w:rPr>
        <w:t>the Phase 2/3 LIFT-AD</w:t>
      </w:r>
    </w:p>
    <w:p>
      <w:pPr>
        <w:spacing w:after="0" w:line="73" w:lineRule="exact"/>
        <w:rPr>
          <w:sz w:val="20"/>
          <w:szCs w:val="20"/>
          <w:color w:val="auto"/>
        </w:rPr>
      </w:pPr>
    </w:p>
    <w:p>
      <w:pPr>
        <w:ind w:left="2080"/>
        <w:spacing w:after="0"/>
        <w:rPr>
          <w:sz w:val="20"/>
          <w:szCs w:val="20"/>
          <w:color w:val="auto"/>
        </w:rPr>
      </w:pPr>
      <w:r>
        <w:rPr>
          <w:rFonts w:ascii="Arial" w:cs="Arial" w:eastAsia="Arial" w:hAnsi="Arial"/>
          <w:sz w:val="20"/>
          <w:szCs w:val="20"/>
          <w:b w:val="1"/>
          <w:bCs w:val="1"/>
          <w:i w:val="1"/>
          <w:iCs w:val="1"/>
          <w:color w:val="2A8697"/>
        </w:rPr>
        <w:t>clinical trial and now</w:t>
      </w:r>
    </w:p>
    <w:p>
      <w:pPr>
        <w:spacing w:after="0" w:line="73" w:lineRule="exact"/>
        <w:rPr>
          <w:sz w:val="20"/>
          <w:szCs w:val="20"/>
          <w:color w:val="auto"/>
        </w:rPr>
      </w:pPr>
    </w:p>
    <w:p>
      <w:pPr>
        <w:ind w:left="2080"/>
        <w:spacing w:after="0"/>
        <w:rPr>
          <w:sz w:val="20"/>
          <w:szCs w:val="20"/>
          <w:color w:val="auto"/>
        </w:rPr>
      </w:pPr>
      <w:r>
        <w:rPr>
          <w:rFonts w:ascii="Arial" w:cs="Arial" w:eastAsia="Arial" w:hAnsi="Arial"/>
          <w:sz w:val="20"/>
          <w:szCs w:val="20"/>
          <w:b w:val="1"/>
          <w:bCs w:val="1"/>
          <w:i w:val="1"/>
          <w:iCs w:val="1"/>
          <w:color w:val="2A8697"/>
        </w:rPr>
        <w:t>look forward to report-</w:t>
      </w:r>
    </w:p>
    <w:p>
      <w:pPr>
        <w:spacing w:after="0" w:line="73" w:lineRule="exact"/>
        <w:rPr>
          <w:sz w:val="20"/>
          <w:szCs w:val="20"/>
          <w:color w:val="auto"/>
        </w:rPr>
      </w:pPr>
    </w:p>
    <w:p>
      <w:pPr>
        <w:ind w:left="2080"/>
        <w:spacing w:after="0"/>
        <w:rPr>
          <w:sz w:val="20"/>
          <w:szCs w:val="20"/>
          <w:color w:val="auto"/>
        </w:rPr>
      </w:pPr>
      <w:r>
        <w:rPr>
          <w:rFonts w:ascii="Arial" w:cs="Arial" w:eastAsia="Arial" w:hAnsi="Arial"/>
          <w:sz w:val="20"/>
          <w:szCs w:val="20"/>
          <w:b w:val="1"/>
          <w:bCs w:val="1"/>
          <w:i w:val="1"/>
          <w:iCs w:val="1"/>
          <w:color w:val="2A8697"/>
        </w:rPr>
        <w:t>ing topline data from</w:t>
      </w:r>
    </w:p>
    <w:p>
      <w:pPr>
        <w:spacing w:after="0" w:line="73" w:lineRule="exact"/>
        <w:rPr>
          <w:sz w:val="20"/>
          <w:szCs w:val="20"/>
          <w:color w:val="auto"/>
        </w:rPr>
      </w:pPr>
    </w:p>
    <w:p>
      <w:pPr>
        <w:ind w:left="2080"/>
        <w:spacing w:after="0"/>
        <w:rPr>
          <w:sz w:val="20"/>
          <w:szCs w:val="20"/>
          <w:color w:val="auto"/>
        </w:rPr>
      </w:pPr>
      <w:r>
        <w:rPr>
          <w:rFonts w:ascii="Arial" w:cs="Arial" w:eastAsia="Arial" w:hAnsi="Arial"/>
          <w:sz w:val="20"/>
          <w:szCs w:val="20"/>
          <w:b w:val="1"/>
          <w:bCs w:val="1"/>
          <w:i w:val="1"/>
          <w:iCs w:val="1"/>
          <w:color w:val="2A8697"/>
        </w:rPr>
        <w:t>LIFT-AD in the second</w:t>
      </w:r>
    </w:p>
    <w:p>
      <w:pPr>
        <w:spacing w:after="0" w:line="73" w:lineRule="exact"/>
        <w:rPr>
          <w:sz w:val="20"/>
          <w:szCs w:val="20"/>
          <w:color w:val="auto"/>
        </w:rPr>
      </w:pPr>
    </w:p>
    <w:p>
      <w:pPr>
        <w:ind w:left="2080"/>
        <w:spacing w:after="0"/>
        <w:rPr>
          <w:sz w:val="20"/>
          <w:szCs w:val="20"/>
          <w:color w:val="auto"/>
        </w:rPr>
      </w:pPr>
      <w:r>
        <w:rPr>
          <w:rFonts w:ascii="Arial" w:cs="Arial" w:eastAsia="Arial" w:hAnsi="Arial"/>
          <w:sz w:val="20"/>
          <w:szCs w:val="20"/>
          <w:b w:val="1"/>
          <w:bCs w:val="1"/>
          <w:i w:val="1"/>
          <w:iCs w:val="1"/>
          <w:color w:val="2A8697"/>
        </w:rPr>
        <w:t>half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19"/>
        <w:spacing w:after="0" w:line="316" w:lineRule="auto"/>
        <w:rPr>
          <w:sz w:val="20"/>
          <w:szCs w:val="20"/>
          <w:color w:val="auto"/>
        </w:rPr>
      </w:pPr>
      <w:r>
        <w:rPr>
          <w:rFonts w:ascii="Arial" w:cs="Arial" w:eastAsia="Arial" w:hAnsi="Arial"/>
          <w:sz w:val="20"/>
          <w:szCs w:val="20"/>
          <w:color w:val="auto"/>
        </w:rPr>
        <w:t>we completed an end-of-phase 2 meeting with the U.S. Food and Drug Administration (FDA) to gain alignment on development plans for fosgo-nimeton in AD. Based on these interactions, we believe all registrational pathways remain viable.</w:t>
      </w:r>
    </w:p>
    <w:p>
      <w:pPr>
        <w:spacing w:after="0" w:line="211" w:lineRule="exact"/>
        <w:rPr>
          <w:sz w:val="20"/>
          <w:szCs w:val="20"/>
          <w:color w:val="auto"/>
        </w:rPr>
      </w:pPr>
    </w:p>
    <w:p>
      <w:pPr>
        <w:ind w:right="199"/>
        <w:spacing w:after="0" w:line="317" w:lineRule="auto"/>
        <w:rPr>
          <w:sz w:val="20"/>
          <w:szCs w:val="20"/>
          <w:color w:val="auto"/>
        </w:rPr>
      </w:pPr>
      <w:r>
        <w:rPr>
          <w:rFonts w:ascii="Arial" w:cs="Arial" w:eastAsia="Arial" w:hAnsi="Arial"/>
          <w:sz w:val="20"/>
          <w:szCs w:val="20"/>
          <w:color w:val="auto"/>
        </w:rPr>
        <w:t>In January 2024, we announced the completion of enrollment for the Phase 2/3 LIFT-AD clinical trial and now look forward to reporting topline data from LIFT-AD in the second half of 2024.</w:t>
      </w:r>
    </w:p>
    <w:p>
      <w:pPr>
        <w:spacing w:after="0" w:line="210" w:lineRule="exact"/>
        <w:rPr>
          <w:sz w:val="20"/>
          <w:szCs w:val="20"/>
          <w:color w:val="auto"/>
        </w:rPr>
      </w:pPr>
    </w:p>
    <w:p>
      <w:pPr>
        <w:ind w:right="19"/>
        <w:spacing w:after="0" w:line="315" w:lineRule="auto"/>
        <w:rPr>
          <w:sz w:val="20"/>
          <w:szCs w:val="20"/>
          <w:color w:val="auto"/>
        </w:rPr>
      </w:pPr>
      <w:r>
        <w:rPr>
          <w:rFonts w:ascii="Arial" w:cs="Arial" w:eastAsia="Arial" w:hAnsi="Arial"/>
          <w:sz w:val="20"/>
          <w:szCs w:val="20"/>
          <w:color w:val="auto"/>
        </w:rPr>
        <w:t>Findings to-date support the potential success of LIFT-AD, which include encouraging results from the exploratory Phase 2 ACT-AD and SHAPE trials, outcomes from the LIFT-AD unblinded interim efficacy and futility analysis, and contin-ued high participation rates and long duration of investigational treatment in the ongoing open label extension trial (OLEX).</w:t>
      </w:r>
    </w:p>
    <w:p>
      <w:pPr>
        <w:spacing w:after="0" w:line="210" w:lineRule="exact"/>
        <w:rPr>
          <w:sz w:val="20"/>
          <w:szCs w:val="20"/>
          <w:color w:val="auto"/>
        </w:rPr>
      </w:pPr>
    </w:p>
    <w:p>
      <w:pPr>
        <w:ind w:right="119"/>
        <w:spacing w:after="0" w:line="315" w:lineRule="auto"/>
        <w:rPr>
          <w:sz w:val="20"/>
          <w:szCs w:val="20"/>
          <w:color w:val="auto"/>
        </w:rPr>
      </w:pPr>
      <w:r>
        <w:rPr>
          <w:rFonts w:ascii="Arial" w:cs="Arial" w:eastAsia="Arial" w:hAnsi="Arial"/>
          <w:sz w:val="20"/>
          <w:szCs w:val="20"/>
          <w:color w:val="auto"/>
        </w:rPr>
        <w:t>In parallel, we continue to advance ATH-1105, our next-generation, orally administered thera-peutic candidate targeting the HGF system for the treatment of ALS. We are highly encouraged by the consistent benefit and neuroprotective effects ATH-1105 has shown in preclinical models, which have demonstrated statistically significant improvements in nerve and motor</w:t>
      </w:r>
    </w:p>
    <w:p>
      <w:pPr>
        <w:sectPr>
          <w:pgSz w:w="11880" w:h="15479" w:orient="portrait"/>
          <w:cols w:equalWidth="0" w:num="2">
            <w:col w:w="4320" w:space="600"/>
            <w:col w:w="4439"/>
          </w:cols>
          <w:pgMar w:left="1080" w:top="1440"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2"/>
          <w:szCs w:val="12"/>
          <w:color w:val="auto"/>
        </w:rPr>
        <w:t>ATHIRA PHARMA 2023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5060"/>
        <w:spacing w:after="0" w:line="315" w:lineRule="auto"/>
        <w:rPr>
          <w:sz w:val="20"/>
          <w:szCs w:val="20"/>
          <w:color w:val="auto"/>
        </w:rPr>
      </w:pPr>
      <w:r>
        <w:rPr>
          <w:rFonts w:ascii="Arial" w:cs="Arial" w:eastAsia="Arial" w:hAnsi="Arial"/>
          <w:sz w:val="20"/>
          <w:szCs w:val="20"/>
          <w:color w:val="auto"/>
        </w:rPr>
        <w:t>function, biomarkers of inflammation and neuro-degeneration, and survival in various animal models of ALS. We are filing our Investigational New Drug (IND) application with the FDA for ATH-1105 and are excited to initiate a first-in-human study of ATH-1105.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3797300</wp:posOffset>
            </wp:positionH>
            <wp:positionV relativeFrom="paragraph">
              <wp:posOffset>-1127125</wp:posOffset>
            </wp:positionV>
            <wp:extent cx="1858010" cy="2317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8010" cy="2317750"/>
                    </a:xfrm>
                    <a:prstGeom prst="rect">
                      <a:avLst/>
                    </a:prstGeom>
                    <a:noFill/>
                  </pic:spPr>
                </pic:pic>
              </a:graphicData>
            </a:graphic>
          </wp:anchor>
        </w:drawing>
      </w:r>
    </w:p>
    <w:p>
      <w:pPr>
        <w:spacing w:after="0" w:line="194" w:lineRule="exact"/>
        <w:rPr>
          <w:sz w:val="20"/>
          <w:szCs w:val="20"/>
          <w:color w:val="auto"/>
        </w:rPr>
      </w:pPr>
    </w:p>
    <w:p>
      <w:pPr>
        <w:ind w:right="5080"/>
        <w:spacing w:after="0" w:line="315" w:lineRule="auto"/>
        <w:rPr>
          <w:sz w:val="20"/>
          <w:szCs w:val="20"/>
          <w:color w:val="auto"/>
        </w:rPr>
      </w:pPr>
      <w:r>
        <w:rPr>
          <w:rFonts w:ascii="Arial" w:cs="Arial" w:eastAsia="Arial" w:hAnsi="Arial"/>
          <w:sz w:val="20"/>
          <w:szCs w:val="20"/>
          <w:color w:val="auto"/>
        </w:rPr>
        <w:t>As always, we are extremely grateful to you, our loyal shareholders, for your continued support and encouragement as we execute on our strategy and advance our mission to trans-form the treatment paradigm for neurodegener-ative diseases and bring new standards of care to the millions of patients who suffer from these debilitating diseases.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Importantly, we thank our clinical collaborators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and their patients who participate in our clinical</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trials with the hope of improving not only their</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own outcomes, but also the outcomes of future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patients. None of the progress we have made</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would be possible without their support.</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287655</wp:posOffset>
            </wp:positionV>
            <wp:extent cx="1684655" cy="814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4655"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Mark J. Litton, Ph.D.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Athira Pharma,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660400</wp:posOffset>
                </wp:positionV>
                <wp:extent cx="594296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296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2pt" to="467.95pt,52pt" o:allowincell="f" strokecolor="#000000" strokeweight="0.25pt"/>
            </w:pict>
          </mc:Fallback>
        </mc:AlternateContent>
      </w:r>
    </w:p>
    <w:p>
      <w:pPr>
        <w:sectPr>
          <w:pgSz w:w="11880" w:h="15479" w:orient="portrait"/>
          <w:cols w:equalWidth="0" w:num="1">
            <w:col w:w="9360"/>
          </w:cols>
          <w:pgMar w:left="1440" w:top="461" w:right="10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315" w:lineRule="auto"/>
        <w:rPr>
          <w:sz w:val="20"/>
          <w:szCs w:val="20"/>
          <w:color w:val="auto"/>
        </w:rPr>
      </w:pPr>
      <w:r>
        <w:rPr>
          <w:rFonts w:ascii="Arial" w:cs="Arial" w:eastAsia="Arial" w:hAnsi="Arial"/>
          <w:sz w:val="12"/>
          <w:szCs w:val="12"/>
          <w:color w:val="auto"/>
        </w:rPr>
        <w:t>Certain statements contained in this letter may constitute forward-looking statements within the meaning of Section 27A of the Securities Act of 1933, as amended, and Section 21E of the Securities Exchange Act of 1934, as amended. A detailed discussion of such forward-looking statements and the related risks and uncertainties is included in our Annual Report on Form 10-K included herewith.</w:t>
      </w:r>
    </w:p>
    <w:p>
      <w:pPr>
        <w:sectPr>
          <w:pgSz w:w="11880" w:h="15479" w:orient="portrait"/>
          <w:cols w:equalWidth="0" w:num="1">
            <w:col w:w="9360"/>
          </w:cols>
          <w:pgMar w:left="1440" w:top="461" w:right="1079" w:bottom="0" w:gutter="0" w:footer="0" w:header="0"/>
          <w:type w:val="continuous"/>
        </w:sectPr>
      </w:pPr>
    </w:p>
    <w:bookmarkStart w:id="3" w:name="page4"/>
    <w:bookmarkEnd w:id="3"/>
    <w:p>
      <w:pPr>
        <w:jc w:val="both"/>
        <w:spacing w:after="0" w:line="315" w:lineRule="auto"/>
        <w:rPr>
          <w:sz w:val="20"/>
          <w:szCs w:val="20"/>
          <w:color w:val="auto"/>
        </w:rPr>
      </w:pPr>
    </w:p>
    <w:p>
      <w:pPr>
        <w:sectPr>
          <w:pgSz w:w="11880" w:h="15474"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28"/>
          <w:szCs w:val="28"/>
          <w:b w:val="1"/>
          <w:bCs w:val="1"/>
          <w:color w:val="auto"/>
        </w:rPr>
        <mc:AlternateContent>
          <mc:Choice Requires="wps">
            <w:drawing>
              <wp:anchor simplePos="0" relativeHeight="251657728" behindDoc="1" locked="0" layoutInCell="0" allowOverlap="1">
                <wp:simplePos x="0" y="0"/>
                <wp:positionH relativeFrom="page">
                  <wp:posOffset>539115</wp:posOffset>
                </wp:positionH>
                <wp:positionV relativeFrom="page">
                  <wp:posOffset>448945</wp:posOffset>
                </wp:positionV>
                <wp:extent cx="64389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2.45pt,35.35pt" to="549.45pt,35.35pt" o:allowincell="f" strokecolor="#000000" strokeweight="0.7199pt">
                <w10:wrap anchorx="page" anchory="page"/>
              </v:line>
            </w:pict>
          </mc:Fallback>
        </mc:AlternateContent>
        <mc:AlternateContent>
          <mc:Choice Requires="wps">
            <w:drawing>
              <wp:anchor simplePos="0" relativeHeight="251657728" behindDoc="1" locked="0" layoutInCell="0" allowOverlap="1">
                <wp:simplePos x="0" y="0"/>
                <wp:positionH relativeFrom="page">
                  <wp:posOffset>539115</wp:posOffset>
                </wp:positionH>
                <wp:positionV relativeFrom="page">
                  <wp:posOffset>466725</wp:posOffset>
                </wp:positionV>
                <wp:extent cx="64389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2.45pt,36.75pt" to="549.45pt,36.75pt" o:allowincell="f" strokecolor="#000000" strokeweight="0.7199pt">
                <w10:wrap anchorx="page" anchory="page"/>
              </v:line>
            </w:pict>
          </mc:Fallback>
        </mc:AlternateContent>
        <w:t>UNITED STATES</w:t>
      </w:r>
    </w:p>
    <w:p>
      <w:pPr>
        <w:jc w:val="center"/>
        <w:spacing w:after="0" w:line="235" w:lineRule="auto"/>
        <w:rPr>
          <w:sz w:val="20"/>
          <w:szCs w:val="20"/>
          <w:color w:val="auto"/>
        </w:rPr>
      </w:pPr>
      <w:r>
        <w:rPr>
          <w:rFonts w:ascii="Arial" w:cs="Arial" w:eastAsia="Arial" w:hAnsi="Arial"/>
          <w:sz w:val="28"/>
          <w:szCs w:val="28"/>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2723515</wp:posOffset>
                </wp:positionH>
                <wp:positionV relativeFrom="paragraph">
                  <wp:posOffset>-222885</wp:posOffset>
                </wp:positionV>
                <wp:extent cx="9525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45pt,-17.5499pt" to="289.45pt,-17.5499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2723515</wp:posOffset>
                </wp:positionH>
                <wp:positionV relativeFrom="paragraph">
                  <wp:posOffset>62865</wp:posOffset>
                </wp:positionV>
                <wp:extent cx="9525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45pt,4.95pt" to="289.45pt,4.95pt" o:allowincell="f" strokecolor="#000000" strokeweight="0.4799pt"/>
            </w:pict>
          </mc:Fallback>
        </mc:AlternateConten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 One)</w:t>
      </w:r>
    </w:p>
    <w:p>
      <w:pPr>
        <w:ind w:left="420" w:hanging="406"/>
        <w:spacing w:after="0" w:line="238" w:lineRule="auto"/>
        <w:tabs>
          <w:tab w:leader="none" w:pos="420" w:val="left"/>
        </w:tabs>
        <w:numPr>
          <w:ilvl w:val="0"/>
          <w:numId w:val="1"/>
        </w:numPr>
        <w:rPr>
          <w:rFonts w:ascii="Segoe UI" w:cs="Segoe UI" w:eastAsia="Segoe UI" w:hAnsi="Segoe UI"/>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OR</w:t>
      </w:r>
    </w:p>
    <w:p>
      <w:pPr>
        <w:ind w:left="420" w:hanging="406"/>
        <w:spacing w:after="0" w:line="227" w:lineRule="auto"/>
        <w:tabs>
          <w:tab w:leader="none" w:pos="420" w:val="left"/>
        </w:tabs>
        <w:numPr>
          <w:ilvl w:val="0"/>
          <w:numId w:val="2"/>
        </w:numPr>
        <w:rPr>
          <w:rFonts w:ascii="Segoe UI" w:cs="Segoe UI" w:eastAsia="Segoe UI" w:hAnsi="Segoe UI"/>
          <w:sz w:val="17"/>
          <w:szCs w:val="17"/>
          <w:color w:val="auto"/>
        </w:rPr>
      </w:pPr>
      <w:r>
        <w:rPr>
          <w:rFonts w:ascii="Arial" w:cs="Arial" w:eastAsia="Arial" w:hAnsi="Arial"/>
          <w:sz w:val="17"/>
          <w:szCs w:val="17"/>
          <w:b w:val="1"/>
          <w:bCs w:val="1"/>
          <w:color w:val="auto"/>
        </w:rPr>
        <w:t>TRANSITION REPORT PURSUANT TO SECTION 13 OR 15(d) OF THE SECURITIES EXCHANGE ACT OF 1934 FOR</w:t>
      </w:r>
    </w:p>
    <w:p>
      <w:pPr>
        <w:spacing w:after="0" w:line="1" w:lineRule="exact"/>
        <w:rPr>
          <w:sz w:val="20"/>
          <w:szCs w:val="20"/>
          <w:color w:val="auto"/>
        </w:rPr>
      </w:pPr>
    </w:p>
    <w:p>
      <w:pPr>
        <w:ind w:left="420"/>
        <w:spacing w:after="0"/>
        <w:tabs>
          <w:tab w:leader="none" w:pos="4340" w:val="left"/>
        </w:tabs>
        <w:rPr>
          <w:sz w:val="20"/>
          <w:szCs w:val="20"/>
          <w:color w:val="auto"/>
        </w:rPr>
      </w:pPr>
      <w:r>
        <w:rPr>
          <w:rFonts w:ascii="Arial" w:cs="Arial" w:eastAsia="Arial" w:hAnsi="Arial"/>
          <w:sz w:val="18"/>
          <w:szCs w:val="18"/>
          <w:b w:val="1"/>
          <w:bCs w:val="1"/>
          <w:color w:val="auto"/>
        </w:rPr>
        <w:t>THE TRANSITION PERIOD FROM</w:t>
      </w:r>
      <w:r>
        <w:rPr>
          <w:sz w:val="20"/>
          <w:szCs w:val="20"/>
          <w:color w:val="auto"/>
        </w:rPr>
        <w:tab/>
      </w:r>
      <w:r>
        <w:rPr>
          <w:rFonts w:ascii="Arial" w:cs="Arial" w:eastAsia="Arial" w:hAnsi="Arial"/>
          <w:sz w:val="17"/>
          <w:szCs w:val="17"/>
          <w:b w:val="1"/>
          <w:bCs w:val="1"/>
          <w:color w:val="auto"/>
        </w:rPr>
        <w:t>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001-39503</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Athira Pharma,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2723515</wp:posOffset>
                </wp:positionH>
                <wp:positionV relativeFrom="paragraph">
                  <wp:posOffset>-247015</wp:posOffset>
                </wp:positionV>
                <wp:extent cx="9525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45pt,-19.4499pt" to="289.45pt,-19.4499pt" o:allowincell="f" strokecolor="#000000" strokeweight="0.4809pt"/>
            </w:pict>
          </mc:Fallback>
        </mc:AlternateConten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2723515</wp:posOffset>
                </wp:positionH>
                <wp:positionV relativeFrom="paragraph">
                  <wp:posOffset>36195</wp:posOffset>
                </wp:positionV>
                <wp:extent cx="9525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45pt,2.85pt" to="289.45pt,2.85pt" o:allowincell="f" strokecolor="#000000" strokeweight="0.4809pt"/>
            </w:pict>
          </mc:Fallback>
        </mc:AlternateContent>
      </w:r>
    </w:p>
    <w:p>
      <w:pPr>
        <w:sectPr>
          <w:pgSz w:w="11880" w:h="15474" w:orient="portrait"/>
          <w:cols w:equalWidth="0" w:num="1">
            <w:col w:w="10080"/>
          </w:cols>
          <w:pgMar w:left="880" w:top="752" w:right="914" w:bottom="515" w:gutter="0" w:footer="0" w:header="0"/>
        </w:sectPr>
      </w:pPr>
    </w:p>
    <w:p>
      <w:pPr>
        <w:spacing w:after="0" w:line="7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Delaware</w:t>
      </w:r>
    </w:p>
    <w:p>
      <w:pPr>
        <w:ind w:left="1560"/>
        <w:spacing w:after="0" w:line="236" w:lineRule="auto"/>
        <w:rPr>
          <w:sz w:val="20"/>
          <w:szCs w:val="20"/>
          <w:color w:val="auto"/>
        </w:rPr>
      </w:pPr>
      <w:r>
        <w:rPr>
          <w:rFonts w:ascii="Arial" w:cs="Arial" w:eastAsia="Arial" w:hAnsi="Arial"/>
          <w:sz w:val="14"/>
          <w:szCs w:val="14"/>
          <w:b w:val="1"/>
          <w:bCs w:val="1"/>
          <w:color w:val="auto"/>
        </w:rPr>
        <w:t>(State or other jurisdiction of</w:t>
      </w:r>
    </w:p>
    <w:p>
      <w:pPr>
        <w:ind w:left="15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center"/>
        <w:ind w:right="1940"/>
        <w:spacing w:after="0"/>
        <w:rPr>
          <w:sz w:val="20"/>
          <w:szCs w:val="20"/>
          <w:color w:val="auto"/>
        </w:rPr>
      </w:pPr>
      <w:r>
        <w:rPr>
          <w:rFonts w:ascii="Arial" w:cs="Arial" w:eastAsia="Arial" w:hAnsi="Arial"/>
          <w:sz w:val="16"/>
          <w:szCs w:val="16"/>
          <w:b w:val="1"/>
          <w:bCs w:val="1"/>
          <w:color w:val="auto"/>
        </w:rPr>
        <w:t>45-3368487</w:t>
      </w:r>
    </w:p>
    <w:p>
      <w:pPr>
        <w:spacing w:after="0" w:line="12" w:lineRule="exact"/>
        <w:rPr>
          <w:sz w:val="20"/>
          <w:szCs w:val="20"/>
          <w:color w:val="auto"/>
        </w:rPr>
      </w:pPr>
    </w:p>
    <w:p>
      <w:pPr>
        <w:jc w:val="center"/>
        <w:ind w:right="1940"/>
        <w:spacing w:after="0"/>
        <w:rPr>
          <w:sz w:val="20"/>
          <w:szCs w:val="20"/>
          <w:color w:val="auto"/>
        </w:rPr>
      </w:pPr>
      <w:r>
        <w:rPr>
          <w:rFonts w:ascii="Arial" w:cs="Arial" w:eastAsia="Arial" w:hAnsi="Arial"/>
          <w:sz w:val="14"/>
          <w:szCs w:val="14"/>
          <w:b w:val="1"/>
          <w:bCs w:val="1"/>
          <w:color w:val="auto"/>
        </w:rPr>
        <w:t>(I.R.S. Employer</w:t>
      </w:r>
    </w:p>
    <w:p>
      <w:pPr>
        <w:jc w:val="center"/>
        <w:ind w:right="1940"/>
        <w:spacing w:after="0"/>
        <w:rPr>
          <w:sz w:val="20"/>
          <w:szCs w:val="20"/>
          <w:color w:val="auto"/>
        </w:rPr>
      </w:pPr>
      <w:r>
        <w:rPr>
          <w:rFonts w:ascii="Arial" w:cs="Arial" w:eastAsia="Arial" w:hAnsi="Arial"/>
          <w:sz w:val="13"/>
          <w:szCs w:val="13"/>
          <w:b w:val="1"/>
          <w:bCs w:val="1"/>
          <w:color w:val="auto"/>
        </w:rPr>
        <w:t>Identification No.)</w:t>
      </w:r>
    </w:p>
    <w:p>
      <w:pPr>
        <w:spacing w:after="0" w:line="30" w:lineRule="exact"/>
        <w:rPr>
          <w:sz w:val="20"/>
          <w:szCs w:val="20"/>
          <w:color w:val="auto"/>
        </w:rPr>
      </w:pPr>
    </w:p>
    <w:p>
      <w:pPr>
        <w:sectPr>
          <w:pgSz w:w="11880" w:h="15474" w:orient="portrait"/>
          <w:cols w:equalWidth="0" w:num="2">
            <w:col w:w="6240" w:space="720"/>
            <w:col w:w="3120"/>
          </w:cols>
          <w:pgMar w:left="880" w:top="752" w:right="914" w:bottom="515"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18706 North Creek Parkway, Suite 104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Bothell, Washington 98011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(425) 620-8501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2723515</wp:posOffset>
                </wp:positionH>
                <wp:positionV relativeFrom="paragraph">
                  <wp:posOffset>40640</wp:posOffset>
                </wp:positionV>
                <wp:extent cx="9525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45pt,3.2pt" to="289.45pt,3.2pt" o:allowincell="f" strokecolor="#000000" strokeweight="0.48pt"/>
            </w:pict>
          </mc:Fallback>
        </mc:AlternateConten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40" w:type="dxa"/>
            <w:vAlign w:val="bottom"/>
            <w:gridSpan w:val="3"/>
            <w:vMerge w:val="restart"/>
          </w:tcPr>
          <w:p>
            <w:pPr>
              <w:jc w:val="center"/>
              <w:ind w:right="500"/>
              <w:spacing w:after="0"/>
              <w:rPr>
                <w:sz w:val="20"/>
                <w:szCs w:val="20"/>
                <w:color w:val="auto"/>
              </w:rPr>
            </w:pPr>
            <w:r>
              <w:rPr>
                <w:rFonts w:ascii="Arial" w:cs="Arial" w:eastAsia="Arial" w:hAnsi="Arial"/>
                <w:sz w:val="15"/>
                <w:szCs w:val="15"/>
                <w:b w:val="1"/>
                <w:bCs w:val="1"/>
                <w:color w:val="auto"/>
              </w:rPr>
              <w:t>Title of each class</w:t>
            </w:r>
          </w:p>
        </w:tc>
        <w:tc>
          <w:tcPr>
            <w:tcW w:w="1600" w:type="dxa"/>
            <w:vAlign w:val="bottom"/>
          </w:tcPr>
          <w:p>
            <w:pPr>
              <w:jc w:val="center"/>
              <w:ind w:right="327"/>
              <w:spacing w:after="0"/>
              <w:rPr>
                <w:sz w:val="20"/>
                <w:szCs w:val="20"/>
                <w:color w:val="auto"/>
              </w:rPr>
            </w:pPr>
            <w:r>
              <w:rPr>
                <w:rFonts w:ascii="Arial" w:cs="Arial" w:eastAsia="Arial" w:hAnsi="Arial"/>
                <w:sz w:val="15"/>
                <w:szCs w:val="15"/>
                <w:b w:val="1"/>
                <w:bCs w:val="1"/>
                <w:color w:val="auto"/>
              </w:rPr>
              <w:t>Trading</w:t>
            </w:r>
          </w:p>
        </w:tc>
        <w:tc>
          <w:tcPr>
            <w:tcW w:w="100" w:type="dxa"/>
            <w:vAlign w:val="bottom"/>
          </w:tcPr>
          <w:p>
            <w:pPr>
              <w:spacing w:after="0"/>
              <w:rPr>
                <w:sz w:val="15"/>
                <w:szCs w:val="15"/>
                <w:color w:val="auto"/>
              </w:rPr>
            </w:pPr>
          </w:p>
        </w:tc>
        <w:tc>
          <w:tcPr>
            <w:tcW w:w="39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Name of each exchange on which registered</w:t>
            </w:r>
          </w:p>
        </w:tc>
        <w:tc>
          <w:tcPr>
            <w:tcW w:w="0" w:type="dxa"/>
            <w:vAlign w:val="bottom"/>
          </w:tcPr>
          <w:p>
            <w:pPr>
              <w:spacing w:after="0"/>
              <w:rPr>
                <w:sz w:val="1"/>
                <w:szCs w:val="1"/>
                <w:color w:val="auto"/>
              </w:rPr>
            </w:pPr>
          </w:p>
        </w:tc>
      </w:tr>
      <w:tr>
        <w:trPr>
          <w:trHeight w:val="187"/>
        </w:trPr>
        <w:tc>
          <w:tcPr>
            <w:tcW w:w="4440" w:type="dxa"/>
            <w:vAlign w:val="bottom"/>
            <w:gridSpan w:val="3"/>
            <w:vMerge w:val="continue"/>
          </w:tcPr>
          <w:p>
            <w:pPr>
              <w:spacing w:after="0"/>
              <w:rPr>
                <w:sz w:val="16"/>
                <w:szCs w:val="16"/>
                <w:color w:val="auto"/>
              </w:rPr>
            </w:pPr>
          </w:p>
        </w:tc>
        <w:tc>
          <w:tcPr>
            <w:tcW w:w="1600" w:type="dxa"/>
            <w:vAlign w:val="bottom"/>
          </w:tcPr>
          <w:p>
            <w:pPr>
              <w:jc w:val="center"/>
              <w:ind w:right="327"/>
              <w:spacing w:after="0"/>
              <w:rPr>
                <w:sz w:val="20"/>
                <w:szCs w:val="20"/>
                <w:color w:val="auto"/>
              </w:rPr>
            </w:pPr>
            <w:r>
              <w:rPr>
                <w:rFonts w:ascii="Arial" w:cs="Arial" w:eastAsia="Arial" w:hAnsi="Arial"/>
                <w:sz w:val="15"/>
                <w:szCs w:val="15"/>
                <w:b w:val="1"/>
                <w:bCs w:val="1"/>
                <w:color w:val="auto"/>
                <w:w w:val="99"/>
              </w:rPr>
              <w:t>Symbol(s)</w:t>
            </w:r>
          </w:p>
        </w:tc>
        <w:tc>
          <w:tcPr>
            <w:tcW w:w="100" w:type="dxa"/>
            <w:vAlign w:val="bottom"/>
          </w:tcPr>
          <w:p>
            <w:pPr>
              <w:spacing w:after="0"/>
              <w:rPr>
                <w:sz w:val="16"/>
                <w:szCs w:val="16"/>
                <w:color w:val="auto"/>
              </w:rPr>
            </w:pPr>
          </w:p>
        </w:tc>
        <w:tc>
          <w:tcPr>
            <w:tcW w:w="3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9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Common Stock, $0.0001 par value per share</w:t>
            </w: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jc w:val="center"/>
              <w:ind w:right="327"/>
              <w:spacing w:after="0" w:line="123" w:lineRule="exact"/>
              <w:rPr>
                <w:sz w:val="20"/>
                <w:szCs w:val="20"/>
                <w:color w:val="auto"/>
              </w:rPr>
            </w:pPr>
            <w:r>
              <w:rPr>
                <w:rFonts w:ascii="Arial" w:cs="Arial" w:eastAsia="Arial" w:hAnsi="Arial"/>
                <w:sz w:val="14"/>
                <w:szCs w:val="14"/>
                <w:color w:val="auto"/>
              </w:rPr>
              <w:t>ATHA</w:t>
            </w:r>
          </w:p>
        </w:tc>
        <w:tc>
          <w:tcPr>
            <w:tcW w:w="100" w:type="dxa"/>
            <w:vAlign w:val="bottom"/>
          </w:tcPr>
          <w:p>
            <w:pPr>
              <w:spacing w:after="0"/>
              <w:rPr>
                <w:sz w:val="10"/>
                <w:szCs w:val="10"/>
                <w:color w:val="auto"/>
              </w:rPr>
            </w:pPr>
          </w:p>
        </w:tc>
        <w:tc>
          <w:tcPr>
            <w:tcW w:w="39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4"/>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tcPr>
          <w:p>
            <w:pPr>
              <w:jc w:val="center"/>
              <w:spacing w:after="0"/>
              <w:rPr>
                <w:sz w:val="20"/>
                <w:szCs w:val="20"/>
                <w:color w:val="auto"/>
              </w:rPr>
            </w:pPr>
            <w:r>
              <w:rPr>
                <w:rFonts w:ascii="Arial" w:cs="Arial" w:eastAsia="Arial" w:hAnsi="Arial"/>
                <w:sz w:val="15"/>
                <w:szCs w:val="15"/>
                <w:color w:val="auto"/>
                <w:w w:val="99"/>
              </w:rPr>
              <w:t>(The Nasdaq Global Select Market)</w:t>
            </w:r>
          </w:p>
        </w:tc>
        <w:tc>
          <w:tcPr>
            <w:tcW w:w="0" w:type="dxa"/>
            <w:vAlign w:val="bottom"/>
          </w:tcPr>
          <w:p>
            <w:pPr>
              <w:spacing w:after="0"/>
              <w:rPr>
                <w:sz w:val="1"/>
                <w:szCs w:val="1"/>
                <w:color w:val="auto"/>
              </w:rPr>
            </w:pPr>
          </w:p>
        </w:tc>
      </w:tr>
      <w:tr>
        <w:trPr>
          <w:trHeight w:val="239"/>
        </w:trPr>
        <w:tc>
          <w:tcPr>
            <w:tcW w:w="4440" w:type="dxa"/>
            <w:vAlign w:val="bottom"/>
            <w:gridSpan w:val="3"/>
          </w:tcPr>
          <w:p>
            <w:pPr>
              <w:spacing w:after="0"/>
              <w:rPr>
                <w:sz w:val="20"/>
                <w:szCs w:val="20"/>
                <w:color w:val="auto"/>
              </w:rPr>
            </w:pPr>
            <w:r>
              <w:rPr>
                <w:rFonts w:ascii="Arial" w:cs="Arial" w:eastAsia="Arial" w:hAnsi="Arial"/>
                <w:sz w:val="15"/>
                <w:szCs w:val="15"/>
                <w:color w:val="auto"/>
              </w:rPr>
              <w:t>Securities registered pursuant to Section 12(g) of the Act: None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right="1320"/>
        <w:spacing w:after="0" w:line="350" w:lineRule="auto"/>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Segoe UI" w:cs="Segoe UI" w:eastAsia="Segoe UI" w:hAnsi="Segoe UI"/>
          <w:sz w:val="15"/>
          <w:szCs w:val="15"/>
          <w:color w:val="auto"/>
        </w:rPr>
        <w:t>տ</w:t>
      </w:r>
      <w:r>
        <w:rPr>
          <w:rFonts w:ascii="Arial" w:cs="Arial" w:eastAsia="Arial" w:hAnsi="Arial"/>
          <w:sz w:val="15"/>
          <w:szCs w:val="15"/>
          <w:color w:val="auto"/>
        </w:rPr>
        <w:t xml:space="preserve"> NO </w:t>
      </w:r>
      <w:r>
        <w:rPr>
          <w:rFonts w:ascii="Segoe UI" w:cs="Segoe UI" w:eastAsia="Segoe UI" w:hAnsi="Segoe UI"/>
          <w:sz w:val="15"/>
          <w:szCs w:val="15"/>
          <w:color w:val="auto"/>
        </w:rPr>
        <w:t>ց</w:t>
      </w:r>
      <w:r>
        <w:rPr>
          <w:rFonts w:ascii="Arial" w:cs="Arial" w:eastAsia="Arial" w:hAnsi="Arial"/>
          <w:sz w:val="15"/>
          <w:szCs w:val="15"/>
          <w:color w:val="auto"/>
        </w:rPr>
        <w:t xml:space="preserve"> Indicate by check mark if the Registrant is not required to file reports pursuant to Section 13 or 15(d) of the Act. YES </w:t>
      </w:r>
      <w:r>
        <w:rPr>
          <w:rFonts w:ascii="Segoe UI" w:cs="Segoe UI" w:eastAsia="Segoe UI" w:hAnsi="Segoe UI"/>
          <w:sz w:val="15"/>
          <w:szCs w:val="15"/>
          <w:color w:val="auto"/>
        </w:rPr>
        <w:t>տ</w:t>
      </w:r>
      <w:r>
        <w:rPr>
          <w:rFonts w:ascii="Arial" w:cs="Arial" w:eastAsia="Arial" w:hAnsi="Arial"/>
          <w:sz w:val="15"/>
          <w:szCs w:val="15"/>
          <w:color w:val="auto"/>
        </w:rPr>
        <w:t xml:space="preserve"> NO </w:t>
      </w:r>
      <w:r>
        <w:rPr>
          <w:rFonts w:ascii="Segoe UI" w:cs="Segoe UI" w:eastAsia="Segoe UI" w:hAnsi="Segoe UI"/>
          <w:sz w:val="15"/>
          <w:szCs w:val="15"/>
          <w:color w:val="auto"/>
        </w:rPr>
        <w:t>ց</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requirements for the past 90 days. YES </w:t>
      </w:r>
      <w:r>
        <w:rPr>
          <w:rFonts w:ascii="Segoe UI" w:cs="Segoe UI" w:eastAsia="Segoe UI" w:hAnsi="Segoe UI"/>
          <w:sz w:val="15"/>
          <w:szCs w:val="15"/>
          <w:color w:val="auto"/>
        </w:rPr>
        <w:t>ց</w:t>
      </w:r>
      <w:r>
        <w:rPr>
          <w:rFonts w:ascii="Arial" w:cs="Arial" w:eastAsia="Arial" w:hAnsi="Arial"/>
          <w:sz w:val="15"/>
          <w:szCs w:val="15"/>
          <w:color w:val="auto"/>
        </w:rPr>
        <w:t xml:space="preserve"> NO </w:t>
      </w:r>
      <w:r>
        <w:rPr>
          <w:rFonts w:ascii="Segoe UI" w:cs="Segoe UI" w:eastAsia="Segoe UI" w:hAnsi="Segoe UI"/>
          <w:sz w:val="15"/>
          <w:szCs w:val="15"/>
          <w:color w:val="auto"/>
        </w:rPr>
        <w:t>տ</w:t>
      </w:r>
    </w:p>
    <w:p>
      <w:pPr>
        <w:spacing w:after="0" w:line="71" w:lineRule="exact"/>
        <w:rPr>
          <w:sz w:val="20"/>
          <w:szCs w:val="20"/>
          <w:color w:val="auto"/>
        </w:rPr>
      </w:pPr>
    </w:p>
    <w:p>
      <w:pPr>
        <w:jc w:val="both"/>
        <w:spacing w:after="0" w:line="216"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files). YES </w:t>
      </w:r>
      <w:r>
        <w:rPr>
          <w:rFonts w:ascii="Segoe UI" w:cs="Segoe UI" w:eastAsia="Segoe UI" w:hAnsi="Segoe UI"/>
          <w:sz w:val="15"/>
          <w:szCs w:val="15"/>
          <w:color w:val="auto"/>
        </w:rPr>
        <w:t>ց</w:t>
      </w:r>
      <w:r>
        <w:rPr>
          <w:rFonts w:ascii="Arial" w:cs="Arial" w:eastAsia="Arial" w:hAnsi="Arial"/>
          <w:sz w:val="15"/>
          <w:szCs w:val="15"/>
          <w:color w:val="auto"/>
        </w:rPr>
        <w:t xml:space="preserve"> NO </w:t>
      </w:r>
      <w:r>
        <w:rPr>
          <w:rFonts w:ascii="Segoe UI" w:cs="Segoe UI" w:eastAsia="Segoe UI" w:hAnsi="Segoe UI"/>
          <w:sz w:val="15"/>
          <w:szCs w:val="15"/>
          <w:color w:val="auto"/>
        </w:rPr>
        <w:t>տ</w:t>
      </w:r>
    </w:p>
    <w:p>
      <w:pPr>
        <w:spacing w:after="0" w:line="71" w:lineRule="exact"/>
        <w:rPr>
          <w:sz w:val="20"/>
          <w:szCs w:val="20"/>
          <w:color w:val="auto"/>
        </w:rPr>
      </w:pPr>
    </w:p>
    <w:p>
      <w:pPr>
        <w:jc w:val="both"/>
        <w:spacing w:after="0" w:line="23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9"/>
        </w:trPr>
        <w:tc>
          <w:tcPr>
            <w:tcW w:w="1780" w:type="dxa"/>
            <w:vAlign w:val="bottom"/>
            <w:gridSpan w:val="2"/>
          </w:tcPr>
          <w:p>
            <w:pPr>
              <w:spacing w:after="0"/>
              <w:rPr>
                <w:sz w:val="20"/>
                <w:szCs w:val="20"/>
                <w:color w:val="auto"/>
              </w:rPr>
            </w:pPr>
            <w:r>
              <w:rPr>
                <w:rFonts w:ascii="Arial" w:cs="Arial" w:eastAsia="Arial" w:hAnsi="Arial"/>
                <w:sz w:val="15"/>
                <w:szCs w:val="15"/>
                <w:color w:val="auto"/>
              </w:rPr>
              <w:t>Large accelerated filer</w:t>
            </w:r>
          </w:p>
        </w:tc>
        <w:tc>
          <w:tcPr>
            <w:tcW w:w="2900" w:type="dxa"/>
            <w:vAlign w:val="bottom"/>
          </w:tcPr>
          <w:p>
            <w:pPr>
              <w:ind w:left="60"/>
              <w:spacing w:after="0"/>
              <w:rPr>
                <w:sz w:val="20"/>
                <w:szCs w:val="20"/>
                <w:color w:val="auto"/>
              </w:rPr>
            </w:pPr>
            <w:r>
              <w:rPr>
                <w:rFonts w:ascii="Segoe UI" w:cs="Segoe UI" w:eastAsia="Segoe UI" w:hAnsi="Segoe UI"/>
                <w:sz w:val="15"/>
                <w:szCs w:val="15"/>
                <w:color w:val="auto"/>
              </w:rPr>
              <w:t>տ</w:t>
            </w:r>
          </w:p>
        </w:tc>
        <w:tc>
          <w:tcPr>
            <w:tcW w:w="4880" w:type="dxa"/>
            <w:vAlign w:val="bottom"/>
          </w:tcPr>
          <w:p>
            <w:pPr>
              <w:ind w:left="2700"/>
              <w:spacing w:after="0"/>
              <w:rPr>
                <w:sz w:val="20"/>
                <w:szCs w:val="20"/>
                <w:color w:val="auto"/>
              </w:rPr>
            </w:pPr>
            <w:r>
              <w:rPr>
                <w:rFonts w:ascii="Arial" w:cs="Arial" w:eastAsia="Arial" w:hAnsi="Arial"/>
                <w:sz w:val="15"/>
                <w:szCs w:val="15"/>
                <w:color w:val="auto"/>
              </w:rPr>
              <w:t>Accelerated filer</w:t>
            </w:r>
          </w:p>
        </w:tc>
        <w:tc>
          <w:tcPr>
            <w:tcW w:w="500" w:type="dxa"/>
            <w:vAlign w:val="bottom"/>
          </w:tcPr>
          <w:p>
            <w:pPr>
              <w:ind w:left="380"/>
              <w:spacing w:after="0"/>
              <w:rPr>
                <w:sz w:val="20"/>
                <w:szCs w:val="20"/>
                <w:color w:val="auto"/>
              </w:rPr>
            </w:pPr>
            <w:r>
              <w:rPr>
                <w:rFonts w:ascii="Segoe UI" w:cs="Segoe UI" w:eastAsia="Segoe UI" w:hAnsi="Segoe UI"/>
                <w:sz w:val="15"/>
                <w:szCs w:val="15"/>
                <w:color w:val="auto"/>
                <w:w w:val="79"/>
              </w:rPr>
              <w:t>տ</w:t>
            </w:r>
          </w:p>
        </w:tc>
      </w:tr>
      <w:tr>
        <w:trPr>
          <w:trHeight w:val="233"/>
        </w:trPr>
        <w:tc>
          <w:tcPr>
            <w:tcW w:w="1780" w:type="dxa"/>
            <w:vAlign w:val="bottom"/>
            <w:gridSpan w:val="2"/>
          </w:tcPr>
          <w:p>
            <w:pPr>
              <w:spacing w:after="0"/>
              <w:rPr>
                <w:sz w:val="20"/>
                <w:szCs w:val="20"/>
                <w:color w:val="auto"/>
              </w:rPr>
            </w:pPr>
            <w:r>
              <w:rPr>
                <w:rFonts w:ascii="Arial" w:cs="Arial" w:eastAsia="Arial" w:hAnsi="Arial"/>
                <w:sz w:val="15"/>
                <w:szCs w:val="15"/>
                <w:color w:val="auto"/>
              </w:rPr>
              <w:t>Non-accelerated filer</w:t>
            </w:r>
          </w:p>
        </w:tc>
        <w:tc>
          <w:tcPr>
            <w:tcW w:w="2900" w:type="dxa"/>
            <w:vAlign w:val="bottom"/>
          </w:tcPr>
          <w:p>
            <w:pPr>
              <w:ind w:left="60"/>
              <w:spacing w:after="0"/>
              <w:rPr>
                <w:sz w:val="20"/>
                <w:szCs w:val="20"/>
                <w:color w:val="auto"/>
              </w:rPr>
            </w:pPr>
            <w:r>
              <w:rPr>
                <w:rFonts w:ascii="Segoe UI" w:cs="Segoe UI" w:eastAsia="Segoe UI" w:hAnsi="Segoe UI"/>
                <w:sz w:val="15"/>
                <w:szCs w:val="15"/>
                <w:color w:val="auto"/>
              </w:rPr>
              <w:t>ց</w:t>
            </w:r>
          </w:p>
        </w:tc>
        <w:tc>
          <w:tcPr>
            <w:tcW w:w="4880" w:type="dxa"/>
            <w:vAlign w:val="bottom"/>
          </w:tcPr>
          <w:p>
            <w:pPr>
              <w:ind w:left="2700"/>
              <w:spacing w:after="0"/>
              <w:rPr>
                <w:sz w:val="20"/>
                <w:szCs w:val="20"/>
                <w:color w:val="auto"/>
              </w:rPr>
            </w:pPr>
            <w:r>
              <w:rPr>
                <w:rFonts w:ascii="Arial" w:cs="Arial" w:eastAsia="Arial" w:hAnsi="Arial"/>
                <w:sz w:val="15"/>
                <w:szCs w:val="15"/>
                <w:color w:val="auto"/>
              </w:rPr>
              <w:t>Smaller reporting company</w:t>
            </w:r>
          </w:p>
        </w:tc>
        <w:tc>
          <w:tcPr>
            <w:tcW w:w="500" w:type="dxa"/>
            <w:vAlign w:val="bottom"/>
          </w:tcPr>
          <w:p>
            <w:pPr>
              <w:ind w:left="380"/>
              <w:spacing w:after="0"/>
              <w:rPr>
                <w:sz w:val="20"/>
                <w:szCs w:val="20"/>
                <w:color w:val="auto"/>
              </w:rPr>
            </w:pPr>
            <w:r>
              <w:rPr>
                <w:rFonts w:ascii="Segoe UI" w:cs="Segoe UI" w:eastAsia="Segoe UI" w:hAnsi="Segoe UI"/>
                <w:sz w:val="15"/>
                <w:szCs w:val="15"/>
                <w:color w:val="auto"/>
              </w:rPr>
              <w:t>ց</w:t>
            </w:r>
          </w:p>
        </w:tc>
      </w:tr>
      <w:tr>
        <w:trPr>
          <w:trHeight w:val="224"/>
        </w:trPr>
        <w:tc>
          <w:tcPr>
            <w:tcW w:w="960" w:type="dxa"/>
            <w:vAlign w:val="bottom"/>
          </w:tcPr>
          <w:p>
            <w:pPr>
              <w:spacing w:after="0"/>
              <w:rPr>
                <w:sz w:val="20"/>
                <w:szCs w:val="20"/>
                <w:color w:val="auto"/>
              </w:rPr>
            </w:pPr>
            <w:r>
              <w:rPr>
                <w:rFonts w:ascii="Arial" w:cs="Arial" w:eastAsia="Arial" w:hAnsi="Arial"/>
                <w:sz w:val="15"/>
                <w:szCs w:val="15"/>
                <w:color w:val="auto"/>
              </w:rPr>
              <w:t>Emerging</w:t>
            </w:r>
          </w:p>
        </w:tc>
        <w:tc>
          <w:tcPr>
            <w:tcW w:w="820" w:type="dxa"/>
            <w:vAlign w:val="bottom"/>
          </w:tcPr>
          <w:p>
            <w:pPr>
              <w:ind w:left="320"/>
              <w:spacing w:after="0"/>
              <w:rPr>
                <w:sz w:val="20"/>
                <w:szCs w:val="20"/>
                <w:color w:val="auto"/>
              </w:rPr>
            </w:pPr>
            <w:r>
              <w:rPr>
                <w:rFonts w:ascii="Arial" w:cs="Arial" w:eastAsia="Arial" w:hAnsi="Arial"/>
                <w:sz w:val="15"/>
                <w:szCs w:val="15"/>
                <w:color w:val="auto"/>
              </w:rPr>
              <w:t>growth</w:t>
            </w:r>
          </w:p>
        </w:tc>
        <w:tc>
          <w:tcPr>
            <w:tcW w:w="2900" w:type="dxa"/>
            <w:vAlign w:val="bottom"/>
          </w:tcPr>
          <w:p>
            <w:pPr>
              <w:ind w:left="60"/>
              <w:spacing w:after="0"/>
              <w:rPr>
                <w:sz w:val="20"/>
                <w:szCs w:val="20"/>
                <w:color w:val="auto"/>
              </w:rPr>
            </w:pPr>
            <w:r>
              <w:rPr>
                <w:rFonts w:ascii="Segoe UI" w:cs="Segoe UI" w:eastAsia="Segoe UI" w:hAnsi="Segoe UI"/>
                <w:sz w:val="15"/>
                <w:szCs w:val="15"/>
                <w:color w:val="auto"/>
              </w:rPr>
              <w:t>ց</w:t>
            </w:r>
          </w:p>
        </w:tc>
        <w:tc>
          <w:tcPr>
            <w:tcW w:w="48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04"/>
        </w:trPr>
        <w:tc>
          <w:tcPr>
            <w:tcW w:w="960" w:type="dxa"/>
            <w:vAlign w:val="bottom"/>
          </w:tcPr>
          <w:p>
            <w:pPr>
              <w:spacing w:after="0"/>
              <w:rPr>
                <w:sz w:val="20"/>
                <w:szCs w:val="20"/>
                <w:color w:val="auto"/>
              </w:rPr>
            </w:pPr>
            <w:r>
              <w:rPr>
                <w:rFonts w:ascii="Arial" w:cs="Arial" w:eastAsia="Arial" w:hAnsi="Arial"/>
                <w:sz w:val="15"/>
                <w:szCs w:val="15"/>
                <w:color w:val="auto"/>
              </w:rPr>
              <w:t>company</w:t>
            </w:r>
          </w:p>
        </w:tc>
        <w:tc>
          <w:tcPr>
            <w:tcW w:w="8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500" w:type="dxa"/>
            <w:vAlign w:val="bottom"/>
          </w:tcPr>
          <w:p>
            <w:pPr>
              <w:spacing w:after="0"/>
              <w:rPr>
                <w:sz w:val="17"/>
                <w:szCs w:val="17"/>
                <w:color w:val="auto"/>
              </w:rPr>
            </w:pPr>
          </w:p>
        </w:tc>
      </w:tr>
    </w:tbl>
    <w:p>
      <w:pPr>
        <w:spacing w:after="0" w:line="62"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5"/>
          <w:szCs w:val="15"/>
          <w:color w:val="auto"/>
        </w:rPr>
        <w:t>տ</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or issued its audit report. </w:t>
      </w:r>
      <w:r>
        <w:rPr>
          <w:rFonts w:ascii="Segoe UI" w:cs="Segoe UI" w:eastAsia="Segoe UI" w:hAnsi="Segoe UI"/>
          <w:sz w:val="15"/>
          <w:szCs w:val="15"/>
          <w:color w:val="auto"/>
        </w:rPr>
        <w:t>տ</w:t>
      </w:r>
    </w:p>
    <w:p>
      <w:pPr>
        <w:spacing w:after="0" w:line="71"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5"/>
          <w:szCs w:val="15"/>
          <w:color w:val="auto"/>
        </w:rPr>
        <w:t>տ</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w:t>
      </w:r>
      <w:r>
        <w:rPr>
          <w:rFonts w:ascii="PMingLiU" w:cs="PMingLiU" w:eastAsia="PMingLiU" w:hAnsi="PMingLiU"/>
          <w:sz w:val="15"/>
          <w:szCs w:val="15"/>
          <w:color w:val="auto"/>
        </w:rPr>
        <w:t>UHFHLYHGE\DQ\RIWKHUHJLVWUDQW¶VH[HFXWLYHR FHUVGXULQJWKHUHOHYDQWUHFRYHU\SHULRGSXUVXDQWWR'</w:t>
      </w:r>
      <w:r>
        <w:rPr>
          <w:rFonts w:ascii="Arial" w:cs="Arial" w:eastAsia="Arial" w:hAnsi="Arial"/>
          <w:sz w:val="15"/>
          <w:szCs w:val="15"/>
          <w:color w:val="auto"/>
        </w:rPr>
        <w:t>-1(b).</w:t>
      </w:r>
      <w:r>
        <w:rPr>
          <w:rFonts w:ascii="PMingLiU" w:cs="PMingLiU" w:eastAsia="PMingLiU" w:hAnsi="PMingLiU"/>
          <w:sz w:val="15"/>
          <w:szCs w:val="15"/>
          <w:color w:val="auto"/>
        </w:rPr>
        <w:t xml:space="preserve"> </w:t>
      </w:r>
      <w:r>
        <w:rPr>
          <w:rFonts w:ascii="Segoe UI" w:cs="Segoe UI" w:eastAsia="Segoe UI" w:hAnsi="Segoe UI"/>
          <w:sz w:val="15"/>
          <w:szCs w:val="15"/>
          <w:color w:val="auto"/>
        </w:rPr>
        <w:t>տ</w:t>
      </w:r>
    </w:p>
    <w:p>
      <w:pPr>
        <w:spacing w:after="0"/>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Segoe UI" w:cs="Segoe UI" w:eastAsia="Segoe UI" w:hAnsi="Segoe UI"/>
          <w:sz w:val="15"/>
          <w:szCs w:val="15"/>
          <w:color w:val="auto"/>
        </w:rPr>
        <w:t>տ</w:t>
      </w:r>
      <w:r>
        <w:rPr>
          <w:rFonts w:ascii="Arial" w:cs="Arial" w:eastAsia="Arial" w:hAnsi="Arial"/>
          <w:sz w:val="15"/>
          <w:szCs w:val="15"/>
          <w:color w:val="auto"/>
        </w:rPr>
        <w:t xml:space="preserve"> NO </w:t>
      </w:r>
      <w:r>
        <w:rPr>
          <w:rFonts w:ascii="Segoe UI" w:cs="Segoe UI" w:eastAsia="Segoe UI" w:hAnsi="Segoe UI"/>
          <w:sz w:val="15"/>
          <w:szCs w:val="15"/>
          <w:color w:val="auto"/>
        </w:rPr>
        <w:t>ց</w:t>
      </w:r>
    </w:p>
    <w:p>
      <w:pPr>
        <w:spacing w:after="0" w:line="71" w:lineRule="exact"/>
        <w:rPr>
          <w:sz w:val="20"/>
          <w:szCs w:val="20"/>
          <w:color w:val="auto"/>
        </w:rPr>
      </w:pPr>
    </w:p>
    <w:p>
      <w:pPr>
        <w:jc w:val="both"/>
        <w:spacing w:after="0" w:line="227" w:lineRule="auto"/>
        <w:rPr>
          <w:sz w:val="20"/>
          <w:szCs w:val="20"/>
          <w:color w:val="auto"/>
        </w:rPr>
      </w:pPr>
      <w:r>
        <w:rPr>
          <w:rFonts w:ascii="Arial" w:cs="Arial" w:eastAsia="Arial" w:hAnsi="Arial"/>
          <w:sz w:val="15"/>
          <w:szCs w:val="15"/>
          <w:color w:val="auto"/>
        </w:rPr>
        <w:t>The aggregate market value of the common stock held by non-affiliates of the registrant, based on the closing price of the shares of common stock on June 30, 2023 (the last business day of the registrant’s most recently completed second fiscal quarter) as reported by The Nasdaq Stock Market LLC on such date was approximately $96.3 million. Shares of the registrant’s common stock held by each executive officer and director and by each other person who may be deemed to be an affiliate of the registrant have been excluded from this computation. This calculation does not reflect a determination that certain persons are affiliates of the registrant for any other purpose.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 number of shares of Registrant’s Common Stock outstanding as of February 19, 2024 was 38,326,652.</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DOCUMENTS INCORPORATED BY REFERENCE</w:t>
      </w:r>
    </w:p>
    <w:p>
      <w:pPr>
        <w:spacing w:after="0" w:line="30"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Portions of the definitive proxy statement to be delivered to stockholders in connection with the 2024 annual meeting of stockholders are incorporated by reference into Part III of this Annual Report on Form 10-K. Such proxy statement will be filed with the Securities and Exchange Commission not later than 120 days following the end of the Registrant’s fiscal year ended 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111760</wp:posOffset>
                </wp:positionV>
                <wp:extent cx="643826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26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8.8pt" to="505.45pt,8.8pt" o:allowincell="f" strokecolor="#000000" strokeweight="0.7199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93345</wp:posOffset>
                </wp:positionV>
                <wp:extent cx="643826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26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7.35pt" to="505.45pt,7.35pt" o:allowincell="f" strokecolor="#000000" strokeweight="0.7199pt"/>
            </w:pict>
          </mc:Fallback>
        </mc:AlternateContent>
      </w:r>
    </w:p>
    <w:p>
      <w:pPr>
        <w:sectPr>
          <w:pgSz w:w="11880" w:h="15474" w:orient="portrait"/>
          <w:cols w:equalWidth="0" w:num="1">
            <w:col w:w="10080"/>
          </w:cols>
          <w:pgMar w:left="880" w:top="752" w:right="914" w:bottom="515"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85"/>
        </w:trPr>
        <w:tc>
          <w:tcPr>
            <w:tcW w:w="920" w:type="dxa"/>
            <w:vAlign w:val="bottom"/>
          </w:tcPr>
          <w:p>
            <w:pPr>
              <w:spacing w:after="0"/>
              <w:rPr>
                <w:sz w:val="24"/>
                <w:szCs w:val="24"/>
                <w:color w:val="auto"/>
              </w:rPr>
            </w:pPr>
          </w:p>
        </w:tc>
        <w:tc>
          <w:tcPr>
            <w:tcW w:w="7780" w:type="dxa"/>
            <w:vAlign w:val="bottom"/>
          </w:tcPr>
          <w:p>
            <w:pPr>
              <w:ind w:left="2920"/>
              <w:spacing w:after="0"/>
              <w:rPr>
                <w:sz w:val="20"/>
                <w:szCs w:val="20"/>
                <w:color w:val="auto"/>
              </w:rPr>
            </w:pPr>
            <w:r>
              <w:rPr>
                <w:rFonts w:ascii="Arial" w:cs="Arial" w:eastAsia="Arial" w:hAnsi="Arial"/>
                <w:sz w:val="20"/>
                <w:szCs w:val="20"/>
                <w:b w:val="1"/>
                <w:bCs w:val="1"/>
                <w:color w:val="auto"/>
              </w:rPr>
              <w:t>Table of Contents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920" w:type="dxa"/>
            <w:vAlign w:val="bottom"/>
            <w:vMerge w:val="restart"/>
          </w:tcPr>
          <w:p>
            <w:pPr>
              <w:spacing w:after="0"/>
              <w:rPr>
                <w:sz w:val="20"/>
                <w:szCs w:val="20"/>
                <w:color w:val="auto"/>
              </w:rPr>
            </w:pPr>
            <w:r>
              <w:rPr>
                <w:rFonts w:ascii="Arial" w:cs="Arial" w:eastAsia="Arial" w:hAnsi="Arial"/>
                <w:sz w:val="20"/>
                <w:szCs w:val="20"/>
                <w:b w:val="1"/>
                <w:bCs w:val="1"/>
                <w:color w:val="333333"/>
              </w:rPr>
              <w:t>PART I</w:t>
            </w:r>
          </w:p>
        </w:tc>
        <w:tc>
          <w:tcPr>
            <w:tcW w:w="7780" w:type="dxa"/>
            <w:vAlign w:val="bottom"/>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95"/>
        </w:trPr>
        <w:tc>
          <w:tcPr>
            <w:tcW w:w="920" w:type="dxa"/>
            <w:vAlign w:val="bottom"/>
            <w:vMerge w:val="continue"/>
          </w:tcPr>
          <w:p>
            <w:pPr>
              <w:spacing w:after="0"/>
              <w:rPr>
                <w:sz w:val="16"/>
                <w:szCs w:val="16"/>
                <w:color w:val="auto"/>
              </w:rPr>
            </w:pPr>
          </w:p>
        </w:tc>
        <w:tc>
          <w:tcPr>
            <w:tcW w:w="7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1.</w:t>
            </w:r>
          </w:p>
        </w:tc>
        <w:tc>
          <w:tcPr>
            <w:tcW w:w="7780" w:type="dxa"/>
            <w:vAlign w:val="bottom"/>
          </w:tcPr>
          <w:p>
            <w:pPr>
              <w:ind w:left="20"/>
              <w:spacing w:after="0"/>
              <w:rPr>
                <w:sz w:val="20"/>
                <w:szCs w:val="20"/>
                <w:color w:val="auto"/>
              </w:rPr>
            </w:pPr>
            <w:r>
              <w:rPr>
                <w:rFonts w:ascii="Arial" w:cs="Arial" w:eastAsia="Arial" w:hAnsi="Arial"/>
                <w:sz w:val="20"/>
                <w:szCs w:val="20"/>
                <w:color w:val="333333"/>
              </w:rPr>
              <w:t>Business</w:t>
            </w:r>
          </w:p>
        </w:tc>
        <w:tc>
          <w:tcPr>
            <w:tcW w:w="6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29"/>
        </w:trPr>
        <w:tc>
          <w:tcPr>
            <w:tcW w:w="920" w:type="dxa"/>
            <w:vAlign w:val="bottom"/>
          </w:tcPr>
          <w:p>
            <w:pPr>
              <w:ind w:left="140"/>
              <w:spacing w:after="0"/>
              <w:rPr>
                <w:sz w:val="20"/>
                <w:szCs w:val="20"/>
                <w:color w:val="auto"/>
              </w:rPr>
            </w:pPr>
            <w:r>
              <w:rPr>
                <w:rFonts w:ascii="Arial" w:cs="Arial" w:eastAsia="Arial" w:hAnsi="Arial"/>
                <w:sz w:val="20"/>
                <w:szCs w:val="20"/>
                <w:color w:val="auto"/>
              </w:rPr>
              <w:t>Item 1A.</w:t>
            </w:r>
          </w:p>
        </w:tc>
        <w:tc>
          <w:tcPr>
            <w:tcW w:w="7780" w:type="dxa"/>
            <w:vAlign w:val="bottom"/>
          </w:tcPr>
          <w:p>
            <w:pPr>
              <w:ind w:left="20"/>
              <w:spacing w:after="0"/>
              <w:rPr>
                <w:sz w:val="20"/>
                <w:szCs w:val="20"/>
                <w:color w:val="auto"/>
              </w:rPr>
            </w:pPr>
            <w:r>
              <w:rPr>
                <w:rFonts w:ascii="Arial" w:cs="Arial" w:eastAsia="Arial" w:hAnsi="Arial"/>
                <w:sz w:val="20"/>
                <w:szCs w:val="20"/>
                <w:color w:val="333333"/>
              </w:rPr>
              <w:t>Risk Factors</w:t>
            </w:r>
          </w:p>
        </w:tc>
        <w:tc>
          <w:tcPr>
            <w:tcW w:w="66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1B.</w:t>
            </w:r>
          </w:p>
        </w:tc>
        <w:tc>
          <w:tcPr>
            <w:tcW w:w="7780" w:type="dxa"/>
            <w:vAlign w:val="bottom"/>
          </w:tcPr>
          <w:p>
            <w:pPr>
              <w:ind w:left="20"/>
              <w:spacing w:after="0"/>
              <w:rPr>
                <w:sz w:val="20"/>
                <w:szCs w:val="20"/>
                <w:color w:val="auto"/>
              </w:rPr>
            </w:pPr>
            <w:r>
              <w:rPr>
                <w:rFonts w:ascii="Arial" w:cs="Arial" w:eastAsia="Arial" w:hAnsi="Arial"/>
                <w:sz w:val="20"/>
                <w:szCs w:val="20"/>
                <w:color w:val="333333"/>
              </w:rPr>
              <w:t>Unresolved Staff Comments</w:t>
            </w:r>
          </w:p>
        </w:tc>
        <w:tc>
          <w:tcPr>
            <w:tcW w:w="660" w:type="dxa"/>
            <w:vAlign w:val="bottom"/>
          </w:tcPr>
          <w:p>
            <w:pPr>
              <w:jc w:val="right"/>
              <w:spacing w:after="0"/>
              <w:rPr>
                <w:sz w:val="20"/>
                <w:szCs w:val="20"/>
                <w:color w:val="auto"/>
              </w:rPr>
            </w:pPr>
            <w:r>
              <w:rPr>
                <w:rFonts w:ascii="Arial" w:cs="Arial" w:eastAsia="Arial" w:hAnsi="Arial"/>
                <w:sz w:val="20"/>
                <w:szCs w:val="20"/>
                <w:color w:val="auto"/>
              </w:rPr>
              <w:t>113</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1C.</w:t>
            </w:r>
          </w:p>
        </w:tc>
        <w:tc>
          <w:tcPr>
            <w:tcW w:w="7780" w:type="dxa"/>
            <w:vAlign w:val="bottom"/>
          </w:tcPr>
          <w:p>
            <w:pPr>
              <w:ind w:left="20"/>
              <w:spacing w:after="0"/>
              <w:rPr>
                <w:sz w:val="20"/>
                <w:szCs w:val="20"/>
                <w:color w:val="auto"/>
              </w:rPr>
            </w:pPr>
            <w:r>
              <w:rPr>
                <w:rFonts w:ascii="Arial" w:cs="Arial" w:eastAsia="Arial" w:hAnsi="Arial"/>
                <w:sz w:val="20"/>
                <w:szCs w:val="20"/>
                <w:color w:val="333333"/>
              </w:rPr>
              <w:t>Cybersecurity</w:t>
            </w:r>
          </w:p>
        </w:tc>
        <w:tc>
          <w:tcPr>
            <w:tcW w:w="660" w:type="dxa"/>
            <w:vAlign w:val="bottom"/>
          </w:tcPr>
          <w:p>
            <w:pPr>
              <w:jc w:val="right"/>
              <w:spacing w:after="0"/>
              <w:rPr>
                <w:sz w:val="20"/>
                <w:szCs w:val="20"/>
                <w:color w:val="auto"/>
              </w:rPr>
            </w:pPr>
            <w:r>
              <w:rPr>
                <w:rFonts w:ascii="Arial" w:cs="Arial" w:eastAsia="Arial" w:hAnsi="Arial"/>
                <w:sz w:val="20"/>
                <w:szCs w:val="20"/>
                <w:color w:val="auto"/>
              </w:rPr>
              <w:t>114</w:t>
            </w:r>
          </w:p>
        </w:tc>
        <w:tc>
          <w:tcPr>
            <w:tcW w:w="0" w:type="dxa"/>
            <w:vAlign w:val="bottom"/>
          </w:tcPr>
          <w:p>
            <w:pPr>
              <w:spacing w:after="0"/>
              <w:rPr>
                <w:sz w:val="1"/>
                <w:szCs w:val="1"/>
                <w:color w:val="auto"/>
              </w:rPr>
            </w:pPr>
          </w:p>
        </w:tc>
      </w:tr>
      <w:tr>
        <w:trPr>
          <w:trHeight w:val="229"/>
        </w:trPr>
        <w:tc>
          <w:tcPr>
            <w:tcW w:w="920" w:type="dxa"/>
            <w:vAlign w:val="bottom"/>
          </w:tcPr>
          <w:p>
            <w:pPr>
              <w:ind w:left="140"/>
              <w:spacing w:after="0"/>
              <w:rPr>
                <w:sz w:val="20"/>
                <w:szCs w:val="20"/>
                <w:color w:val="auto"/>
              </w:rPr>
            </w:pPr>
            <w:r>
              <w:rPr>
                <w:rFonts w:ascii="Arial" w:cs="Arial" w:eastAsia="Arial" w:hAnsi="Arial"/>
                <w:sz w:val="20"/>
                <w:szCs w:val="20"/>
                <w:color w:val="auto"/>
              </w:rPr>
              <w:t>Item 2.</w:t>
            </w:r>
          </w:p>
        </w:tc>
        <w:tc>
          <w:tcPr>
            <w:tcW w:w="7780" w:type="dxa"/>
            <w:vAlign w:val="bottom"/>
          </w:tcPr>
          <w:p>
            <w:pPr>
              <w:ind w:left="20"/>
              <w:spacing w:after="0"/>
              <w:rPr>
                <w:sz w:val="20"/>
                <w:szCs w:val="20"/>
                <w:color w:val="auto"/>
              </w:rPr>
            </w:pPr>
            <w:r>
              <w:rPr>
                <w:rFonts w:ascii="Arial" w:cs="Arial" w:eastAsia="Arial" w:hAnsi="Arial"/>
                <w:sz w:val="20"/>
                <w:szCs w:val="20"/>
                <w:color w:val="333333"/>
              </w:rPr>
              <w:t>Properties</w:t>
            </w:r>
          </w:p>
        </w:tc>
        <w:tc>
          <w:tcPr>
            <w:tcW w:w="660" w:type="dxa"/>
            <w:vAlign w:val="bottom"/>
          </w:tcPr>
          <w:p>
            <w:pPr>
              <w:jc w:val="right"/>
              <w:spacing w:after="0"/>
              <w:rPr>
                <w:sz w:val="20"/>
                <w:szCs w:val="20"/>
                <w:color w:val="auto"/>
              </w:rPr>
            </w:pPr>
            <w:r>
              <w:rPr>
                <w:rFonts w:ascii="Arial" w:cs="Arial" w:eastAsia="Arial" w:hAnsi="Arial"/>
                <w:sz w:val="20"/>
                <w:szCs w:val="20"/>
                <w:color w:val="auto"/>
              </w:rPr>
              <w:t>115</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3.</w:t>
            </w:r>
          </w:p>
        </w:tc>
        <w:tc>
          <w:tcPr>
            <w:tcW w:w="7780" w:type="dxa"/>
            <w:vAlign w:val="bottom"/>
          </w:tcPr>
          <w:p>
            <w:pPr>
              <w:ind w:left="20"/>
              <w:spacing w:after="0"/>
              <w:rPr>
                <w:sz w:val="20"/>
                <w:szCs w:val="20"/>
                <w:color w:val="auto"/>
              </w:rPr>
            </w:pPr>
            <w:r>
              <w:rPr>
                <w:rFonts w:ascii="Arial" w:cs="Arial" w:eastAsia="Arial" w:hAnsi="Arial"/>
                <w:sz w:val="20"/>
                <w:szCs w:val="20"/>
                <w:color w:val="333333"/>
              </w:rPr>
              <w:t>Legal Proceedings</w:t>
            </w:r>
          </w:p>
        </w:tc>
        <w:tc>
          <w:tcPr>
            <w:tcW w:w="660" w:type="dxa"/>
            <w:vAlign w:val="bottom"/>
          </w:tcPr>
          <w:p>
            <w:pPr>
              <w:jc w:val="right"/>
              <w:spacing w:after="0"/>
              <w:rPr>
                <w:sz w:val="20"/>
                <w:szCs w:val="20"/>
                <w:color w:val="auto"/>
              </w:rPr>
            </w:pPr>
            <w:r>
              <w:rPr>
                <w:rFonts w:ascii="Arial" w:cs="Arial" w:eastAsia="Arial" w:hAnsi="Arial"/>
                <w:sz w:val="20"/>
                <w:szCs w:val="20"/>
                <w:color w:val="auto"/>
              </w:rPr>
              <w:t>115</w:t>
            </w:r>
          </w:p>
        </w:tc>
        <w:tc>
          <w:tcPr>
            <w:tcW w:w="0" w:type="dxa"/>
            <w:vAlign w:val="bottom"/>
          </w:tcPr>
          <w:p>
            <w:pPr>
              <w:spacing w:after="0"/>
              <w:rPr>
                <w:sz w:val="1"/>
                <w:szCs w:val="1"/>
                <w:color w:val="auto"/>
              </w:rPr>
            </w:pPr>
          </w:p>
        </w:tc>
      </w:tr>
      <w:tr>
        <w:trPr>
          <w:trHeight w:val="271"/>
        </w:trPr>
        <w:tc>
          <w:tcPr>
            <w:tcW w:w="920" w:type="dxa"/>
            <w:vAlign w:val="bottom"/>
          </w:tcPr>
          <w:p>
            <w:pPr>
              <w:ind w:left="140"/>
              <w:spacing w:after="0"/>
              <w:rPr>
                <w:sz w:val="20"/>
                <w:szCs w:val="20"/>
                <w:color w:val="auto"/>
              </w:rPr>
            </w:pPr>
            <w:r>
              <w:rPr>
                <w:rFonts w:ascii="Arial" w:cs="Arial" w:eastAsia="Arial" w:hAnsi="Arial"/>
                <w:sz w:val="20"/>
                <w:szCs w:val="20"/>
                <w:color w:val="auto"/>
              </w:rPr>
              <w:t>Item 4.</w:t>
            </w:r>
          </w:p>
        </w:tc>
        <w:tc>
          <w:tcPr>
            <w:tcW w:w="7780" w:type="dxa"/>
            <w:vAlign w:val="bottom"/>
          </w:tcPr>
          <w:p>
            <w:pPr>
              <w:ind w:left="20"/>
              <w:spacing w:after="0"/>
              <w:rPr>
                <w:sz w:val="20"/>
                <w:szCs w:val="20"/>
                <w:color w:val="auto"/>
              </w:rPr>
            </w:pPr>
            <w:r>
              <w:rPr>
                <w:rFonts w:ascii="Arial" w:cs="Arial" w:eastAsia="Arial" w:hAnsi="Arial"/>
                <w:sz w:val="20"/>
                <w:szCs w:val="20"/>
                <w:color w:val="333333"/>
              </w:rPr>
              <w:t>Mine Safety Disclosures</w:t>
            </w:r>
          </w:p>
        </w:tc>
        <w:tc>
          <w:tcPr>
            <w:tcW w:w="660" w:type="dxa"/>
            <w:vAlign w:val="bottom"/>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419"/>
        </w:trPr>
        <w:tc>
          <w:tcPr>
            <w:tcW w:w="920" w:type="dxa"/>
            <w:vAlign w:val="bottom"/>
          </w:tcPr>
          <w:p>
            <w:pPr>
              <w:spacing w:after="0"/>
              <w:rPr>
                <w:sz w:val="20"/>
                <w:szCs w:val="20"/>
                <w:color w:val="auto"/>
              </w:rPr>
            </w:pPr>
            <w:r>
              <w:rPr>
                <w:rFonts w:ascii="Arial" w:cs="Arial" w:eastAsia="Arial" w:hAnsi="Arial"/>
                <w:sz w:val="20"/>
                <w:szCs w:val="20"/>
                <w:b w:val="1"/>
                <w:bCs w:val="1"/>
                <w:color w:val="333333"/>
              </w:rPr>
              <w:t>PART II</w:t>
            </w:r>
          </w:p>
        </w:tc>
        <w:tc>
          <w:tcPr>
            <w:tcW w:w="7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5.</w:t>
            </w:r>
          </w:p>
        </w:tc>
        <w:tc>
          <w:tcPr>
            <w:tcW w:w="7780" w:type="dxa"/>
            <w:vAlign w:val="bottom"/>
          </w:tcPr>
          <w:p>
            <w:pPr>
              <w:ind w:left="20"/>
              <w:spacing w:after="0"/>
              <w:rPr>
                <w:sz w:val="20"/>
                <w:szCs w:val="20"/>
                <w:color w:val="auto"/>
              </w:rPr>
            </w:pPr>
            <w:r>
              <w:rPr>
                <w:rFonts w:ascii="Arial" w:cs="Arial" w:eastAsia="Arial" w:hAnsi="Arial"/>
                <w:sz w:val="20"/>
                <w:szCs w:val="20"/>
                <w:color w:val="333333"/>
              </w:rPr>
              <w:t>Market for Registrant’s Common Equity, Related Stockholder Matters and Issuer</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20"/>
                <w:szCs w:val="20"/>
                <w:color w:val="333333"/>
              </w:rPr>
              <w:t>Purchases of Equity Securities</w:t>
            </w:r>
          </w:p>
        </w:tc>
        <w:tc>
          <w:tcPr>
            <w:tcW w:w="660" w:type="dxa"/>
            <w:vAlign w:val="bottom"/>
          </w:tcPr>
          <w:p>
            <w:pPr>
              <w:jc w:val="right"/>
              <w:spacing w:after="0"/>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6.</w:t>
            </w:r>
          </w:p>
        </w:tc>
        <w:tc>
          <w:tcPr>
            <w:tcW w:w="7780" w:type="dxa"/>
            <w:vAlign w:val="bottom"/>
          </w:tcPr>
          <w:p>
            <w:pPr>
              <w:ind w:left="20"/>
              <w:spacing w:after="0"/>
              <w:rPr>
                <w:sz w:val="20"/>
                <w:szCs w:val="20"/>
                <w:color w:val="auto"/>
              </w:rPr>
            </w:pPr>
            <w:r>
              <w:rPr>
                <w:rFonts w:ascii="Arial" w:cs="Arial" w:eastAsia="Arial" w:hAnsi="Arial"/>
                <w:sz w:val="20"/>
                <w:szCs w:val="20"/>
                <w:color w:val="333333"/>
              </w:rPr>
              <w:t>[Reserved]</w:t>
            </w:r>
          </w:p>
        </w:tc>
        <w:tc>
          <w:tcPr>
            <w:tcW w:w="660" w:type="dxa"/>
            <w:vAlign w:val="bottom"/>
          </w:tcPr>
          <w:p>
            <w:pPr>
              <w:jc w:val="right"/>
              <w:spacing w:after="0"/>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7.</w:t>
            </w:r>
          </w:p>
        </w:tc>
        <w:tc>
          <w:tcPr>
            <w:tcW w:w="7780" w:type="dxa"/>
            <w:vAlign w:val="bottom"/>
          </w:tcPr>
          <w:p>
            <w:pPr>
              <w:ind w:left="20"/>
              <w:spacing w:after="0"/>
              <w:rPr>
                <w:sz w:val="20"/>
                <w:szCs w:val="20"/>
                <w:color w:val="auto"/>
              </w:rPr>
            </w:pPr>
            <w:r>
              <w:rPr>
                <w:rFonts w:ascii="Arial" w:cs="Arial" w:eastAsia="Arial" w:hAnsi="Arial"/>
                <w:sz w:val="20"/>
                <w:szCs w:val="20"/>
                <w:color w:val="333333"/>
              </w:rPr>
              <w:t>Management’s Discussion and Analysis of Financial Condition and Results of</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20"/>
                <w:szCs w:val="20"/>
                <w:color w:val="333333"/>
              </w:rPr>
              <w:t>Operations</w:t>
            </w:r>
          </w:p>
        </w:tc>
        <w:tc>
          <w:tcPr>
            <w:tcW w:w="660" w:type="dxa"/>
            <w:vAlign w:val="bottom"/>
          </w:tcPr>
          <w:p>
            <w:pPr>
              <w:jc w:val="right"/>
              <w:spacing w:after="0"/>
              <w:rPr>
                <w:sz w:val="20"/>
                <w:szCs w:val="20"/>
                <w:color w:val="auto"/>
              </w:rPr>
            </w:pPr>
            <w:r>
              <w:rPr>
                <w:rFonts w:ascii="Arial" w:cs="Arial" w:eastAsia="Arial" w:hAnsi="Arial"/>
                <w:sz w:val="20"/>
                <w:szCs w:val="20"/>
                <w:color w:val="auto"/>
              </w:rPr>
              <w:t>119</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7A.</w:t>
            </w:r>
          </w:p>
        </w:tc>
        <w:tc>
          <w:tcPr>
            <w:tcW w:w="7780" w:type="dxa"/>
            <w:vAlign w:val="bottom"/>
          </w:tcPr>
          <w:p>
            <w:pPr>
              <w:ind w:left="20"/>
              <w:spacing w:after="0"/>
              <w:rPr>
                <w:sz w:val="20"/>
                <w:szCs w:val="20"/>
                <w:color w:val="auto"/>
              </w:rPr>
            </w:pPr>
            <w:r>
              <w:rPr>
                <w:rFonts w:ascii="Arial" w:cs="Arial" w:eastAsia="Arial" w:hAnsi="Arial"/>
                <w:sz w:val="20"/>
                <w:szCs w:val="20"/>
                <w:color w:val="333333"/>
              </w:rPr>
              <w:t>Quantitative and Qualitative Disclosures About Market Risk</w:t>
            </w:r>
          </w:p>
        </w:tc>
        <w:tc>
          <w:tcPr>
            <w:tcW w:w="660" w:type="dxa"/>
            <w:vAlign w:val="bottom"/>
          </w:tcPr>
          <w:p>
            <w:pPr>
              <w:jc w:val="right"/>
              <w:spacing w:after="0"/>
              <w:rPr>
                <w:sz w:val="20"/>
                <w:szCs w:val="20"/>
                <w:color w:val="auto"/>
              </w:rPr>
            </w:pPr>
            <w:r>
              <w:rPr>
                <w:rFonts w:ascii="Arial" w:cs="Arial" w:eastAsia="Arial" w:hAnsi="Arial"/>
                <w:sz w:val="20"/>
                <w:szCs w:val="20"/>
                <w:color w:val="auto"/>
              </w:rPr>
              <w:t>133</w:t>
            </w:r>
          </w:p>
        </w:tc>
        <w:tc>
          <w:tcPr>
            <w:tcW w:w="0" w:type="dxa"/>
            <w:vAlign w:val="bottom"/>
          </w:tcPr>
          <w:p>
            <w:pPr>
              <w:spacing w:after="0"/>
              <w:rPr>
                <w:sz w:val="1"/>
                <w:szCs w:val="1"/>
                <w:color w:val="auto"/>
              </w:rPr>
            </w:pPr>
          </w:p>
        </w:tc>
      </w:tr>
      <w:tr>
        <w:trPr>
          <w:trHeight w:val="229"/>
        </w:trPr>
        <w:tc>
          <w:tcPr>
            <w:tcW w:w="920" w:type="dxa"/>
            <w:vAlign w:val="bottom"/>
          </w:tcPr>
          <w:p>
            <w:pPr>
              <w:ind w:left="140"/>
              <w:spacing w:after="0"/>
              <w:rPr>
                <w:sz w:val="20"/>
                <w:szCs w:val="20"/>
                <w:color w:val="auto"/>
              </w:rPr>
            </w:pPr>
            <w:r>
              <w:rPr>
                <w:rFonts w:ascii="Arial" w:cs="Arial" w:eastAsia="Arial" w:hAnsi="Arial"/>
                <w:sz w:val="20"/>
                <w:szCs w:val="20"/>
                <w:color w:val="auto"/>
              </w:rPr>
              <w:t>Item 8.</w:t>
            </w:r>
          </w:p>
        </w:tc>
        <w:tc>
          <w:tcPr>
            <w:tcW w:w="7780" w:type="dxa"/>
            <w:vAlign w:val="bottom"/>
          </w:tcPr>
          <w:p>
            <w:pPr>
              <w:ind w:left="20"/>
              <w:spacing w:after="0"/>
              <w:rPr>
                <w:sz w:val="20"/>
                <w:szCs w:val="20"/>
                <w:color w:val="auto"/>
              </w:rPr>
            </w:pPr>
            <w:r>
              <w:rPr>
                <w:rFonts w:ascii="Arial" w:cs="Arial" w:eastAsia="Arial" w:hAnsi="Arial"/>
                <w:sz w:val="20"/>
                <w:szCs w:val="20"/>
                <w:color w:val="333333"/>
              </w:rPr>
              <w:t>Financial Statements and Supplementary Data</w:t>
            </w:r>
          </w:p>
        </w:tc>
        <w:tc>
          <w:tcPr>
            <w:tcW w:w="660" w:type="dxa"/>
            <w:vAlign w:val="bottom"/>
          </w:tcPr>
          <w:p>
            <w:pPr>
              <w:jc w:val="right"/>
              <w:spacing w:after="0"/>
              <w:rPr>
                <w:sz w:val="20"/>
                <w:szCs w:val="20"/>
                <w:color w:val="auto"/>
              </w:rPr>
            </w:pPr>
            <w:r>
              <w:rPr>
                <w:rFonts w:ascii="Arial" w:cs="Arial" w:eastAsia="Arial" w:hAnsi="Arial"/>
                <w:sz w:val="20"/>
                <w:szCs w:val="20"/>
                <w:color w:val="auto"/>
              </w:rPr>
              <w:t>133</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9.</w:t>
            </w:r>
          </w:p>
        </w:tc>
        <w:tc>
          <w:tcPr>
            <w:tcW w:w="7780" w:type="dxa"/>
            <w:vAlign w:val="bottom"/>
          </w:tcPr>
          <w:p>
            <w:pPr>
              <w:ind w:left="20"/>
              <w:spacing w:after="0"/>
              <w:rPr>
                <w:sz w:val="20"/>
                <w:szCs w:val="20"/>
                <w:color w:val="auto"/>
              </w:rPr>
            </w:pPr>
            <w:r>
              <w:rPr>
                <w:rFonts w:ascii="Arial" w:cs="Arial" w:eastAsia="Arial" w:hAnsi="Arial"/>
                <w:sz w:val="20"/>
                <w:szCs w:val="20"/>
                <w:color w:val="333333"/>
              </w:rPr>
              <w:t>Changes in and Disagreements with Accountants on Accounting and Financial</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7780" w:type="dxa"/>
            <w:vAlign w:val="bottom"/>
          </w:tcPr>
          <w:p>
            <w:pPr>
              <w:ind w:left="20"/>
              <w:spacing w:after="0"/>
              <w:rPr>
                <w:sz w:val="20"/>
                <w:szCs w:val="20"/>
                <w:color w:val="auto"/>
              </w:rPr>
            </w:pPr>
            <w:r>
              <w:rPr>
                <w:rFonts w:ascii="Arial" w:cs="Arial" w:eastAsia="Arial" w:hAnsi="Arial"/>
                <w:sz w:val="20"/>
                <w:szCs w:val="20"/>
                <w:color w:val="333333"/>
              </w:rPr>
              <w:t>Disclosure</w:t>
            </w:r>
          </w:p>
        </w:tc>
        <w:tc>
          <w:tcPr>
            <w:tcW w:w="660" w:type="dxa"/>
            <w:vAlign w:val="bottom"/>
          </w:tcPr>
          <w:p>
            <w:pPr>
              <w:jc w:val="right"/>
              <w:spacing w:after="0"/>
              <w:rPr>
                <w:sz w:val="20"/>
                <w:szCs w:val="20"/>
                <w:color w:val="auto"/>
              </w:rPr>
            </w:pPr>
            <w:r>
              <w:rPr>
                <w:rFonts w:ascii="Arial" w:cs="Arial" w:eastAsia="Arial" w:hAnsi="Arial"/>
                <w:sz w:val="20"/>
                <w:szCs w:val="20"/>
                <w:color w:val="auto"/>
              </w:rPr>
              <w:t>158</w:t>
            </w:r>
          </w:p>
        </w:tc>
        <w:tc>
          <w:tcPr>
            <w:tcW w:w="0" w:type="dxa"/>
            <w:vAlign w:val="bottom"/>
          </w:tcPr>
          <w:p>
            <w:pPr>
              <w:spacing w:after="0"/>
              <w:rPr>
                <w:sz w:val="1"/>
                <w:szCs w:val="1"/>
                <w:color w:val="auto"/>
              </w:rPr>
            </w:pPr>
          </w:p>
        </w:tc>
      </w:tr>
      <w:tr>
        <w:trPr>
          <w:trHeight w:val="229"/>
        </w:trPr>
        <w:tc>
          <w:tcPr>
            <w:tcW w:w="920" w:type="dxa"/>
            <w:vAlign w:val="bottom"/>
          </w:tcPr>
          <w:p>
            <w:pPr>
              <w:ind w:left="140"/>
              <w:spacing w:after="0"/>
              <w:rPr>
                <w:sz w:val="20"/>
                <w:szCs w:val="20"/>
                <w:color w:val="auto"/>
              </w:rPr>
            </w:pPr>
            <w:r>
              <w:rPr>
                <w:rFonts w:ascii="Arial" w:cs="Arial" w:eastAsia="Arial" w:hAnsi="Arial"/>
                <w:sz w:val="20"/>
                <w:szCs w:val="20"/>
                <w:color w:val="auto"/>
              </w:rPr>
              <w:t>Item 9A.</w:t>
            </w:r>
          </w:p>
        </w:tc>
        <w:tc>
          <w:tcPr>
            <w:tcW w:w="7780" w:type="dxa"/>
            <w:vAlign w:val="bottom"/>
          </w:tcPr>
          <w:p>
            <w:pPr>
              <w:ind w:left="20"/>
              <w:spacing w:after="0"/>
              <w:rPr>
                <w:sz w:val="20"/>
                <w:szCs w:val="20"/>
                <w:color w:val="auto"/>
              </w:rPr>
            </w:pPr>
            <w:r>
              <w:rPr>
                <w:rFonts w:ascii="Arial" w:cs="Arial" w:eastAsia="Arial" w:hAnsi="Arial"/>
                <w:sz w:val="20"/>
                <w:szCs w:val="20"/>
                <w:color w:val="333333"/>
              </w:rPr>
              <w:t>Controls and Procedures</w:t>
            </w:r>
          </w:p>
        </w:tc>
        <w:tc>
          <w:tcPr>
            <w:tcW w:w="660" w:type="dxa"/>
            <w:vAlign w:val="bottom"/>
          </w:tcPr>
          <w:p>
            <w:pPr>
              <w:jc w:val="right"/>
              <w:spacing w:after="0"/>
              <w:rPr>
                <w:sz w:val="20"/>
                <w:szCs w:val="20"/>
                <w:color w:val="auto"/>
              </w:rPr>
            </w:pPr>
            <w:r>
              <w:rPr>
                <w:rFonts w:ascii="Arial" w:cs="Arial" w:eastAsia="Arial" w:hAnsi="Arial"/>
                <w:sz w:val="20"/>
                <w:szCs w:val="20"/>
                <w:color w:val="auto"/>
              </w:rPr>
              <w:t>158</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9B.</w:t>
            </w:r>
          </w:p>
        </w:tc>
        <w:tc>
          <w:tcPr>
            <w:tcW w:w="7780" w:type="dxa"/>
            <w:vAlign w:val="bottom"/>
          </w:tcPr>
          <w:p>
            <w:pPr>
              <w:ind w:left="20"/>
              <w:spacing w:after="0"/>
              <w:rPr>
                <w:sz w:val="20"/>
                <w:szCs w:val="20"/>
                <w:color w:val="auto"/>
              </w:rPr>
            </w:pPr>
            <w:r>
              <w:rPr>
                <w:rFonts w:ascii="Arial" w:cs="Arial" w:eastAsia="Arial" w:hAnsi="Arial"/>
                <w:sz w:val="20"/>
                <w:szCs w:val="20"/>
                <w:color w:val="333333"/>
              </w:rPr>
              <w:t>Other Information</w:t>
            </w:r>
          </w:p>
        </w:tc>
        <w:tc>
          <w:tcPr>
            <w:tcW w:w="660" w:type="dxa"/>
            <w:vAlign w:val="bottom"/>
          </w:tcPr>
          <w:p>
            <w:pPr>
              <w:jc w:val="right"/>
              <w:spacing w:after="0"/>
              <w:rPr>
                <w:sz w:val="20"/>
                <w:szCs w:val="20"/>
                <w:color w:val="auto"/>
              </w:rPr>
            </w:pPr>
            <w:r>
              <w:rPr>
                <w:rFonts w:ascii="Arial" w:cs="Arial" w:eastAsia="Arial" w:hAnsi="Arial"/>
                <w:sz w:val="20"/>
                <w:szCs w:val="20"/>
                <w:color w:val="auto"/>
              </w:rPr>
              <w:t>159</w:t>
            </w:r>
          </w:p>
        </w:tc>
        <w:tc>
          <w:tcPr>
            <w:tcW w:w="0" w:type="dxa"/>
            <w:vAlign w:val="bottom"/>
          </w:tcPr>
          <w:p>
            <w:pPr>
              <w:spacing w:after="0"/>
              <w:rPr>
                <w:sz w:val="1"/>
                <w:szCs w:val="1"/>
                <w:color w:val="auto"/>
              </w:rPr>
            </w:pPr>
          </w:p>
        </w:tc>
      </w:tr>
      <w:tr>
        <w:trPr>
          <w:trHeight w:val="271"/>
        </w:trPr>
        <w:tc>
          <w:tcPr>
            <w:tcW w:w="920" w:type="dxa"/>
            <w:vAlign w:val="bottom"/>
          </w:tcPr>
          <w:p>
            <w:pPr>
              <w:ind w:left="140"/>
              <w:spacing w:after="0"/>
              <w:rPr>
                <w:sz w:val="20"/>
                <w:szCs w:val="20"/>
                <w:color w:val="auto"/>
              </w:rPr>
            </w:pPr>
            <w:r>
              <w:rPr>
                <w:rFonts w:ascii="Arial" w:cs="Arial" w:eastAsia="Arial" w:hAnsi="Arial"/>
                <w:sz w:val="20"/>
                <w:szCs w:val="20"/>
                <w:color w:val="auto"/>
              </w:rPr>
              <w:t>Item 9C.</w:t>
            </w:r>
          </w:p>
        </w:tc>
        <w:tc>
          <w:tcPr>
            <w:tcW w:w="7780" w:type="dxa"/>
            <w:vAlign w:val="bottom"/>
          </w:tcPr>
          <w:p>
            <w:pPr>
              <w:ind w:left="20"/>
              <w:spacing w:after="0"/>
              <w:rPr>
                <w:sz w:val="20"/>
                <w:szCs w:val="20"/>
                <w:color w:val="auto"/>
              </w:rPr>
            </w:pPr>
            <w:r>
              <w:rPr>
                <w:rFonts w:ascii="Arial" w:cs="Arial" w:eastAsia="Arial" w:hAnsi="Arial"/>
                <w:sz w:val="20"/>
                <w:szCs w:val="20"/>
                <w:color w:val="333333"/>
              </w:rPr>
              <w:t>Disclosure Regarding Foreign Jurisdictions that Prevent Inspections.</w:t>
            </w:r>
          </w:p>
        </w:tc>
        <w:tc>
          <w:tcPr>
            <w:tcW w:w="660" w:type="dxa"/>
            <w:vAlign w:val="bottom"/>
          </w:tcPr>
          <w:p>
            <w:pPr>
              <w:jc w:val="right"/>
              <w:spacing w:after="0"/>
              <w:rPr>
                <w:sz w:val="20"/>
                <w:szCs w:val="20"/>
                <w:color w:val="auto"/>
              </w:rPr>
            </w:pPr>
            <w:r>
              <w:rPr>
                <w:rFonts w:ascii="Arial" w:cs="Arial" w:eastAsia="Arial" w:hAnsi="Arial"/>
                <w:sz w:val="20"/>
                <w:szCs w:val="20"/>
                <w:color w:val="auto"/>
              </w:rPr>
              <w:t>159</w:t>
            </w:r>
          </w:p>
        </w:tc>
        <w:tc>
          <w:tcPr>
            <w:tcW w:w="0" w:type="dxa"/>
            <w:vAlign w:val="bottom"/>
          </w:tcPr>
          <w:p>
            <w:pPr>
              <w:spacing w:after="0"/>
              <w:rPr>
                <w:sz w:val="1"/>
                <w:szCs w:val="1"/>
                <w:color w:val="auto"/>
              </w:rPr>
            </w:pPr>
          </w:p>
        </w:tc>
      </w:tr>
      <w:tr>
        <w:trPr>
          <w:trHeight w:val="419"/>
        </w:trPr>
        <w:tc>
          <w:tcPr>
            <w:tcW w:w="920" w:type="dxa"/>
            <w:vAlign w:val="bottom"/>
          </w:tcPr>
          <w:p>
            <w:pPr>
              <w:spacing w:after="0"/>
              <w:rPr>
                <w:sz w:val="20"/>
                <w:szCs w:val="20"/>
                <w:color w:val="auto"/>
              </w:rPr>
            </w:pPr>
            <w:r>
              <w:rPr>
                <w:rFonts w:ascii="Arial" w:cs="Arial" w:eastAsia="Arial" w:hAnsi="Arial"/>
                <w:sz w:val="20"/>
                <w:szCs w:val="20"/>
                <w:b w:val="1"/>
                <w:bCs w:val="1"/>
                <w:color w:val="333333"/>
              </w:rPr>
              <w:t>PART III</w:t>
            </w:r>
          </w:p>
        </w:tc>
        <w:tc>
          <w:tcPr>
            <w:tcW w:w="7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10.</w:t>
            </w:r>
          </w:p>
        </w:tc>
        <w:tc>
          <w:tcPr>
            <w:tcW w:w="7780" w:type="dxa"/>
            <w:vAlign w:val="bottom"/>
          </w:tcPr>
          <w:p>
            <w:pPr>
              <w:ind w:left="20"/>
              <w:spacing w:after="0"/>
              <w:rPr>
                <w:sz w:val="20"/>
                <w:szCs w:val="20"/>
                <w:color w:val="auto"/>
              </w:rPr>
            </w:pPr>
            <w:r>
              <w:rPr>
                <w:rFonts w:ascii="Arial" w:cs="Arial" w:eastAsia="Arial" w:hAnsi="Arial"/>
                <w:sz w:val="20"/>
                <w:szCs w:val="20"/>
                <w:color w:val="333333"/>
              </w:rPr>
              <w:t>Directors, Executive Officers and Corporate Governance</w:t>
            </w:r>
          </w:p>
        </w:tc>
        <w:tc>
          <w:tcPr>
            <w:tcW w:w="660" w:type="dxa"/>
            <w:vAlign w:val="bottom"/>
          </w:tcPr>
          <w:p>
            <w:pPr>
              <w:jc w:val="right"/>
              <w:spacing w:after="0"/>
              <w:rPr>
                <w:sz w:val="20"/>
                <w:szCs w:val="20"/>
                <w:color w:val="auto"/>
              </w:rPr>
            </w:pPr>
            <w:r>
              <w:rPr>
                <w:rFonts w:ascii="Arial" w:cs="Arial" w:eastAsia="Arial" w:hAnsi="Arial"/>
                <w:sz w:val="20"/>
                <w:szCs w:val="20"/>
                <w:color w:val="auto"/>
              </w:rPr>
              <w:t>160</w:t>
            </w:r>
          </w:p>
        </w:tc>
        <w:tc>
          <w:tcPr>
            <w:tcW w:w="0" w:type="dxa"/>
            <w:vAlign w:val="bottom"/>
          </w:tcPr>
          <w:p>
            <w:pPr>
              <w:spacing w:after="0"/>
              <w:rPr>
                <w:sz w:val="1"/>
                <w:szCs w:val="1"/>
                <w:color w:val="auto"/>
              </w:rPr>
            </w:pPr>
          </w:p>
        </w:tc>
      </w:tr>
      <w:tr>
        <w:trPr>
          <w:trHeight w:val="229"/>
        </w:trPr>
        <w:tc>
          <w:tcPr>
            <w:tcW w:w="920" w:type="dxa"/>
            <w:vAlign w:val="bottom"/>
          </w:tcPr>
          <w:p>
            <w:pPr>
              <w:ind w:left="140"/>
              <w:spacing w:after="0"/>
              <w:rPr>
                <w:sz w:val="20"/>
                <w:szCs w:val="20"/>
                <w:color w:val="auto"/>
              </w:rPr>
            </w:pPr>
            <w:r>
              <w:rPr>
                <w:rFonts w:ascii="Arial" w:cs="Arial" w:eastAsia="Arial" w:hAnsi="Arial"/>
                <w:sz w:val="20"/>
                <w:szCs w:val="20"/>
                <w:color w:val="auto"/>
              </w:rPr>
              <w:t>Item 11.</w:t>
            </w:r>
          </w:p>
        </w:tc>
        <w:tc>
          <w:tcPr>
            <w:tcW w:w="7780" w:type="dxa"/>
            <w:vAlign w:val="bottom"/>
          </w:tcPr>
          <w:p>
            <w:pPr>
              <w:ind w:left="20"/>
              <w:spacing w:after="0"/>
              <w:rPr>
                <w:sz w:val="20"/>
                <w:szCs w:val="20"/>
                <w:color w:val="auto"/>
              </w:rPr>
            </w:pPr>
            <w:r>
              <w:rPr>
                <w:rFonts w:ascii="Arial" w:cs="Arial" w:eastAsia="Arial" w:hAnsi="Arial"/>
                <w:sz w:val="20"/>
                <w:szCs w:val="20"/>
                <w:color w:val="333333"/>
              </w:rPr>
              <w:t>Executive Compensation</w:t>
            </w:r>
          </w:p>
        </w:tc>
        <w:tc>
          <w:tcPr>
            <w:tcW w:w="660" w:type="dxa"/>
            <w:vAlign w:val="bottom"/>
          </w:tcPr>
          <w:p>
            <w:pPr>
              <w:jc w:val="right"/>
              <w:spacing w:after="0"/>
              <w:rPr>
                <w:sz w:val="20"/>
                <w:szCs w:val="20"/>
                <w:color w:val="auto"/>
              </w:rPr>
            </w:pPr>
            <w:r>
              <w:rPr>
                <w:rFonts w:ascii="Arial" w:cs="Arial" w:eastAsia="Arial" w:hAnsi="Arial"/>
                <w:sz w:val="20"/>
                <w:szCs w:val="20"/>
                <w:color w:val="auto"/>
              </w:rPr>
              <w:t>160</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12.</w:t>
            </w:r>
          </w:p>
        </w:tc>
        <w:tc>
          <w:tcPr>
            <w:tcW w:w="7780" w:type="dxa"/>
            <w:vAlign w:val="bottom"/>
          </w:tcPr>
          <w:p>
            <w:pPr>
              <w:ind w:left="20"/>
              <w:spacing w:after="0"/>
              <w:rPr>
                <w:sz w:val="20"/>
                <w:szCs w:val="20"/>
                <w:color w:val="auto"/>
              </w:rPr>
            </w:pPr>
            <w:r>
              <w:rPr>
                <w:rFonts w:ascii="Arial" w:cs="Arial" w:eastAsia="Arial" w:hAnsi="Arial"/>
                <w:sz w:val="20"/>
                <w:szCs w:val="20"/>
                <w:color w:val="333333"/>
              </w:rPr>
              <w:t>Security Ownership of Certain Beneficial Owners and Management and Related</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7780" w:type="dxa"/>
            <w:vAlign w:val="bottom"/>
          </w:tcPr>
          <w:p>
            <w:pPr>
              <w:ind w:left="20"/>
              <w:spacing w:after="0"/>
              <w:rPr>
                <w:sz w:val="20"/>
                <w:szCs w:val="20"/>
                <w:color w:val="auto"/>
              </w:rPr>
            </w:pPr>
            <w:r>
              <w:rPr>
                <w:rFonts w:ascii="Arial" w:cs="Arial" w:eastAsia="Arial" w:hAnsi="Arial"/>
                <w:sz w:val="20"/>
                <w:szCs w:val="20"/>
                <w:color w:val="333333"/>
              </w:rPr>
              <w:t>Stockholder Matters</w:t>
            </w:r>
          </w:p>
        </w:tc>
        <w:tc>
          <w:tcPr>
            <w:tcW w:w="660" w:type="dxa"/>
            <w:vAlign w:val="bottom"/>
          </w:tcPr>
          <w:p>
            <w:pPr>
              <w:jc w:val="right"/>
              <w:spacing w:after="0"/>
              <w:rPr>
                <w:sz w:val="20"/>
                <w:szCs w:val="20"/>
                <w:color w:val="auto"/>
              </w:rPr>
            </w:pPr>
            <w:r>
              <w:rPr>
                <w:rFonts w:ascii="Arial" w:cs="Arial" w:eastAsia="Arial" w:hAnsi="Arial"/>
                <w:sz w:val="20"/>
                <w:szCs w:val="20"/>
                <w:color w:val="auto"/>
              </w:rPr>
              <w:t>160</w:t>
            </w:r>
          </w:p>
        </w:tc>
        <w:tc>
          <w:tcPr>
            <w:tcW w:w="0" w:type="dxa"/>
            <w:vAlign w:val="bottom"/>
          </w:tcPr>
          <w:p>
            <w:pPr>
              <w:spacing w:after="0"/>
              <w:rPr>
                <w:sz w:val="1"/>
                <w:szCs w:val="1"/>
                <w:color w:val="auto"/>
              </w:rPr>
            </w:pPr>
          </w:p>
        </w:tc>
      </w:tr>
      <w:tr>
        <w:trPr>
          <w:trHeight w:val="229"/>
        </w:trPr>
        <w:tc>
          <w:tcPr>
            <w:tcW w:w="920" w:type="dxa"/>
            <w:vAlign w:val="bottom"/>
          </w:tcPr>
          <w:p>
            <w:pPr>
              <w:ind w:left="140"/>
              <w:spacing w:after="0"/>
              <w:rPr>
                <w:sz w:val="20"/>
                <w:szCs w:val="20"/>
                <w:color w:val="auto"/>
              </w:rPr>
            </w:pPr>
            <w:r>
              <w:rPr>
                <w:rFonts w:ascii="Arial" w:cs="Arial" w:eastAsia="Arial" w:hAnsi="Arial"/>
                <w:sz w:val="20"/>
                <w:szCs w:val="20"/>
                <w:color w:val="auto"/>
              </w:rPr>
              <w:t>Item 13.</w:t>
            </w:r>
          </w:p>
        </w:tc>
        <w:tc>
          <w:tcPr>
            <w:tcW w:w="7780" w:type="dxa"/>
            <w:vAlign w:val="bottom"/>
          </w:tcPr>
          <w:p>
            <w:pPr>
              <w:ind w:left="20"/>
              <w:spacing w:after="0"/>
              <w:rPr>
                <w:sz w:val="20"/>
                <w:szCs w:val="20"/>
                <w:color w:val="auto"/>
              </w:rPr>
            </w:pPr>
            <w:r>
              <w:rPr>
                <w:rFonts w:ascii="Arial" w:cs="Arial" w:eastAsia="Arial" w:hAnsi="Arial"/>
                <w:sz w:val="20"/>
                <w:szCs w:val="20"/>
                <w:color w:val="333333"/>
              </w:rPr>
              <w:t>Certain Relationships and Related Transactions, and Director Independence</w:t>
            </w:r>
          </w:p>
        </w:tc>
        <w:tc>
          <w:tcPr>
            <w:tcW w:w="660" w:type="dxa"/>
            <w:vAlign w:val="bottom"/>
          </w:tcPr>
          <w:p>
            <w:pPr>
              <w:jc w:val="right"/>
              <w:spacing w:after="0"/>
              <w:rPr>
                <w:sz w:val="20"/>
                <w:szCs w:val="20"/>
                <w:color w:val="auto"/>
              </w:rPr>
            </w:pPr>
            <w:r>
              <w:rPr>
                <w:rFonts w:ascii="Arial" w:cs="Arial" w:eastAsia="Arial" w:hAnsi="Arial"/>
                <w:sz w:val="20"/>
                <w:szCs w:val="20"/>
                <w:color w:val="auto"/>
              </w:rPr>
              <w:t>160</w:t>
            </w:r>
          </w:p>
        </w:tc>
        <w:tc>
          <w:tcPr>
            <w:tcW w:w="0" w:type="dxa"/>
            <w:vAlign w:val="bottom"/>
          </w:tcPr>
          <w:p>
            <w:pPr>
              <w:spacing w:after="0"/>
              <w:rPr>
                <w:sz w:val="1"/>
                <w:szCs w:val="1"/>
                <w:color w:val="auto"/>
              </w:rPr>
            </w:pPr>
          </w:p>
        </w:tc>
      </w:tr>
      <w:tr>
        <w:trPr>
          <w:trHeight w:val="271"/>
        </w:trPr>
        <w:tc>
          <w:tcPr>
            <w:tcW w:w="920" w:type="dxa"/>
            <w:vAlign w:val="bottom"/>
          </w:tcPr>
          <w:p>
            <w:pPr>
              <w:ind w:left="140"/>
              <w:spacing w:after="0"/>
              <w:rPr>
                <w:sz w:val="20"/>
                <w:szCs w:val="20"/>
                <w:color w:val="auto"/>
              </w:rPr>
            </w:pPr>
            <w:r>
              <w:rPr>
                <w:rFonts w:ascii="Arial" w:cs="Arial" w:eastAsia="Arial" w:hAnsi="Arial"/>
                <w:sz w:val="20"/>
                <w:szCs w:val="20"/>
                <w:color w:val="auto"/>
              </w:rPr>
              <w:t>Item 14.</w:t>
            </w:r>
          </w:p>
        </w:tc>
        <w:tc>
          <w:tcPr>
            <w:tcW w:w="7780" w:type="dxa"/>
            <w:vAlign w:val="bottom"/>
          </w:tcPr>
          <w:p>
            <w:pPr>
              <w:ind w:left="20"/>
              <w:spacing w:after="0"/>
              <w:rPr>
                <w:sz w:val="20"/>
                <w:szCs w:val="20"/>
                <w:color w:val="auto"/>
              </w:rPr>
            </w:pPr>
            <w:r>
              <w:rPr>
                <w:rFonts w:ascii="Arial" w:cs="Arial" w:eastAsia="Arial" w:hAnsi="Arial"/>
                <w:sz w:val="20"/>
                <w:szCs w:val="20"/>
                <w:color w:val="333333"/>
              </w:rPr>
              <w:t>Principal Accounting Fees and Services</w:t>
            </w:r>
          </w:p>
        </w:tc>
        <w:tc>
          <w:tcPr>
            <w:tcW w:w="660" w:type="dxa"/>
            <w:vAlign w:val="bottom"/>
          </w:tcPr>
          <w:p>
            <w:pPr>
              <w:jc w:val="right"/>
              <w:spacing w:after="0"/>
              <w:rPr>
                <w:sz w:val="20"/>
                <w:szCs w:val="20"/>
                <w:color w:val="auto"/>
              </w:rPr>
            </w:pPr>
            <w:r>
              <w:rPr>
                <w:rFonts w:ascii="Arial" w:cs="Arial" w:eastAsia="Arial" w:hAnsi="Arial"/>
                <w:sz w:val="20"/>
                <w:szCs w:val="20"/>
                <w:color w:val="auto"/>
              </w:rPr>
              <w:t>160</w:t>
            </w:r>
          </w:p>
        </w:tc>
        <w:tc>
          <w:tcPr>
            <w:tcW w:w="0" w:type="dxa"/>
            <w:vAlign w:val="bottom"/>
          </w:tcPr>
          <w:p>
            <w:pPr>
              <w:spacing w:after="0"/>
              <w:rPr>
                <w:sz w:val="1"/>
                <w:szCs w:val="1"/>
                <w:color w:val="auto"/>
              </w:rPr>
            </w:pPr>
          </w:p>
        </w:tc>
      </w:tr>
      <w:tr>
        <w:trPr>
          <w:trHeight w:val="419"/>
        </w:trPr>
        <w:tc>
          <w:tcPr>
            <w:tcW w:w="920" w:type="dxa"/>
            <w:vAlign w:val="bottom"/>
          </w:tcPr>
          <w:p>
            <w:pPr>
              <w:spacing w:after="0"/>
              <w:rPr>
                <w:sz w:val="20"/>
                <w:szCs w:val="20"/>
                <w:color w:val="auto"/>
              </w:rPr>
            </w:pPr>
            <w:r>
              <w:rPr>
                <w:rFonts w:ascii="Arial" w:cs="Arial" w:eastAsia="Arial" w:hAnsi="Arial"/>
                <w:sz w:val="20"/>
                <w:szCs w:val="20"/>
                <w:b w:val="1"/>
                <w:bCs w:val="1"/>
                <w:color w:val="333333"/>
              </w:rPr>
              <w:t>PART IV</w:t>
            </w:r>
          </w:p>
        </w:tc>
        <w:tc>
          <w:tcPr>
            <w:tcW w:w="7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15.</w:t>
            </w:r>
          </w:p>
        </w:tc>
        <w:tc>
          <w:tcPr>
            <w:tcW w:w="7780" w:type="dxa"/>
            <w:vAlign w:val="bottom"/>
          </w:tcPr>
          <w:p>
            <w:pPr>
              <w:ind w:left="20"/>
              <w:spacing w:after="0"/>
              <w:rPr>
                <w:sz w:val="20"/>
                <w:szCs w:val="20"/>
                <w:color w:val="auto"/>
              </w:rPr>
            </w:pPr>
            <w:r>
              <w:rPr>
                <w:rFonts w:ascii="Arial" w:cs="Arial" w:eastAsia="Arial" w:hAnsi="Arial"/>
                <w:sz w:val="20"/>
                <w:szCs w:val="20"/>
                <w:color w:val="333333"/>
              </w:rPr>
              <w:t>Exhibits, Financial Statement Schedules</w:t>
            </w:r>
          </w:p>
        </w:tc>
        <w:tc>
          <w:tcPr>
            <w:tcW w:w="660" w:type="dxa"/>
            <w:vAlign w:val="bottom"/>
          </w:tcPr>
          <w:p>
            <w:pPr>
              <w:jc w:val="right"/>
              <w:spacing w:after="0"/>
              <w:rPr>
                <w:sz w:val="20"/>
                <w:szCs w:val="20"/>
                <w:color w:val="auto"/>
              </w:rPr>
            </w:pPr>
            <w:r>
              <w:rPr>
                <w:rFonts w:ascii="Arial" w:cs="Arial" w:eastAsia="Arial" w:hAnsi="Arial"/>
                <w:sz w:val="20"/>
                <w:szCs w:val="20"/>
                <w:color w:val="auto"/>
              </w:rPr>
              <w:t>161</w:t>
            </w:r>
          </w:p>
        </w:tc>
        <w:tc>
          <w:tcPr>
            <w:tcW w:w="0" w:type="dxa"/>
            <w:vAlign w:val="bottom"/>
          </w:tcPr>
          <w:p>
            <w:pPr>
              <w:spacing w:after="0"/>
              <w:rPr>
                <w:sz w:val="1"/>
                <w:szCs w:val="1"/>
                <w:color w:val="auto"/>
              </w:rPr>
            </w:pPr>
          </w:p>
        </w:tc>
      </w:tr>
      <w:tr>
        <w:trPr>
          <w:trHeight w:val="271"/>
        </w:trPr>
        <w:tc>
          <w:tcPr>
            <w:tcW w:w="920" w:type="dxa"/>
            <w:vAlign w:val="bottom"/>
          </w:tcPr>
          <w:p>
            <w:pPr>
              <w:ind w:left="140"/>
              <w:spacing w:after="0"/>
              <w:rPr>
                <w:sz w:val="20"/>
                <w:szCs w:val="20"/>
                <w:color w:val="auto"/>
              </w:rPr>
            </w:pPr>
            <w:r>
              <w:rPr>
                <w:rFonts w:ascii="Arial" w:cs="Arial" w:eastAsia="Arial" w:hAnsi="Arial"/>
                <w:sz w:val="20"/>
                <w:szCs w:val="20"/>
                <w:color w:val="auto"/>
              </w:rPr>
              <w:t>Item 16</w:t>
            </w:r>
          </w:p>
        </w:tc>
        <w:tc>
          <w:tcPr>
            <w:tcW w:w="7780" w:type="dxa"/>
            <w:vAlign w:val="bottom"/>
          </w:tcPr>
          <w:p>
            <w:pPr>
              <w:ind w:left="20"/>
              <w:spacing w:after="0"/>
              <w:rPr>
                <w:sz w:val="20"/>
                <w:szCs w:val="20"/>
                <w:color w:val="auto"/>
              </w:rPr>
            </w:pPr>
            <w:r>
              <w:rPr>
                <w:rFonts w:ascii="Arial" w:cs="Arial" w:eastAsia="Arial" w:hAnsi="Arial"/>
                <w:sz w:val="20"/>
                <w:szCs w:val="20"/>
                <w:color w:val="333333"/>
              </w:rPr>
              <w:t>Form 10-K Summary</w:t>
            </w:r>
          </w:p>
        </w:tc>
        <w:tc>
          <w:tcPr>
            <w:tcW w:w="660" w:type="dxa"/>
            <w:vAlign w:val="bottom"/>
          </w:tcPr>
          <w:p>
            <w:pPr>
              <w:jc w:val="right"/>
              <w:spacing w:after="0"/>
              <w:rPr>
                <w:sz w:val="20"/>
                <w:szCs w:val="20"/>
                <w:color w:val="auto"/>
              </w:rPr>
            </w:pPr>
            <w:r>
              <w:rPr>
                <w:rFonts w:ascii="Arial" w:cs="Arial" w:eastAsia="Arial" w:hAnsi="Arial"/>
                <w:sz w:val="20"/>
                <w:szCs w:val="20"/>
                <w:color w:val="auto"/>
              </w:rPr>
              <w:t>164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880" w:h="15474" w:orient="portrait"/>
          <w:cols w:equalWidth="0" w:num="1">
            <w:col w:w="9360"/>
          </w:cols>
          <w:pgMar w:left="1240" w:top="1251" w:right="1274" w:bottom="0" w:gutter="0" w:footer="0" w:header="0"/>
          <w:type w:val="continuous"/>
        </w:sectPr>
      </w:pPr>
    </w:p>
    <w:bookmarkStart w:id="6" w:name="page7"/>
    <w:bookmarkEnd w:id="6"/>
    <w:p>
      <w:pPr>
        <w:spacing w:after="0"/>
        <w:rPr>
          <w:sz w:val="20"/>
          <w:szCs w:val="20"/>
          <w:color w:val="auto"/>
        </w:rPr>
      </w:pPr>
      <w:r>
        <w:rPr>
          <w:rFonts w:ascii="Arial" w:cs="Arial" w:eastAsia="Arial" w:hAnsi="Arial"/>
          <w:sz w:val="20"/>
          <w:szCs w:val="20"/>
          <w:b w:val="1"/>
          <w:bCs w:val="1"/>
          <w:color w:val="auto"/>
        </w:rPr>
        <w:t>Summary Risk Factors</w:t>
      </w:r>
    </w:p>
    <w:p>
      <w:pPr>
        <w:spacing w:after="0" w:line="123" w:lineRule="exact"/>
        <w:rPr>
          <w:sz w:val="20"/>
          <w:szCs w:val="20"/>
          <w:color w:val="auto"/>
        </w:rPr>
      </w:pPr>
    </w:p>
    <w:p>
      <w:pPr>
        <w:ind w:firstLine="489"/>
        <w:spacing w:after="0" w:line="283" w:lineRule="auto"/>
        <w:rPr>
          <w:sz w:val="20"/>
          <w:szCs w:val="20"/>
          <w:color w:val="auto"/>
        </w:rPr>
      </w:pPr>
      <w:r>
        <w:rPr>
          <w:rFonts w:ascii="Arial" w:cs="Arial" w:eastAsia="Arial" w:hAnsi="Arial"/>
          <w:sz w:val="20"/>
          <w:szCs w:val="20"/>
          <w:color w:val="auto"/>
        </w:rPr>
        <w:t>Our business is subject to numerous risks and uncertainties, including those highlighted in the section of this report captioned “Risk Factors.” The following is a summary of the principal risks we face:</w:t>
      </w:r>
    </w:p>
    <w:p>
      <w:pPr>
        <w:spacing w:after="0" w:line="52" w:lineRule="exact"/>
        <w:rPr>
          <w:sz w:val="20"/>
          <w:szCs w:val="20"/>
          <w:color w:val="auto"/>
        </w:rPr>
      </w:pPr>
    </w:p>
    <w:p>
      <w:pPr>
        <w:ind w:left="980" w:hanging="492"/>
        <w:spacing w:after="0"/>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are a late clinical-stage biopharmaceutical company with a limited operating history.</w:t>
      </w:r>
    </w:p>
    <w:p>
      <w:pPr>
        <w:spacing w:after="0" w:line="133" w:lineRule="exact"/>
        <w:rPr>
          <w:rFonts w:ascii="Arial" w:cs="Arial" w:eastAsia="Arial" w:hAnsi="Arial"/>
          <w:sz w:val="20"/>
          <w:szCs w:val="20"/>
          <w:color w:val="auto"/>
        </w:rPr>
      </w:pPr>
    </w:p>
    <w:p>
      <w:pPr>
        <w:ind w:left="980" w:hanging="492"/>
        <w:spacing w:after="0" w:line="282"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generate revenue and achieve profitability depends significantly on our ability to achieve a number of objectives.</w:t>
      </w:r>
    </w:p>
    <w:p>
      <w:pPr>
        <w:spacing w:after="0" w:line="52" w:lineRule="exact"/>
        <w:rPr>
          <w:rFonts w:ascii="Arial" w:cs="Arial" w:eastAsia="Arial" w:hAnsi="Arial"/>
          <w:sz w:val="20"/>
          <w:szCs w:val="20"/>
          <w:color w:val="auto"/>
        </w:rPr>
      </w:pPr>
    </w:p>
    <w:p>
      <w:pPr>
        <w:ind w:left="980" w:hanging="492"/>
        <w:spacing w:after="0"/>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development of fosgonimeton may never lead to a marketable drug product.</w:t>
      </w:r>
    </w:p>
    <w:p>
      <w:pPr>
        <w:spacing w:after="0" w:line="133" w:lineRule="exact"/>
        <w:rPr>
          <w:rFonts w:ascii="Arial" w:cs="Arial" w:eastAsia="Arial" w:hAnsi="Arial"/>
          <w:sz w:val="20"/>
          <w:szCs w:val="20"/>
          <w:color w:val="auto"/>
        </w:rPr>
      </w:pPr>
    </w:p>
    <w:p>
      <w:pPr>
        <w:jc w:val="both"/>
        <w:ind w:left="980" w:hanging="492"/>
        <w:spacing w:after="0" w:line="254"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approach to targeting neurotrophic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drug candidates.</w:t>
      </w:r>
    </w:p>
    <w:p>
      <w:pPr>
        <w:spacing w:after="0" w:line="80" w:lineRule="exact"/>
        <w:rPr>
          <w:rFonts w:ascii="Arial" w:cs="Arial" w:eastAsia="Arial" w:hAnsi="Arial"/>
          <w:sz w:val="20"/>
          <w:szCs w:val="20"/>
          <w:color w:val="auto"/>
        </w:rPr>
      </w:pPr>
    </w:p>
    <w:p>
      <w:pPr>
        <w:jc w:val="both"/>
        <w:ind w:left="980" w:hanging="492"/>
        <w:spacing w:after="0" w:line="261"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have concentrated our research and development efforts on the treatment of central and peripheral nervous system, or PNS, degenerative disorders, a field that has seen very limited success in product development.</w:t>
      </w:r>
    </w:p>
    <w:p>
      <w:pPr>
        <w:spacing w:after="0" w:line="72" w:lineRule="exact"/>
        <w:rPr>
          <w:rFonts w:ascii="Arial" w:cs="Arial" w:eastAsia="Arial" w:hAnsi="Arial"/>
          <w:sz w:val="20"/>
          <w:szCs w:val="20"/>
          <w:color w:val="auto"/>
        </w:rPr>
      </w:pPr>
    </w:p>
    <w:p>
      <w:pPr>
        <w:jc w:val="both"/>
        <w:ind w:left="980" w:hanging="492"/>
        <w:spacing w:after="0" w:line="244"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An independent special committee of our board of directors engaged in a review of papers co-authored by our former chief executive officer in connection with her doctoral research at Washington State University, or WSU. The special committee’s findings included that (1) our former chief executive officer altered images in her 2011 doctoral dissertation and at least four research papers that she co-authored while a graduate student at WSU, and published from 2011 to 2014, (2) that we cited challenged research papers in certain communications and applications, and (3) that WSU’s dihexa patent, exclusively licensed to us, incorporated certain of these altered images. WSU has undertaken a review of claims of potential research misconduct involving our former chief executive officer’s doctoral research at WSU. We cannot predict when WSU’s investigation will be completed or what conclusions WSU will reach.</w:t>
      </w:r>
    </w:p>
    <w:p>
      <w:pPr>
        <w:spacing w:after="0" w:line="95" w:lineRule="exact"/>
        <w:rPr>
          <w:rFonts w:ascii="Arial" w:cs="Arial" w:eastAsia="Arial" w:hAnsi="Arial"/>
          <w:sz w:val="20"/>
          <w:szCs w:val="20"/>
          <w:color w:val="auto"/>
        </w:rPr>
      </w:pPr>
    </w:p>
    <w:p>
      <w:pPr>
        <w:jc w:val="both"/>
        <w:ind w:left="980" w:hanging="492"/>
        <w:spacing w:after="0" w:line="254"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are and may in the future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spacing w:after="0" w:line="80" w:lineRule="exact"/>
        <w:rPr>
          <w:rFonts w:ascii="Arial" w:cs="Arial" w:eastAsia="Arial" w:hAnsi="Arial"/>
          <w:sz w:val="20"/>
          <w:szCs w:val="20"/>
          <w:color w:val="auto"/>
        </w:rPr>
      </w:pPr>
    </w:p>
    <w:p>
      <w:pPr>
        <w:jc w:val="both"/>
        <w:ind w:left="980" w:hanging="492"/>
        <w:spacing w:after="0" w:line="261"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72" w:lineRule="exact"/>
        <w:rPr>
          <w:rFonts w:ascii="Arial" w:cs="Arial" w:eastAsia="Arial" w:hAnsi="Arial"/>
          <w:sz w:val="20"/>
          <w:szCs w:val="20"/>
          <w:color w:val="auto"/>
        </w:rPr>
      </w:pPr>
    </w:p>
    <w:p>
      <w:pPr>
        <w:jc w:val="both"/>
        <w:ind w:left="980" w:hanging="492"/>
        <w:spacing w:after="0" w:line="248"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spacing w:after="0" w:line="87" w:lineRule="exact"/>
        <w:rPr>
          <w:rFonts w:ascii="Arial" w:cs="Arial" w:eastAsia="Arial" w:hAnsi="Arial"/>
          <w:sz w:val="20"/>
          <w:szCs w:val="20"/>
          <w:color w:val="auto"/>
        </w:rPr>
      </w:pPr>
    </w:p>
    <w:p>
      <w:pPr>
        <w:ind w:left="980" w:hanging="493"/>
        <w:spacing w:after="0" w:line="283"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success depends on our ability to protect our intellectual property and our proprietary technologies.</w:t>
      </w:r>
    </w:p>
    <w:p>
      <w:pPr>
        <w:spacing w:after="0" w:line="51" w:lineRule="exact"/>
        <w:rPr>
          <w:rFonts w:ascii="Arial" w:cs="Arial" w:eastAsia="Arial" w:hAnsi="Arial"/>
          <w:sz w:val="20"/>
          <w:szCs w:val="20"/>
          <w:color w:val="auto"/>
        </w:rPr>
      </w:pPr>
    </w:p>
    <w:p>
      <w:pPr>
        <w:jc w:val="both"/>
        <w:ind w:left="980" w:hanging="493"/>
        <w:spacing w:after="0" w:line="261"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If the scope of any patent protection we obtain is not sufficiently broad, or if we lose any of our patent protection, our ability to prevent our competitors from commercializing similar or identical drug candidates would be adversely affected.</w:t>
      </w:r>
    </w:p>
    <w:p>
      <w:pPr>
        <w:spacing w:after="0" w:line="72" w:lineRule="exact"/>
        <w:rPr>
          <w:rFonts w:ascii="Arial" w:cs="Arial" w:eastAsia="Arial" w:hAnsi="Arial"/>
          <w:sz w:val="20"/>
          <w:szCs w:val="20"/>
          <w:color w:val="auto"/>
        </w:rPr>
      </w:pPr>
    </w:p>
    <w:p>
      <w:pPr>
        <w:jc w:val="both"/>
        <w:ind w:left="980" w:hanging="493"/>
        <w:spacing w:after="0" w:line="261"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p>
    <w:p>
      <w:pPr>
        <w:spacing w:after="0" w:line="72" w:lineRule="exact"/>
        <w:rPr>
          <w:rFonts w:ascii="Arial" w:cs="Arial" w:eastAsia="Arial" w:hAnsi="Arial"/>
          <w:sz w:val="20"/>
          <w:szCs w:val="20"/>
          <w:color w:val="auto"/>
        </w:rPr>
      </w:pPr>
    </w:p>
    <w:p>
      <w:pPr>
        <w:jc w:val="both"/>
        <w:ind w:left="980" w:hanging="493"/>
        <w:spacing w:after="0" w:line="261"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may expend our limited resources to pursue a particular drug candidate or indication and fail to capitalize on drug candidates or indications that may be more profitable or for which there is a greater likelihood of success.</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880" w:h="15474" w:orient="portrait"/>
          <w:cols w:equalWidth="0" w:num="1">
            <w:col w:w="9360"/>
          </w:cols>
          <w:pgMar w:left="1240" w:top="1251" w:right="1274" w:bottom="0" w:gutter="0" w:footer="0" w:header="0"/>
          <w:type w:val="continuous"/>
        </w:sectPr>
      </w:pPr>
    </w:p>
    <w:bookmarkStart w:id="7" w:name="page8"/>
    <w:bookmarkEnd w:id="7"/>
    <w:p>
      <w:pPr>
        <w:ind w:left="980" w:hanging="492"/>
        <w:spacing w:after="0" w:line="283"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loss of any of our key personnel could significantly harm our business, results of operations and competitive position.</w:t>
      </w:r>
    </w:p>
    <w:p>
      <w:pPr>
        <w:spacing w:after="0" w:line="50" w:lineRule="exact"/>
        <w:rPr>
          <w:rFonts w:ascii="Arial" w:cs="Arial" w:eastAsia="Arial" w:hAnsi="Arial"/>
          <w:sz w:val="20"/>
          <w:szCs w:val="20"/>
          <w:color w:val="auto"/>
        </w:rPr>
      </w:pPr>
    </w:p>
    <w:p>
      <w:pPr>
        <w:ind w:left="980" w:hanging="492"/>
        <w:spacing w:after="0" w:line="283"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have incurred significant losses since our inception and anticipate that we will continue to incur significant losses for the foreseeable future.</w:t>
      </w:r>
    </w:p>
    <w:p>
      <w:pPr>
        <w:spacing w:after="0" w:line="51" w:lineRule="exact"/>
        <w:rPr>
          <w:rFonts w:ascii="Arial" w:cs="Arial" w:eastAsia="Arial" w:hAnsi="Arial"/>
          <w:sz w:val="20"/>
          <w:szCs w:val="20"/>
          <w:color w:val="auto"/>
        </w:rPr>
      </w:pPr>
    </w:p>
    <w:p>
      <w:pPr>
        <w:jc w:val="both"/>
        <w:ind w:left="980" w:hanging="492"/>
        <w:spacing w:after="0" w:line="272" w:lineRule="auto"/>
        <w:tabs>
          <w:tab w:leader="none" w:pos="980" w:val="left"/>
        </w:tabs>
        <w:numPr>
          <w:ilvl w:val="0"/>
          <w:numId w:val="4"/>
        </w:numPr>
        <w:rPr>
          <w:rFonts w:ascii="Arial" w:cs="Arial" w:eastAsia="Arial" w:hAnsi="Arial"/>
          <w:sz w:val="19"/>
          <w:szCs w:val="19"/>
          <w:color w:val="auto"/>
        </w:rPr>
      </w:pPr>
      <w:r>
        <w:rPr>
          <w:rFonts w:ascii="Arial" w:cs="Arial" w:eastAsia="Arial" w:hAnsi="Arial"/>
          <w:sz w:val="19"/>
          <w:szCs w:val="19"/>
          <w:color w:val="auto"/>
        </w:rPr>
        <w:t>We will require substantial additional funding to finance our operations, complete the development and commercialization of fosgonimeton, and develop and commercialize other and future drug candidates. If we are unable to raise this funding when needed, we may be forced to delay, reduce, or eliminate our drug product development programs or other operations.</w:t>
      </w:r>
    </w:p>
    <w:p>
      <w:pPr>
        <w:spacing w:after="0" w:line="63" w:lineRule="exact"/>
        <w:rPr>
          <w:rFonts w:ascii="Arial" w:cs="Arial" w:eastAsia="Arial" w:hAnsi="Arial"/>
          <w:sz w:val="19"/>
          <w:szCs w:val="19"/>
          <w:color w:val="auto"/>
        </w:rPr>
      </w:pPr>
    </w:p>
    <w:p>
      <w:pPr>
        <w:jc w:val="both"/>
        <w:ind w:left="980" w:hanging="492"/>
        <w:spacing w:after="0" w:line="248"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regulatory approval processes of the U.S. Food and Drug Administration, or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w:t>
      </w:r>
    </w:p>
    <w:p>
      <w:pPr>
        <w:spacing w:after="0" w:line="87" w:lineRule="exact"/>
        <w:rPr>
          <w:rFonts w:ascii="Arial" w:cs="Arial" w:eastAsia="Arial" w:hAnsi="Arial"/>
          <w:sz w:val="20"/>
          <w:szCs w:val="20"/>
          <w:color w:val="auto"/>
        </w:rPr>
      </w:pPr>
    </w:p>
    <w:p>
      <w:pPr>
        <w:jc w:val="both"/>
        <w:ind w:left="980" w:hanging="492"/>
        <w:spacing w:after="0" w:line="281" w:lineRule="auto"/>
        <w:tabs>
          <w:tab w:leader="none" w:pos="980" w:val="left"/>
        </w:tabs>
        <w:numPr>
          <w:ilvl w:val="0"/>
          <w:numId w:val="4"/>
        </w:numPr>
        <w:rPr>
          <w:rFonts w:ascii="Arial" w:cs="Arial" w:eastAsia="Arial" w:hAnsi="Arial"/>
          <w:sz w:val="19"/>
          <w:szCs w:val="19"/>
          <w:color w:val="auto"/>
        </w:rPr>
      </w:pPr>
      <w:r>
        <w:rPr>
          <w:rFonts w:ascii="Arial" w:cs="Arial" w:eastAsia="Arial" w:hAnsi="Arial"/>
          <w:sz w:val="19"/>
          <w:szCs w:val="19"/>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p>
    <w:p>
      <w:pPr>
        <w:spacing w:after="0" w:line="55" w:lineRule="exact"/>
        <w:rPr>
          <w:rFonts w:ascii="Arial" w:cs="Arial" w:eastAsia="Arial" w:hAnsi="Arial"/>
          <w:sz w:val="19"/>
          <w:szCs w:val="19"/>
          <w:color w:val="auto"/>
        </w:rPr>
      </w:pPr>
    </w:p>
    <w:p>
      <w:pPr>
        <w:jc w:val="both"/>
        <w:ind w:left="980" w:hanging="492"/>
        <w:spacing w:after="0" w:line="261"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Even if approved, our drug candidates may not achieve adequate market acceptance among physicians, patients, healthcare payors and others in the medical community necessary for commercial success.</w:t>
      </w:r>
    </w:p>
    <w:p>
      <w:pPr>
        <w:spacing w:after="0" w:line="72" w:lineRule="exact"/>
        <w:rPr>
          <w:rFonts w:ascii="Arial" w:cs="Arial" w:eastAsia="Arial" w:hAnsi="Arial"/>
          <w:sz w:val="20"/>
          <w:szCs w:val="20"/>
          <w:color w:val="auto"/>
        </w:rPr>
      </w:pPr>
    </w:p>
    <w:p>
      <w:pPr>
        <w:jc w:val="both"/>
        <w:ind w:left="980" w:hanging="492"/>
        <w:spacing w:after="0" w:line="262"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have never commercialized a drug candidate before and may lack the necessary expertise, personnel and resources to successfully commercialize any drug products on our own or together with suitable collaborators.</w:t>
      </w:r>
    </w:p>
    <w:p>
      <w:pPr>
        <w:spacing w:after="0" w:line="70" w:lineRule="exact"/>
        <w:rPr>
          <w:rFonts w:ascii="Arial" w:cs="Arial" w:eastAsia="Arial" w:hAnsi="Arial"/>
          <w:sz w:val="20"/>
          <w:szCs w:val="20"/>
          <w:color w:val="auto"/>
        </w:rPr>
      </w:pPr>
    </w:p>
    <w:p>
      <w:pPr>
        <w:jc w:val="both"/>
        <w:ind w:left="980" w:hanging="492"/>
        <w:spacing w:after="0" w:line="262"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If we experience delays or difficulties in the enrollment or retention of patients in clinical trials, our regulatory submissions or receipt of necessary marketing approvals could be delayed or prevented.</w:t>
      </w:r>
    </w:p>
    <w:p>
      <w:pPr>
        <w:spacing w:after="0" w:line="71" w:lineRule="exact"/>
        <w:rPr>
          <w:rFonts w:ascii="Arial" w:cs="Arial" w:eastAsia="Arial" w:hAnsi="Arial"/>
          <w:sz w:val="20"/>
          <w:szCs w:val="20"/>
          <w:color w:val="auto"/>
        </w:rPr>
      </w:pPr>
    </w:p>
    <w:p>
      <w:pPr>
        <w:jc w:val="both"/>
        <w:ind w:left="980" w:hanging="492"/>
        <w:spacing w:after="0" w:line="250"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p>
    <w:p>
      <w:pPr>
        <w:spacing w:after="0" w:line="85" w:lineRule="exact"/>
        <w:rPr>
          <w:rFonts w:ascii="Arial" w:cs="Arial" w:eastAsia="Arial" w:hAnsi="Arial"/>
          <w:sz w:val="20"/>
          <w:szCs w:val="20"/>
          <w:color w:val="auto"/>
        </w:rPr>
      </w:pPr>
    </w:p>
    <w:p>
      <w:pPr>
        <w:ind w:left="980" w:hanging="492"/>
        <w:spacing w:after="0" w:line="283"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market price of our common stock has been and may continue to be volatile, which could result in substantial losses for investors.</w:t>
      </w:r>
    </w:p>
    <w:p>
      <w:pPr>
        <w:spacing w:after="0" w:line="51" w:lineRule="exact"/>
        <w:rPr>
          <w:rFonts w:ascii="Arial" w:cs="Arial" w:eastAsia="Arial" w:hAnsi="Arial"/>
          <w:sz w:val="20"/>
          <w:szCs w:val="20"/>
          <w:color w:val="auto"/>
        </w:rPr>
      </w:pPr>
    </w:p>
    <w:p>
      <w:pPr>
        <w:jc w:val="both"/>
        <w:ind w:left="980" w:hanging="492"/>
        <w:spacing w:after="0" w:line="261"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and certain of our directors and executive officers have been, and may in the future be, named as defendants in lawsuits that could result in substantial costs and divert management’s attention.</w:t>
      </w:r>
    </w:p>
    <w:p>
      <w:pPr>
        <w:spacing w:after="0" w:line="72" w:lineRule="exact"/>
        <w:rPr>
          <w:rFonts w:ascii="Arial" w:cs="Arial" w:eastAsia="Arial" w:hAnsi="Arial"/>
          <w:sz w:val="20"/>
          <w:szCs w:val="20"/>
          <w:color w:val="auto"/>
        </w:rPr>
      </w:pPr>
    </w:p>
    <w:p>
      <w:pPr>
        <w:ind w:left="980" w:hanging="492"/>
        <w:spacing w:after="0" w:line="282"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Actions by activist stockholders have in the past been, and may in the future be, disruptive and could cause uncertainty about the strategic direction of our business.</w:t>
      </w:r>
    </w:p>
    <w:p>
      <w:pPr>
        <w:spacing w:after="0" w:line="199"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20"/>
          <w:szCs w:val="20"/>
          <w:color w:val="auto"/>
        </w:rPr>
        <w:t>Our Risk Factors are not guarantees that no such conditions exist as of the date of this report and should not be interpreted as an affirmative statement that such risks or conditions have not materialized, in whole or in part.</w:t>
      </w:r>
    </w:p>
    <w:p>
      <w:pPr>
        <w:sectPr>
          <w:pgSz w:w="11880" w:h="15474" w:orient="portrait"/>
          <w:cols w:equalWidth="0" w:num="1">
            <w:col w:w="9360"/>
          </w:cols>
          <w:pgMar w:left="1240" w:top="1268"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880" w:h="15474" w:orient="portrait"/>
          <w:cols w:equalWidth="0" w:num="1">
            <w:col w:w="9360"/>
          </w:cols>
          <w:pgMar w:left="1240" w:top="1268" w:right="1274" w:bottom="0" w:gutter="0" w:footer="0" w:header="0"/>
          <w:type w:val="continuous"/>
        </w:sectPr>
      </w:pPr>
    </w:p>
    <w:bookmarkStart w:id="8" w:name="page9"/>
    <w:bookmarkEnd w:id="8"/>
    <w:p>
      <w:pPr>
        <w:ind w:left="4360"/>
        <w:spacing w:after="0"/>
        <w:rPr>
          <w:sz w:val="20"/>
          <w:szCs w:val="20"/>
          <w:color w:val="auto"/>
        </w:rPr>
      </w:pPr>
      <w:r>
        <w:rPr>
          <w:rFonts w:ascii="Arial" w:cs="Arial" w:eastAsia="Arial" w:hAnsi="Arial"/>
          <w:sz w:val="20"/>
          <w:szCs w:val="20"/>
          <w:b w:val="1"/>
          <w:bCs w:val="1"/>
          <w:color w:val="auto"/>
        </w:rPr>
        <w:t>PART I</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 Note Regarding Forward-Looking Statements</w:t>
      </w:r>
    </w:p>
    <w:p>
      <w:pPr>
        <w:spacing w:after="0" w:line="125" w:lineRule="exact"/>
        <w:rPr>
          <w:sz w:val="20"/>
          <w:szCs w:val="20"/>
          <w:color w:val="auto"/>
        </w:rPr>
      </w:pPr>
    </w:p>
    <w:p>
      <w:pPr>
        <w:jc w:val="both"/>
        <w:ind w:firstLine="489"/>
        <w:spacing w:after="0" w:line="247" w:lineRule="auto"/>
        <w:rPr>
          <w:sz w:val="20"/>
          <w:szCs w:val="20"/>
          <w:color w:val="auto"/>
        </w:rPr>
      </w:pPr>
      <w:r>
        <w:rPr>
          <w:rFonts w:ascii="Arial" w:cs="Arial" w:eastAsia="Arial" w:hAnsi="Arial"/>
          <w:sz w:val="20"/>
          <w:szCs w:val="20"/>
          <w:color w:val="auto"/>
        </w:rPr>
        <w:t>This Annual Report on Form 10-K contains forward-looking statements that are based on our management’s beliefs and assumptions and on information currently available to our management. This section should be read in conjunction with our audited consolidated financial statements and related notes included in Part II, Item 8 of this report.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w:t>
      </w:r>
    </w:p>
    <w:p>
      <w:pPr>
        <w:spacing w:after="0" w:line="194"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In some cases, you can identify forward-looking statements by the following words: “anticipate,” “believe,” “continue,” “could,” “estimate,” “expect,” “intend,” “may,” “ongoing,” “plan,” "possible,"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spacing w:after="0" w:line="91" w:lineRule="exact"/>
        <w:rPr>
          <w:sz w:val="20"/>
          <w:szCs w:val="20"/>
          <w:color w:val="auto"/>
        </w:rPr>
      </w:pPr>
    </w:p>
    <w:p>
      <w:pPr>
        <w:ind w:left="980" w:hanging="492"/>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financial performance;</w:t>
      </w:r>
    </w:p>
    <w:p>
      <w:pPr>
        <w:spacing w:after="0" w:line="132" w:lineRule="exact"/>
        <w:rPr>
          <w:rFonts w:ascii="Arial" w:cs="Arial" w:eastAsia="Arial" w:hAnsi="Arial"/>
          <w:sz w:val="20"/>
          <w:szCs w:val="20"/>
          <w:color w:val="auto"/>
        </w:rPr>
      </w:pPr>
    </w:p>
    <w:p>
      <w:pPr>
        <w:ind w:left="980" w:hanging="492"/>
        <w:spacing w:after="0" w:line="283"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sufficiency of our existing cash, cash equivalents and investments to fund our future operating expenses and capital expenditure requirements;</w:t>
      </w:r>
    </w:p>
    <w:p>
      <w:pPr>
        <w:spacing w:after="0" w:line="51" w:lineRule="exact"/>
        <w:rPr>
          <w:rFonts w:ascii="Arial" w:cs="Arial" w:eastAsia="Arial" w:hAnsi="Arial"/>
          <w:sz w:val="20"/>
          <w:szCs w:val="20"/>
          <w:color w:val="auto"/>
        </w:rPr>
      </w:pPr>
    </w:p>
    <w:p>
      <w:pPr>
        <w:ind w:left="980" w:hanging="492"/>
        <w:spacing w:after="0" w:line="283"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ability to obtain funding for our operations, including funding necessary to develop and commercialize our drug candidates;</w:t>
      </w:r>
    </w:p>
    <w:p>
      <w:pPr>
        <w:spacing w:after="0" w:line="51" w:lineRule="exact"/>
        <w:rPr>
          <w:rFonts w:ascii="Arial" w:cs="Arial" w:eastAsia="Arial" w:hAnsi="Arial"/>
          <w:sz w:val="20"/>
          <w:szCs w:val="20"/>
          <w:color w:val="auto"/>
        </w:rPr>
      </w:pPr>
    </w:p>
    <w:p>
      <w:pPr>
        <w:ind w:left="980" w:hanging="492"/>
        <w:spacing w:after="0" w:line="282"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ability of our nonclinical studies and clinical trials to demonstrate safety and efficacy of our drug candidates;</w:t>
      </w:r>
    </w:p>
    <w:p>
      <w:pPr>
        <w:spacing w:after="0" w:line="52" w:lineRule="exact"/>
        <w:rPr>
          <w:rFonts w:ascii="Arial" w:cs="Arial" w:eastAsia="Arial" w:hAnsi="Arial"/>
          <w:sz w:val="20"/>
          <w:szCs w:val="20"/>
          <w:color w:val="auto"/>
        </w:rPr>
      </w:pPr>
    </w:p>
    <w:p>
      <w:pPr>
        <w:ind w:left="980" w:hanging="492"/>
        <w:spacing w:after="0"/>
        <w:tabs>
          <w:tab w:leader="none" w:pos="98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success, cost and timing of our development activities, nonclinical studies and clinical trials;</w:t>
      </w:r>
    </w:p>
    <w:p>
      <w:pPr>
        <w:spacing w:after="0" w:line="145" w:lineRule="exact"/>
        <w:rPr>
          <w:rFonts w:ascii="Arial" w:cs="Arial" w:eastAsia="Arial" w:hAnsi="Arial"/>
          <w:sz w:val="19"/>
          <w:szCs w:val="19"/>
          <w:color w:val="auto"/>
        </w:rPr>
      </w:pPr>
    </w:p>
    <w:p>
      <w:pPr>
        <w:ind w:left="980" w:hanging="492"/>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rate and degree of market acceptance of our drug candidates;</w:t>
      </w:r>
    </w:p>
    <w:p>
      <w:pPr>
        <w:spacing w:after="0" w:line="133" w:lineRule="exact"/>
        <w:rPr>
          <w:rFonts w:ascii="Arial" w:cs="Arial" w:eastAsia="Arial" w:hAnsi="Arial"/>
          <w:sz w:val="20"/>
          <w:szCs w:val="20"/>
          <w:color w:val="auto"/>
        </w:rPr>
      </w:pPr>
    </w:p>
    <w:p>
      <w:pPr>
        <w:ind w:left="980" w:hanging="492"/>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timing or likelihood of regulatory filings and approvals;</w:t>
      </w:r>
    </w:p>
    <w:p>
      <w:pPr>
        <w:spacing w:after="0" w:line="133" w:lineRule="exact"/>
        <w:rPr>
          <w:rFonts w:ascii="Arial" w:cs="Arial" w:eastAsia="Arial" w:hAnsi="Arial"/>
          <w:sz w:val="20"/>
          <w:szCs w:val="20"/>
          <w:color w:val="auto"/>
        </w:rPr>
      </w:pPr>
    </w:p>
    <w:p>
      <w:pPr>
        <w:jc w:val="both"/>
        <w:ind w:left="980" w:hanging="492"/>
        <w:spacing w:after="0" w:line="261"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potential learnings from our ACT-AD and SHAPE trials and LIFT-AD independent unblinded interim efficacy and futility analysis and their ability to inform and improve future clinical development plans;</w:t>
      </w:r>
    </w:p>
    <w:p>
      <w:pPr>
        <w:spacing w:after="0" w:line="72" w:lineRule="exact"/>
        <w:rPr>
          <w:rFonts w:ascii="Arial" w:cs="Arial" w:eastAsia="Arial" w:hAnsi="Arial"/>
          <w:sz w:val="20"/>
          <w:szCs w:val="20"/>
          <w:color w:val="auto"/>
        </w:rPr>
      </w:pPr>
    </w:p>
    <w:p>
      <w:pPr>
        <w:ind w:left="980" w:hanging="493"/>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potential of LIFT-AD to show clinical benefits of fosgonimeton;</w:t>
      </w:r>
    </w:p>
    <w:p>
      <w:pPr>
        <w:spacing w:after="0" w:line="133" w:lineRule="exact"/>
        <w:rPr>
          <w:rFonts w:ascii="Arial" w:cs="Arial" w:eastAsia="Arial" w:hAnsi="Arial"/>
          <w:sz w:val="20"/>
          <w:szCs w:val="20"/>
          <w:color w:val="auto"/>
        </w:rPr>
      </w:pPr>
    </w:p>
    <w:p>
      <w:pPr>
        <w:ind w:left="980" w:hanging="493"/>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timing and focus of our future clinical trials, and the reporting of data from those trials;</w:t>
      </w:r>
    </w:p>
    <w:p>
      <w:pPr>
        <w:spacing w:after="0" w:line="133" w:lineRule="exact"/>
        <w:rPr>
          <w:rFonts w:ascii="Arial" w:cs="Arial" w:eastAsia="Arial" w:hAnsi="Arial"/>
          <w:sz w:val="20"/>
          <w:szCs w:val="20"/>
          <w:color w:val="auto"/>
        </w:rPr>
      </w:pPr>
    </w:p>
    <w:p>
      <w:pPr>
        <w:ind w:left="980" w:hanging="493"/>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plans relating to commercializing our drug candidates, if approved;</w:t>
      </w:r>
    </w:p>
    <w:p>
      <w:pPr>
        <w:spacing w:after="0" w:line="133" w:lineRule="exact"/>
        <w:rPr>
          <w:rFonts w:ascii="Arial" w:cs="Arial" w:eastAsia="Arial" w:hAnsi="Arial"/>
          <w:sz w:val="20"/>
          <w:szCs w:val="20"/>
          <w:color w:val="auto"/>
        </w:rPr>
      </w:pPr>
    </w:p>
    <w:p>
      <w:pPr>
        <w:ind w:left="980" w:hanging="493"/>
        <w:spacing w:after="0" w:line="282"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plans and ability to establish sales, marketing and distribution infrastructure to commercialize any drug candidates for which we obtain approval;</w:t>
      </w:r>
    </w:p>
    <w:p>
      <w:pPr>
        <w:spacing w:after="0" w:line="52" w:lineRule="exact"/>
        <w:rPr>
          <w:rFonts w:ascii="Arial" w:cs="Arial" w:eastAsia="Arial" w:hAnsi="Arial"/>
          <w:sz w:val="20"/>
          <w:szCs w:val="20"/>
          <w:color w:val="auto"/>
        </w:rPr>
      </w:pPr>
    </w:p>
    <w:p>
      <w:pPr>
        <w:ind w:left="980" w:hanging="493"/>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ability to attract and retain key managerial, scientific and clinical personnel;</w:t>
      </w:r>
    </w:p>
    <w:p>
      <w:pPr>
        <w:spacing w:after="0" w:line="133" w:lineRule="exact"/>
        <w:rPr>
          <w:rFonts w:ascii="Arial" w:cs="Arial" w:eastAsia="Arial" w:hAnsi="Arial"/>
          <w:sz w:val="20"/>
          <w:szCs w:val="20"/>
          <w:color w:val="auto"/>
        </w:rPr>
      </w:pPr>
    </w:p>
    <w:p>
      <w:pPr>
        <w:ind w:left="980" w:hanging="493"/>
        <w:spacing w:after="0" w:line="283"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ability to contract with third-party suppliers and manufacturers and their ability to perform adequately;</w:t>
      </w:r>
    </w:p>
    <w:p>
      <w:pPr>
        <w:spacing w:after="0" w:line="50" w:lineRule="exact"/>
        <w:rPr>
          <w:rFonts w:ascii="Arial" w:cs="Arial" w:eastAsia="Arial" w:hAnsi="Arial"/>
          <w:sz w:val="20"/>
          <w:szCs w:val="20"/>
          <w:color w:val="auto"/>
        </w:rPr>
      </w:pPr>
    </w:p>
    <w:p>
      <w:pPr>
        <w:ind w:left="980" w:hanging="493"/>
        <w:spacing w:after="0" w:line="283"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accuracy of our estimates regarding expenses, future revenue, capital requirements and needs for additional financing;</w:t>
      </w:r>
    </w:p>
    <w:p>
      <w:pPr>
        <w:spacing w:after="0" w:line="51" w:lineRule="exact"/>
        <w:rPr>
          <w:rFonts w:ascii="Arial" w:cs="Arial" w:eastAsia="Arial" w:hAnsi="Arial"/>
          <w:sz w:val="20"/>
          <w:szCs w:val="20"/>
          <w:color w:val="auto"/>
        </w:rPr>
      </w:pPr>
    </w:p>
    <w:p>
      <w:pPr>
        <w:ind w:left="980" w:hanging="493"/>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pricing and reimbursement of our drug candidates, if approved;</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880" w:h="15474" w:orient="portrait"/>
          <w:cols w:equalWidth="0" w:num="1">
            <w:col w:w="9360"/>
          </w:cols>
          <w:pgMar w:left="1240" w:top="1251" w:right="1274" w:bottom="0" w:gutter="0" w:footer="0" w:header="0"/>
          <w:type w:val="continuous"/>
        </w:sectPr>
      </w:pPr>
    </w:p>
    <w:bookmarkStart w:id="9" w:name="page10"/>
    <w:bookmarkEnd w:id="9"/>
    <w:p>
      <w:pPr>
        <w:ind w:left="980" w:hanging="492"/>
        <w:spacing w:after="0" w:line="283"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reliance on third parties to conduct clinical trials of our drug candidates, and for the manufacture of our drug candidates for nonclinical studies and clinical trials;</w:t>
      </w:r>
    </w:p>
    <w:p>
      <w:pPr>
        <w:spacing w:after="0" w:line="50" w:lineRule="exact"/>
        <w:rPr>
          <w:rFonts w:ascii="Arial" w:cs="Arial" w:eastAsia="Arial" w:hAnsi="Arial"/>
          <w:sz w:val="20"/>
          <w:szCs w:val="20"/>
          <w:color w:val="auto"/>
        </w:rPr>
      </w:pPr>
    </w:p>
    <w:p>
      <w:pPr>
        <w:ind w:left="980" w:hanging="492"/>
        <w:spacing w:after="0"/>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success of competing therapies that are or may become available;</w:t>
      </w:r>
    </w:p>
    <w:p>
      <w:pPr>
        <w:spacing w:after="0" w:line="133" w:lineRule="exact"/>
        <w:rPr>
          <w:rFonts w:ascii="Arial" w:cs="Arial" w:eastAsia="Arial" w:hAnsi="Arial"/>
          <w:sz w:val="20"/>
          <w:szCs w:val="20"/>
          <w:color w:val="auto"/>
        </w:rPr>
      </w:pPr>
    </w:p>
    <w:p>
      <w:pPr>
        <w:ind w:left="980" w:hanging="492"/>
        <w:spacing w:after="0"/>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beneficial characteristics, safety and efficacy of our drug candidates;</w:t>
      </w:r>
    </w:p>
    <w:p>
      <w:pPr>
        <w:spacing w:after="0" w:line="133" w:lineRule="exact"/>
        <w:rPr>
          <w:rFonts w:ascii="Arial" w:cs="Arial" w:eastAsia="Arial" w:hAnsi="Arial"/>
          <w:sz w:val="20"/>
          <w:szCs w:val="20"/>
          <w:color w:val="auto"/>
        </w:rPr>
      </w:pPr>
    </w:p>
    <w:p>
      <w:pPr>
        <w:ind w:left="980" w:hanging="492"/>
        <w:spacing w:after="0"/>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regulatory developments in the United States and other jurisdictions;</w:t>
      </w:r>
    </w:p>
    <w:p>
      <w:pPr>
        <w:spacing w:after="0" w:line="133" w:lineRule="exact"/>
        <w:rPr>
          <w:rFonts w:ascii="Arial" w:cs="Arial" w:eastAsia="Arial" w:hAnsi="Arial"/>
          <w:sz w:val="20"/>
          <w:szCs w:val="20"/>
          <w:color w:val="auto"/>
        </w:rPr>
      </w:pPr>
    </w:p>
    <w:p>
      <w:pPr>
        <w:jc w:val="both"/>
        <w:ind w:left="980" w:hanging="492"/>
        <w:spacing w:after="0" w:line="261"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ability to obtain and maintain regulatory approval of our drug candidates in the United States and other jurisdictions, and any related restrictions, limitations or warnings in the label of any approved drug candidate;</w:t>
      </w:r>
    </w:p>
    <w:p>
      <w:pPr>
        <w:spacing w:after="0" w:line="72" w:lineRule="exact"/>
        <w:rPr>
          <w:rFonts w:ascii="Arial" w:cs="Arial" w:eastAsia="Arial" w:hAnsi="Arial"/>
          <w:sz w:val="20"/>
          <w:szCs w:val="20"/>
          <w:color w:val="auto"/>
        </w:rPr>
      </w:pPr>
    </w:p>
    <w:p>
      <w:pPr>
        <w:ind w:left="980" w:hanging="492"/>
        <w:spacing w:after="0" w:line="283"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future agreements with third parties in connection with the commercialization of our drug candidates;</w:t>
      </w:r>
    </w:p>
    <w:p>
      <w:pPr>
        <w:spacing w:after="0" w:line="51" w:lineRule="exact"/>
        <w:rPr>
          <w:rFonts w:ascii="Arial" w:cs="Arial" w:eastAsia="Arial" w:hAnsi="Arial"/>
          <w:sz w:val="20"/>
          <w:szCs w:val="20"/>
          <w:color w:val="auto"/>
        </w:rPr>
      </w:pPr>
    </w:p>
    <w:p>
      <w:pPr>
        <w:jc w:val="both"/>
        <w:ind w:left="980" w:hanging="492"/>
        <w:spacing w:after="0" w:line="282"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plans, capacity and capability relating to the further development and manufacturing of our drug candidates, including additional indications for which we may pursue regulatory approval;</w:t>
      </w:r>
    </w:p>
    <w:p>
      <w:pPr>
        <w:spacing w:after="0" w:line="52" w:lineRule="exact"/>
        <w:rPr>
          <w:rFonts w:ascii="Arial" w:cs="Arial" w:eastAsia="Arial" w:hAnsi="Arial"/>
          <w:sz w:val="20"/>
          <w:szCs w:val="20"/>
          <w:color w:val="auto"/>
        </w:rPr>
      </w:pPr>
    </w:p>
    <w:p>
      <w:pPr>
        <w:ind w:left="980" w:hanging="492"/>
        <w:spacing w:after="0" w:line="283"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plans and ability to obtain or protect intellectual property rights, including extensions of existing patent terms where available;</w:t>
      </w:r>
    </w:p>
    <w:p>
      <w:pPr>
        <w:spacing w:after="0" w:line="51" w:lineRule="exact"/>
        <w:rPr>
          <w:rFonts w:ascii="Arial" w:cs="Arial" w:eastAsia="Arial" w:hAnsi="Arial"/>
          <w:sz w:val="20"/>
          <w:szCs w:val="20"/>
          <w:color w:val="auto"/>
        </w:rPr>
      </w:pPr>
    </w:p>
    <w:p>
      <w:pPr>
        <w:ind w:left="980" w:hanging="492"/>
        <w:spacing w:after="0" w:line="282"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scope of protection we are able to establish and maintain for intellectual property rights covering our drug candidates and technology;</w:t>
      </w:r>
    </w:p>
    <w:p>
      <w:pPr>
        <w:spacing w:after="0" w:line="52" w:lineRule="exact"/>
        <w:rPr>
          <w:rFonts w:ascii="Arial" w:cs="Arial" w:eastAsia="Arial" w:hAnsi="Arial"/>
          <w:sz w:val="20"/>
          <w:szCs w:val="20"/>
          <w:color w:val="auto"/>
        </w:rPr>
      </w:pPr>
    </w:p>
    <w:p>
      <w:pPr>
        <w:jc w:val="both"/>
        <w:ind w:left="980" w:hanging="492"/>
        <w:spacing w:after="0" w:line="262"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outcome of legal proceedings which have been or may in the future be instituted against us and certain of our directors and officers, including the legal proceedings discussed in Part I, Item 3 — "Legal Proceedings,” and elsewhere in this report;</w:t>
      </w:r>
    </w:p>
    <w:p>
      <w:pPr>
        <w:spacing w:after="0" w:line="71" w:lineRule="exact"/>
        <w:rPr>
          <w:rFonts w:ascii="Arial" w:cs="Arial" w:eastAsia="Arial" w:hAnsi="Arial"/>
          <w:sz w:val="20"/>
          <w:szCs w:val="20"/>
          <w:color w:val="auto"/>
        </w:rPr>
      </w:pPr>
    </w:p>
    <w:p>
      <w:pPr>
        <w:ind w:left="980" w:hanging="492"/>
        <w:spacing w:after="0" w:line="282"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actions by activist stockholders, which have in the past been, and may in the future be, disruptive and could cause uncertainty about the strategic direction of our business;</w:t>
      </w:r>
    </w:p>
    <w:p>
      <w:pPr>
        <w:spacing w:after="0" w:line="52" w:lineRule="exact"/>
        <w:rPr>
          <w:rFonts w:ascii="Arial" w:cs="Arial" w:eastAsia="Arial" w:hAnsi="Arial"/>
          <w:sz w:val="20"/>
          <w:szCs w:val="20"/>
          <w:color w:val="auto"/>
        </w:rPr>
      </w:pPr>
    </w:p>
    <w:p>
      <w:pPr>
        <w:ind w:left="980" w:hanging="492"/>
        <w:spacing w:after="0" w:line="283"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size and growth potential of the markets for our drug candidates, if approved for commercial use, and our ability to serve those markets;</w:t>
      </w:r>
    </w:p>
    <w:p>
      <w:pPr>
        <w:spacing w:after="0" w:line="51" w:lineRule="exact"/>
        <w:rPr>
          <w:rFonts w:ascii="Arial" w:cs="Arial" w:eastAsia="Arial" w:hAnsi="Arial"/>
          <w:sz w:val="20"/>
          <w:szCs w:val="20"/>
          <w:color w:val="auto"/>
        </w:rPr>
      </w:pPr>
    </w:p>
    <w:p>
      <w:pPr>
        <w:ind w:left="980" w:hanging="492"/>
        <w:spacing w:after="0"/>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potential benefits of any strategic collaboration agreements we may enter into; and</w:t>
      </w:r>
    </w:p>
    <w:p>
      <w:pPr>
        <w:spacing w:after="0" w:line="132" w:lineRule="exact"/>
        <w:rPr>
          <w:rFonts w:ascii="Arial" w:cs="Arial" w:eastAsia="Arial" w:hAnsi="Arial"/>
          <w:sz w:val="20"/>
          <w:szCs w:val="20"/>
          <w:color w:val="auto"/>
        </w:rPr>
      </w:pPr>
    </w:p>
    <w:p>
      <w:pPr>
        <w:ind w:left="980" w:hanging="492"/>
        <w:spacing w:after="0" w:line="283"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expectations regarding the time during which we will be an emerging growth company under the JOBS Act.</w:t>
      </w:r>
    </w:p>
    <w:p>
      <w:pPr>
        <w:spacing w:after="0" w:line="159"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 Item 1A — “Risk Factors,” and elsewhere in this report. These statements, like all statements in this report, speak only 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spacing w:after="0" w:line="194"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194"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This report includes our trademarks and registered trademarks, including Athira, Athira Pharma, the Athira logo, and other trademarks, trade names, or service marks of Athira. Each other trademark, trade name or service mark appearing in this report belongs to its holder. Solely for convenience, trademarks, trade names, and service marks referred to in this report are listed without ® or TM symbols, but we will</w:t>
      </w:r>
    </w:p>
    <w:p>
      <w:pPr>
        <w:sectPr>
          <w:pgSz w:w="11880" w:h="15474" w:orient="portrait"/>
          <w:cols w:equalWidth="0" w:num="1">
            <w:col w:w="9360"/>
          </w:cols>
          <w:pgMar w:left="1240" w:top="1268"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880" w:h="15474" w:orient="portrait"/>
          <w:cols w:equalWidth="0" w:num="1">
            <w:col w:w="9360"/>
          </w:cols>
          <w:pgMar w:left="1240" w:top="1268" w:right="1274" w:bottom="0" w:gutter="0" w:footer="0" w:header="0"/>
          <w:type w:val="continuous"/>
        </w:sectPr>
      </w:pPr>
    </w:p>
    <w:bookmarkStart w:id="10" w:name="page11"/>
    <w:bookmarkEnd w:id="10"/>
    <w:p>
      <w:pPr>
        <w:jc w:val="both"/>
        <w:spacing w:after="0" w:line="282" w:lineRule="auto"/>
        <w:rPr>
          <w:sz w:val="20"/>
          <w:szCs w:val="20"/>
          <w:color w:val="auto"/>
        </w:rPr>
      </w:pPr>
      <w:r>
        <w:rPr>
          <w:rFonts w:ascii="Arial" w:cs="Arial" w:eastAsia="Arial" w:hAnsi="Arial"/>
          <w:sz w:val="20"/>
          <w:szCs w:val="20"/>
          <w:color w:val="auto"/>
        </w:rPr>
        <w:t>assert, to the fullest extent under applicable law, our or the rights of the applicable licensors to these trademarks, trade names, and service marks.</w:t>
      </w:r>
    </w:p>
    <w:p>
      <w:pPr>
        <w:spacing w:after="0" w:line="159"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color w:val="auto"/>
        </w:rPr>
        <w:t>In this report, “we,” “our,” “us,” “Athira,” and “the Company” refer to Athira Pharma, Inc. and its wholly-owned subsidiary.</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24" w:lineRule="exact"/>
        <w:rPr>
          <w:sz w:val="20"/>
          <w:szCs w:val="20"/>
          <w:color w:val="auto"/>
        </w:rPr>
      </w:pPr>
    </w:p>
    <w:p>
      <w:pPr>
        <w:jc w:val="both"/>
        <w:ind w:firstLine="489"/>
        <w:spacing w:after="0" w:line="250" w:lineRule="auto"/>
        <w:rPr>
          <w:sz w:val="20"/>
          <w:szCs w:val="20"/>
          <w:color w:val="auto"/>
        </w:rPr>
      </w:pPr>
      <w:r>
        <w:rPr>
          <w:rFonts w:ascii="Arial" w:cs="Arial" w:eastAsia="Arial" w:hAnsi="Arial"/>
          <w:sz w:val="20"/>
          <w:szCs w:val="20"/>
          <w:color w:val="auto"/>
        </w:rPr>
        <w:t>At Athira, our scientific philosophy is rooted in the need for a healthy neuronal network to help build, restore, and maintain connections. Loss of neuronal network connections can be an underlying cause for numerous neurological diseases, which in turn may result in the loss of personal connections for people afflicted by these diseases. Our mission is to restore these neuronal networks and, in turn, personal connections by advancing bold therapies for neuronal health, thoughtfully and urgently.</w:t>
      </w:r>
    </w:p>
    <w:p>
      <w:pPr>
        <w:spacing w:after="0" w:line="192"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We are a late clinical-stage biopharmaceutical company focused on developing small molecules engineered to restore neuronal health and slow neurodegeneration. Our approach is designed to modulate the neurotrophic hepatocyte growth factor, or HGF, system, that is critical to normal brain function and may play a key role in maintaining the health and functioning of neuronal networks. We believe that by acting on the neurotrophic HGF system and its multiple downstream signaling pathways, we may be able to enhance the body’s natural ability to protect and repair neuronal networks by reducing inflammation, promoting regeneration, and reducing disease-specific protein pathologies, thereby positively impacting the course of disease. We aim to achieve these goals by advancing our pipeline of novel small molecule compounds which are designed to and have exhibited properties in enhancing the neurotrophic HGF system in either the central nervous system, or CNS, by crossing the blood brain barrier, or BBB, or the PNS.</w:t>
      </w:r>
    </w:p>
    <w:p>
      <w:pPr>
        <w:spacing w:after="0" w:line="198" w:lineRule="exact"/>
        <w:rPr>
          <w:sz w:val="20"/>
          <w:szCs w:val="20"/>
          <w:color w:val="auto"/>
        </w:rPr>
      </w:pPr>
    </w:p>
    <w:p>
      <w:pPr>
        <w:jc w:val="both"/>
        <w:ind w:firstLine="489"/>
        <w:spacing w:after="0" w:line="247" w:lineRule="auto"/>
        <w:rPr>
          <w:sz w:val="20"/>
          <w:szCs w:val="20"/>
          <w:color w:val="auto"/>
        </w:rPr>
      </w:pPr>
      <w:r>
        <w:rPr>
          <w:rFonts w:ascii="Arial" w:cs="Arial" w:eastAsia="Arial" w:hAnsi="Arial"/>
          <w:sz w:val="20"/>
          <w:szCs w:val="20"/>
          <w:color w:val="auto"/>
        </w:rPr>
        <w:t>Over time, the body’s innate ability to heal itself deteriorates due to a variety of factors associated with the normal aging process and other internal and external factors leading to various injuries and insults at the cellular and molecular level. In the case of neurodegenerative diseases, where neuronal networks may be damaged due to inflammation, oxidative stress, protein pathologies, excitotoxicity, or synaptic dysfunction, the neurotrophic HGF system function is often reduced, thereby limiting the body’s ability to protect and repair neurodegeneration. Hallmarks of neurodegeneration include neuronal damage, loss of network connectivity, loss of function and, ultimately, disease progression.</w:t>
      </w:r>
    </w:p>
    <w:p>
      <w:pPr>
        <w:spacing w:after="0" w:line="194"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Scientific evidence supporting the neurotrophic HGF system as a naturally occurring repair mechanism is backed by over 30 years of research, which includes establishing its multimodal mechanism of action and critical role to healthy nervous system functioning. HGF’s receptor, known as MET, is one of the most stably expressed genes in the adult human brain and is a signature of a healthy, viable nervous system. In Alzheimer’s disease, or AD, neuronal MET expression is reduced in the brains of patients by approximately 25% and 75% in the frontal cortex and hippocampus, respectively. And although evidence supports the HGF/MET signaling system as an attractive target with its multimodal mechanism of action for combating neurodegenerative diseases, it has proven a difficult drug target. There are approved and in-development gene therapy approaches to increase HGF expression beyond normal physiological levels, but these are limited primarily due to challenges with delivery. Athira has chosen a different approach. Athira’s novel approach is to positively modulate the neurotrophic HGF system through our proprietary small molecules.</w:t>
      </w:r>
    </w:p>
    <w:p>
      <w:pPr>
        <w:spacing w:after="0" w:line="205"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19"/>
          <w:szCs w:val="19"/>
          <w:color w:val="auto"/>
        </w:rPr>
        <w:t>We have developed and tested preclinically a series of novel small molecule drug candidates, of which three candidates are in, or nearing, clinical phase, that we believe show promising evidence in modulating the neurotrophic HGF system and producing potential multimodal downstream effects. Our pipeline consists of both BBB permeable and peripherally restricted drug candidates for CNS, PNS and other indications. Today, our most advanced drug candidate is fosgonimeton (formerly known as ATH-1017), which is currently being evaluated in a Phase 2/3 clinical trial for mild-to-moderate AD, and has recently completed an exploratory Phase 2 clinical trial for Parkinson’s disease dementia, or PDD, and dementia</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880" w:h="15474" w:orient="portrait"/>
          <w:cols w:equalWidth="0" w:num="1">
            <w:col w:w="9360"/>
          </w:cols>
          <w:pgMar w:left="1240" w:top="1255" w:right="1274" w:bottom="0" w:gutter="0" w:footer="0" w:header="0"/>
          <w:type w:val="continuous"/>
        </w:sectPr>
      </w:pPr>
    </w:p>
    <w:bookmarkStart w:id="11" w:name="page12"/>
    <w:bookmarkEnd w:id="11"/>
    <w:p>
      <w:pPr>
        <w:jc w:val="both"/>
        <w:spacing w:after="0" w:line="248" w:lineRule="auto"/>
        <w:rPr>
          <w:sz w:val="20"/>
          <w:szCs w:val="20"/>
          <w:color w:val="auto"/>
        </w:rPr>
      </w:pPr>
      <w:r>
        <w:rPr>
          <w:rFonts w:ascii="Arial" w:cs="Arial" w:eastAsia="Arial" w:hAnsi="Arial"/>
          <w:sz w:val="20"/>
          <w:szCs w:val="20"/>
          <w:color w:val="auto"/>
        </w:rPr>
        <w:t>with Lewy bodies, or DLB. We are also evaluating other drug candidates for the potential treatment of neuropathic pain, amyotrophic lateral sclerosis, or ALS, Parkinson’s disease, or PD, and other neurodegenerative diseases. For example, ATH-1020 completed a Phase 1 single ascending dose, or SAD, evaluation in healthy volunteers and is under consideration for further testing in neuropathic pain and/or neurodegenerative diseases and we expect to submit an Investigational New Drug, or IND, application for ATH-1105 in ALS and initiate a Phase 1 clinical trial in the first half of 2024.</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Our Pipeline</w:t>
      </w:r>
    </w:p>
    <w:p>
      <w:pPr>
        <w:spacing w:after="0" w:line="123" w:lineRule="exact"/>
        <w:rPr>
          <w:sz w:val="20"/>
          <w:szCs w:val="20"/>
          <w:color w:val="auto"/>
        </w:rPr>
      </w:pPr>
    </w:p>
    <w:p>
      <w:pPr>
        <w:jc w:val="both"/>
        <w:ind w:firstLine="489"/>
        <w:spacing w:after="0" w:line="264" w:lineRule="auto"/>
        <w:rPr>
          <w:sz w:val="20"/>
          <w:szCs w:val="20"/>
          <w:color w:val="auto"/>
        </w:rPr>
      </w:pPr>
      <w:r>
        <w:rPr>
          <w:rFonts w:ascii="Arial" w:cs="Arial" w:eastAsia="Arial" w:hAnsi="Arial"/>
          <w:sz w:val="19"/>
          <w:szCs w:val="19"/>
          <w:color w:val="auto"/>
        </w:rPr>
        <w:t>Figure 1 below illustrates the current development stage of our proprietary drug candidates and early discovery and development programs. Our pipeline consists of both BBB permeable and peripherally restricted drug candidates for CNS, PNS and other indications. In addition, we are exploring the use of our proprietary ATH compounds in additional indications in the CNS and PNS as we aim to improve neuronal health in multiple neurodegenerative diseases. Our drug discovery efforts are focused on designing and testing new early compounds to enhance the neurotrophic HGF system for a variety of clinical applications.</w:t>
      </w:r>
    </w:p>
    <w:p>
      <w:pPr>
        <w:spacing w:after="0" w:line="306" w:lineRule="exact"/>
        <w:rPr>
          <w:sz w:val="20"/>
          <w:szCs w:val="20"/>
          <w:color w:val="auto"/>
        </w:rPr>
      </w:pPr>
    </w:p>
    <w:p>
      <w:pPr>
        <w:ind w:left="480"/>
        <w:spacing w:after="0"/>
        <w:rPr>
          <w:sz w:val="20"/>
          <w:szCs w:val="20"/>
          <w:color w:val="auto"/>
        </w:rPr>
      </w:pPr>
      <w:r>
        <w:rPr>
          <w:rFonts w:ascii="Arial" w:cs="Arial" w:eastAsia="Arial" w:hAnsi="Arial"/>
          <w:sz w:val="20"/>
          <w:szCs w:val="20"/>
          <w:i w:val="1"/>
          <w:iCs w:val="1"/>
          <w:color w:val="auto"/>
        </w:rPr>
        <w:t>Figure 1. Summary of Our Preclinical and Clinical ATH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83185</wp:posOffset>
            </wp:positionV>
            <wp:extent cx="5866765" cy="2529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extLst>
                    </a:blip>
                    <a:srcRect/>
                    <a:stretch>
                      <a:fillRect/>
                    </a:stretch>
                  </pic:blipFill>
                  <pic:spPr bwMode="auto">
                    <a:xfrm>
                      <a:off x="0" y="0"/>
                      <a:ext cx="5866765"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Fosgonimeton (ATH-1017)</w:t>
      </w:r>
    </w:p>
    <w:p>
      <w:pPr>
        <w:spacing w:after="0" w:line="117"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Our lead drug candidate, fosgonimeton, is a potentially first-in-class small molecule designed to positively modulate the neurotrophic HGF system for potential treatment of CNS disorders.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Alzheimer’s Disease</w:t>
      </w:r>
    </w:p>
    <w:p>
      <w:pPr>
        <w:spacing w:after="0" w:line="112" w:lineRule="exact"/>
        <w:rPr>
          <w:sz w:val="20"/>
          <w:szCs w:val="20"/>
          <w:color w:val="auto"/>
        </w:rPr>
      </w:pPr>
    </w:p>
    <w:p>
      <w:pPr>
        <w:jc w:val="both"/>
        <w:ind w:firstLine="489"/>
        <w:spacing w:after="0" w:line="282" w:lineRule="auto"/>
        <w:rPr>
          <w:sz w:val="20"/>
          <w:szCs w:val="20"/>
          <w:color w:val="auto"/>
        </w:rPr>
      </w:pPr>
      <w:r>
        <w:rPr>
          <w:rFonts w:ascii="Arial" w:cs="Arial" w:eastAsia="Arial" w:hAnsi="Arial"/>
          <w:sz w:val="20"/>
          <w:szCs w:val="20"/>
          <w:color w:val="auto"/>
        </w:rPr>
        <w:t>The effects of fosgonimeton in its primary target indication, AD, are currently being evaluated in multiple clinical trials:</w:t>
      </w:r>
    </w:p>
    <w:p>
      <w:pPr>
        <w:spacing w:after="0" w:line="172" w:lineRule="exact"/>
        <w:rPr>
          <w:sz w:val="20"/>
          <w:szCs w:val="20"/>
          <w:color w:val="auto"/>
        </w:rPr>
      </w:pPr>
    </w:p>
    <w:p>
      <w:pPr>
        <w:jc w:val="both"/>
        <w:ind w:left="720" w:hanging="361"/>
        <w:spacing w:after="0" w:line="244"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 vitro studies in primary neuron cultures with fosgonimeton active metabolite, or fosgo-AM, showed enhanced synaptogenesis and neurite outgrowth, supporting the neurotrophic effects of positively modulating the neurotrophic HGF system. Treatment of primary neuron cultures with fosgo-AM prevented neuron death when exposed to several neurotoxic insults, supporting the neuroprotective effects of positively modulating the neurotrophic HGF system. In an animal model of cognitive deficit and dementia, treatment with fosgo-AM rescued this cognitive impairment. In a separate inflammation-induced animal model of cognitive impairment, fosgonimeton also reversed cognitive deficits. These study results were published in Neurotherapeutics in December 2022 and support the therapeutic potential of fosgonimeton to promote neuroprotective and anti-inflammatory effects and procognitive benefits in animal models of dementia.</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880" w:h="15474" w:orient="portrait"/>
          <w:cols w:equalWidth="0" w:num="1">
            <w:col w:w="9360"/>
          </w:cols>
          <w:pgMar w:left="1240" w:top="1255" w:right="1274" w:bottom="0" w:gutter="0" w:footer="0" w:header="0"/>
          <w:type w:val="continuous"/>
        </w:sectPr>
      </w:pPr>
    </w:p>
    <w:bookmarkStart w:id="12" w:name="page13"/>
    <w:bookmarkEnd w:id="12"/>
    <w:p>
      <w:pPr>
        <w:jc w:val="both"/>
        <w:ind w:left="520" w:hanging="360"/>
        <w:spacing w:after="0" w:line="244" w:lineRule="auto"/>
        <w:tabs>
          <w:tab w:leader="none" w:pos="520" w:val="left"/>
        </w:tabs>
        <w:numPr>
          <w:ilvl w:val="0"/>
          <w:numId w:val="8"/>
        </w:numPr>
        <w:rPr>
          <w:rFonts w:ascii="Arial" w:cs="Arial" w:eastAsia="Arial" w:hAnsi="Arial"/>
          <w:sz w:val="20"/>
          <w:szCs w:val="20"/>
          <w:color w:val="auto"/>
        </w:rPr>
      </w:pPr>
      <w:r>
        <w:rPr>
          <w:rFonts w:ascii="Arial" w:cs="Arial" w:eastAsia="Arial" w:hAnsi="Arial"/>
          <w:sz w:val="20"/>
          <w:szCs w:val="20"/>
          <w:color w:val="auto"/>
        </w:rPr>
        <w:t>Fosgonimeton was assessed in a Phase 1a/b clinical trial and was well tolerated in healthy young and elderly volunteers and AD subjects, without serious adverse events. This clinical trial recruited a total of 88 participants, including 11 with mild to moderate AD, who were randomly assigned to active and placebo groups. Findings from the Phase 1 trial provided safety data, as well as translational and supportive evidence of fosgonimeton crossing the BBB and improving brain network activity by significantly improved event-related potential, or ERP, P300 latency. P300 latency is a functional measure that is highly correlated with cognition; however, we have not yet established a connection between these ERP P300 latency results and improved cognition. Trial results were published in the Journal of Alzheimer’s Disease in April 2022, and helped inform the study design of our exploratory Phase 2 ACT-AD and Phase 2/3 LIFT-AD trials.</w:t>
      </w:r>
    </w:p>
    <w:p>
      <w:pPr>
        <w:spacing w:after="0" w:line="216" w:lineRule="exact"/>
        <w:rPr>
          <w:rFonts w:ascii="Arial" w:cs="Arial" w:eastAsia="Arial" w:hAnsi="Arial"/>
          <w:sz w:val="20"/>
          <w:szCs w:val="20"/>
          <w:color w:val="auto"/>
        </w:rPr>
      </w:pPr>
    </w:p>
    <w:p>
      <w:pPr>
        <w:jc w:val="both"/>
        <w:ind w:left="520" w:hanging="361"/>
        <w:spacing w:after="0" w:line="243" w:lineRule="auto"/>
        <w:tabs>
          <w:tab w:leader="none" w:pos="521" w:val="left"/>
        </w:tabs>
        <w:numPr>
          <w:ilvl w:val="0"/>
          <w:numId w:val="8"/>
        </w:numPr>
        <w:rPr>
          <w:rFonts w:ascii="Arial" w:cs="Arial" w:eastAsia="Arial" w:hAnsi="Arial"/>
          <w:sz w:val="20"/>
          <w:szCs w:val="20"/>
          <w:color w:val="auto"/>
        </w:rPr>
      </w:pPr>
      <w:r>
        <w:rPr>
          <w:rFonts w:ascii="Arial" w:cs="Arial" w:eastAsia="Arial" w:hAnsi="Arial"/>
          <w:sz w:val="20"/>
          <w:szCs w:val="20"/>
          <w:color w:val="auto"/>
        </w:rPr>
        <w:t>ACT-AD* was a randomized, double-blind, placebo-controlled, parallel-group 26-week exploratory Phase 2 clinical trial in mild-to-moderate AD, with ERP P300 latency as the primary endpoint. Initiated in November 2020, the trial was designed to better characterize the overall effects of fosgonimeton on working memory processing speed and cognitive measures and inform the Phase 2/3 LIFT-AD trial. Topline results for this exploratory Phase 2 ACT-AD trial were announced in June 2022, and the primary and all secondary endpoints were not met by protocoled analysis. However, a post hoc analysis of results from ACT-AD in a pre-specified subgroup suggested positive effects on measures of cognition, function and neurodegeneration in participants taking fosgonimeton alone without background acetylcholinesterase inhibitors, or AChEIs. Additionally, data from post hoc analysis of plasma biomarkers from participants on fosgonimeton without background AChEIs showed descriptive improvements (non-statistically significant) in markers of neuroinflammation and AD-specific protein pathologies when compared to placebo. Fosgonimeton was generally well tolerated in the ACT-AD study, with a favorable safety profile, and there were no treatment related serious adverse events or deaths observed.</w:t>
      </w:r>
    </w:p>
    <w:p>
      <w:pPr>
        <w:spacing w:after="0" w:line="213" w:lineRule="exact"/>
        <w:rPr>
          <w:rFonts w:ascii="Arial" w:cs="Arial" w:eastAsia="Arial" w:hAnsi="Arial"/>
          <w:sz w:val="20"/>
          <w:szCs w:val="20"/>
          <w:color w:val="auto"/>
        </w:rPr>
      </w:pPr>
    </w:p>
    <w:p>
      <w:pPr>
        <w:jc w:val="both"/>
        <w:ind w:left="520" w:hanging="362"/>
        <w:spacing w:after="0" w:line="254" w:lineRule="auto"/>
        <w:tabs>
          <w:tab w:leader="none" w:pos="522" w:val="left"/>
        </w:tabs>
        <w:numPr>
          <w:ilvl w:val="0"/>
          <w:numId w:val="8"/>
        </w:numPr>
        <w:rPr>
          <w:rFonts w:ascii="Arial" w:cs="Arial" w:eastAsia="Arial" w:hAnsi="Arial"/>
          <w:sz w:val="19"/>
          <w:szCs w:val="19"/>
          <w:color w:val="auto"/>
        </w:rPr>
      </w:pPr>
      <w:r>
        <w:rPr>
          <w:rFonts w:ascii="Arial" w:cs="Arial" w:eastAsia="Arial" w:hAnsi="Arial"/>
          <w:sz w:val="19"/>
          <w:szCs w:val="19"/>
          <w:color w:val="auto"/>
        </w:rPr>
        <w:t>LIFT-AD is a randomized, double-blind, placebo-controlled, parallel-group 26-week Phase 2/3 clinical trial with fosgonimeton for the treatment of mild-to-moderate AD. In September 2020, we began site initiation and patient screening for LIFT-AD. The primary endpoint for the Phase 2/3 LIFT-AD trial will be measured by the Global Statistical Test, or GST, which is a composite score that combines the scores from cognition (Alzheimer's Disease Assessment Scale-Cognitive Subscale, or ADAS-Cog11), and function (Alzheimer’s Disease Cooperative Study-Activities of Daily Living, or ADCS-ADL23). Guided by the results from the completed exploratory ACT-AD Phase 2 trial, in September 2022, we proactively amended LIFT-AD to focus on participants not on background AChEIs. In October 2022, we announced that following an unblinded interim efficacy and futility analysis, an independent data monitoring committee, or DMC, recommended continuation of the LIFT-AD trial. The committee also determined that, with the additional enrollment of fewer than 150 participants for a total enrollment of less than 300 participants without background AChEIs, the amended trial will be well powered for the primary endpoint given the preliminary effect size observed. In May 2023, we further amended LIFT-AD to focus on 40 mg dosing, which we have selected for further development and as the potential dose for regulatory approval of fosgonimeton in this indication. This selection was based on a review of the totality of the preclinical and clinical data, biomarker results, observations from the open label extension study and in consultation with independent regulatory and biostatistical consultants based on patients treated with 40 mg fosgonimeton without concomitant AChEIs. In January 2024 we announced the completion of enrollment with a total of approximately 315 patients randomized. We expect to report topline LIFT-AD results in the second half of 2024. In July 2023, we completed an end of Phase 2 meeting with the FDA to gain alignment on our plans for the continued clinical development of fosgonimeton as a treatment for mild-to-moderate AD. During this meeting we provided an update and discussed with the FDA the ongoing LIFT-AD trial, including use of the 40 mg dose, concomitant AChEIs use, biomarker analyses including neurofilament light chain, or NfL, and the statistical analysis plan, or SAP. The FDA noted the importance of showing effects on both cognition (ADAS-Cog11) and function (ADCS-ADL23) in the trial population. The FDA is open to ongoing dialogue with us regarding the LIFT-AD trial once completed as well as other aspects of our program to develop fosgonimeton as a potential treatment for mild-to-moderate AD.</w:t>
      </w:r>
    </w:p>
    <w:p>
      <w:pPr>
        <w:sectPr>
          <w:pgSz w:w="11880" w:h="15474" w:orient="portrait"/>
          <w:cols w:equalWidth="0" w:num="1">
            <w:col w:w="9160"/>
          </w:cols>
          <w:pgMar w:left="1440" w:top="1268"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7</w:t>
      </w:r>
    </w:p>
    <w:p>
      <w:pPr>
        <w:sectPr>
          <w:pgSz w:w="11880" w:h="15474" w:orient="portrait"/>
          <w:cols w:equalWidth="0" w:num="1">
            <w:col w:w="9160"/>
          </w:cols>
          <w:pgMar w:left="1440" w:top="1268" w:right="1274" w:bottom="0" w:gutter="0" w:footer="0" w:header="0"/>
          <w:type w:val="continuous"/>
        </w:sectPr>
      </w:pPr>
    </w:p>
    <w:bookmarkStart w:id="13" w:name="page14"/>
    <w:bookmarkEnd w:id="13"/>
    <w:p>
      <w:pPr>
        <w:jc w:val="both"/>
        <w:ind w:left="720" w:hanging="360"/>
        <w:spacing w:after="0" w:line="244" w:lineRule="auto"/>
        <w:tabs>
          <w:tab w:leader="none" w:pos="721"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July 2021, we announced that we are enrolling participants into a 26-week open-label extension trial*, or OLEX*, for our LIFT-AD and ACT-AD clinical trials, allowing us to collect up to a total of one year of safety data with fosgonimeton. In May 2022, we announced that we extended the 26-week OLEX for our LIFT-AD and ACT-AD clinical trials for an additional 12 months, enabling eligible participants who have completed either trial and elect to participate in the ongoing OLEX to receive up to 18 months of open-label treatment with fosgonimeton. In May 2023, we amended the OLEX to further extend the trial by an additional 12 months. Eligible participants who have completed the LIFT-AD or ACT-AD trials and elect to participate in the ongoing OLEX may now receive up to 30 months of open-label treatment, which allows us to collect up to 36 months total of long-term exposure data.</w:t>
      </w:r>
    </w:p>
    <w:p>
      <w:pPr>
        <w:spacing w:after="0" w:line="209" w:lineRule="exact"/>
        <w:rPr>
          <w:rFonts w:ascii="Arial" w:cs="Arial" w:eastAsia="Arial" w:hAnsi="Arial"/>
          <w:sz w:val="20"/>
          <w:szCs w:val="20"/>
          <w:color w:val="auto"/>
        </w:rPr>
      </w:pPr>
    </w:p>
    <w:p>
      <w:pPr>
        <w:jc w:val="both"/>
        <w:ind w:left="720"/>
        <w:spacing w:after="0" w:line="251" w:lineRule="auto"/>
        <w:rPr>
          <w:rFonts w:ascii="Arial" w:cs="Arial" w:eastAsia="Arial" w:hAnsi="Arial"/>
          <w:sz w:val="20"/>
          <w:szCs w:val="20"/>
          <w:color w:val="auto"/>
        </w:rPr>
      </w:pPr>
      <w:r>
        <w:rPr>
          <w:rFonts w:ascii="Arial" w:cs="Arial" w:eastAsia="Arial" w:hAnsi="Arial"/>
          <w:sz w:val="20"/>
          <w:szCs w:val="20"/>
          <w:i w:val="1"/>
          <w:iCs w:val="1"/>
          <w:color w:val="auto"/>
        </w:rPr>
        <w:t>*The ACT-AD trial and the related OLEX for ACT-AD participants have been supported by a grant from the National Institute on Aging of the National Institutes of Health under Award Number R01AG06268. The information presented is solely the responsibility of Athira and does not necessarily represent the official views of the National Institutes of Health.</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Parkinson’s Disease</w:t>
      </w:r>
    </w:p>
    <w:p>
      <w:pPr>
        <w:spacing w:after="0" w:line="112"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In PD-relevant cellular and animal models, treatment with fosgonimeton or fosgo-AM resulted in significant neuroprotective and neurotrophic effects as well as improvements in motor function. Fosgo-AM significantly protected against neurotoxic insults and reduced PD-</w:t>
      </w:r>
      <w:r>
        <w:rPr>
          <w:rFonts w:ascii="PMingLiU" w:cs="PMingLiU" w:eastAsia="PMingLiU" w:hAnsi="PMingLiU"/>
          <w:sz w:val="20"/>
          <w:szCs w:val="20"/>
          <w:color w:val="auto"/>
        </w:rPr>
        <w:t xml:space="preserve">UHODWHG WR[LF SURWHLQ  </w:t>
      </w:r>
      <w:r>
        <w:rPr>
          <w:rFonts w:ascii="Arial" w:cs="Arial" w:eastAsia="Arial" w:hAnsi="Arial"/>
          <w:sz w:val="20"/>
          <w:szCs w:val="20"/>
          <w:color w:val="auto"/>
        </w:rPr>
        <w:t>-synuclein) aggregation in neuron-based models of disease. Neurotrophic effects, with or without neurotoxic insults, were significantly enhanced following fosgo-AM treatment. Cellular effects translated to improvements in motor function in an animal model, including improved coordination, balance and strength. These data were presented at the Society for Neuroscience Annual Conference in November 2022, the American Society for Experimental Neurotherapeutics Annual Meeting in March 2023, and at the AD/PD Conference in March 2023.</w:t>
      </w:r>
    </w:p>
    <w:p>
      <w:pPr>
        <w:spacing w:after="0" w:line="81"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In December 2023, we announced the completion of the 28-patient exploratory Phase 2 SHAPE trial, which tested 40 and 70 mg fosgonimeton doses versus placebo in PDD and DLB. The primary endpoint of the trial, a composite score of the change in ERP P300 latency and cognitive assessment (ADAS-Cog13), was not met by protocoled analysis compared with placebo. Directionally positive results were observed for the 40 mg fosgonimeton dose group with improvements in cognitive, functional and biomarker measurements. In particular, the five patients in the modified intent to treat (mITT) population treated with fosgonimeton 40 mg once daily saw improvement in ADAS-Cog13 individually, and collectively improved compared with placebo (n=7 mITT, one-sided p=0.0321). Results for patients in the 70 mg dose group were inconsistent.</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ATH-1105</w:t>
      </w:r>
    </w:p>
    <w:p>
      <w:pPr>
        <w:spacing w:after="0" w:line="116"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color w:val="auto"/>
        </w:rPr>
        <w:t>ATH-1105 is a novel, orally available, next generation, small molecule drug candidate designed to positively modulate the neurotrophic HGF system.</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Amyotrophic Lateral Sclerosis</w:t>
      </w:r>
    </w:p>
    <w:p>
      <w:pPr>
        <w:sectPr>
          <w:pgSz w:w="11880" w:h="15474" w:orient="portrait"/>
          <w:cols w:equalWidth="0" w:num="1">
            <w:col w:w="9360"/>
          </w:cols>
          <w:pgMar w:left="1240" w:top="1268"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880" w:h="15474" w:orient="portrait"/>
          <w:cols w:equalWidth="0" w:num="1">
            <w:col w:w="9360"/>
          </w:cols>
          <w:pgMar w:left="1240" w:top="1268" w:right="1274" w:bottom="0" w:gutter="0" w:footer="0" w:header="0"/>
          <w:type w:val="continuous"/>
        </w:sectPr>
      </w:pPr>
    </w:p>
    <w:bookmarkStart w:id="14" w:name="page15"/>
    <w:bookmarkEnd w:id="14"/>
    <w:p>
      <w:pPr>
        <w:jc w:val="both"/>
        <w:ind w:firstLine="490"/>
        <w:spacing w:after="0" w:line="243" w:lineRule="auto"/>
        <w:rPr>
          <w:sz w:val="20"/>
          <w:szCs w:val="20"/>
          <w:color w:val="auto"/>
        </w:rPr>
      </w:pPr>
      <w:r>
        <w:rPr>
          <w:rFonts w:ascii="Arial" w:cs="Arial" w:eastAsia="Arial" w:hAnsi="Arial"/>
          <w:sz w:val="20"/>
          <w:szCs w:val="20"/>
          <w:color w:val="auto"/>
        </w:rPr>
        <w:t>In preclinical models of ALS, treatment with ATH-1105 resulted in improvements in motor neuron survival and function. In vitro, ATH-1105 treatment protected spinal motor neurons from glutamate toxicity and prevented accumulation of toxic protein aggregates. In a preclinical mouse model of ALS, treatment with ATH-1105 significantly prevented loss of body weight, and improved motor function including balance, coordination and muscle strength. We additionally reported that treatment with ATH-1105 significantly improved electrophysiological measures of functional nerve signaling and protected against motor neuron axon degeneration and demyelination. ATH-1105 treatment also significantly reduced biomarkers of inflammation and neurodegeneration and prolonged survival. Study results were presented at the Motor Neurone Disease Association International Symposium in December 2022 and 2023. Weight loss, motor deficits, inflammation, loss of functional nerve signaling, and motor neurondegeneration and demyelination are all hallmarks of ALS disease; treatment with ATH-1105 significantly improved all of these aspects in the preclinical models tested. We expect to submit our IND application for ATH-1105 and initiate a Phase 1 clinical trial in the first half of 2024.</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ATH-1020</w:t>
      </w:r>
    </w:p>
    <w:p>
      <w:pPr>
        <w:spacing w:after="0" w:line="116"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ATH-1020 is a novel, orally available, next generation, small molecule drug candidate designed to positively modulate the neurotrophic HGF system. We filed an IND application with the FDA for ATH-1020 at the end of 2021 and received notice of acceptance in January 2022. This compound was originally assessed for neuropsychiatric indications in preclinical models as presented at the American Society for Experimental Therapeutics Annual Conference in February 2022.</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Neuropathic Pain</w:t>
      </w:r>
    </w:p>
    <w:p>
      <w:pPr>
        <w:spacing w:after="0" w:line="112"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In preclinical models of diabetic neuropathic pain, we demonstrated significant improvements in two aspects of disease that are prominent symptoms in people suffering from neuropathic pain: increased sensitivity to mechanical and thermal stimulation. The significant improvements in neuropathic pain were partially sustained after seven days of not receiving ATH-1020, suggesting persistent and potentially disease-modifying effects. Data from these studies were presented at the Society for Neuroscience Annual Conference in November 2022 and the American Society for Experimental Neurotherapeutics in March 2023. We have completed the SAD escalation portion of our Phase 1 trial, in which ATH- 1020 demonstrated a favorable safety profile and which was well-tolerated in healthy volunteers. We plan to evaluate options with this compound and will consider its advancement in relation to other opportunities and resources.</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Early Compounds</w:t>
      </w:r>
    </w:p>
    <w:p>
      <w:pPr>
        <w:spacing w:after="0" w:line="235" w:lineRule="exact"/>
        <w:rPr>
          <w:sz w:val="20"/>
          <w:szCs w:val="20"/>
          <w:color w:val="auto"/>
        </w:rPr>
      </w:pPr>
    </w:p>
    <w:p>
      <w:pPr>
        <w:jc w:val="both"/>
        <w:ind w:firstLine="489"/>
        <w:spacing w:after="0" w:line="261" w:lineRule="auto"/>
        <w:rPr>
          <w:sz w:val="20"/>
          <w:szCs w:val="20"/>
          <w:color w:val="auto"/>
        </w:rPr>
      </w:pPr>
      <w:r>
        <w:rPr>
          <w:rFonts w:ascii="Arial" w:cs="Arial" w:eastAsia="Arial" w:hAnsi="Arial"/>
          <w:sz w:val="20"/>
          <w:szCs w:val="20"/>
          <w:color w:val="auto"/>
        </w:rPr>
        <w:t>In addition to the compounds described above, we have several other compounds in preclinical discovery and development for neurodegenerative diseases and other indications where we believe positive modulation of the neurotrophic HGF system may have therapeutic potential.</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Upcoming Pipeline Milestones</w:t>
      </w:r>
    </w:p>
    <w:p>
      <w:pPr>
        <w:spacing w:after="0" w:line="250" w:lineRule="exact"/>
        <w:rPr>
          <w:sz w:val="20"/>
          <w:szCs w:val="20"/>
          <w:color w:val="auto"/>
        </w:rPr>
      </w:pPr>
    </w:p>
    <w:p>
      <w:pPr>
        <w:jc w:val="both"/>
        <w:ind w:left="980" w:hanging="493"/>
        <w:spacing w:after="0" w:line="250" w:lineRule="auto"/>
        <w:tabs>
          <w:tab w:leader="none" w:pos="981" w:val="left"/>
        </w:tabs>
        <w:numPr>
          <w:ilvl w:val="0"/>
          <w:numId w:val="10"/>
        </w:numPr>
        <w:rPr>
          <w:rFonts w:ascii="Arial" w:cs="Arial" w:eastAsia="Arial" w:hAnsi="Arial"/>
          <w:sz w:val="20"/>
          <w:szCs w:val="20"/>
          <w:color w:val="auto"/>
        </w:rPr>
      </w:pPr>
      <w:r>
        <w:rPr>
          <w:rFonts w:ascii="Arial" w:cs="Arial" w:eastAsia="Arial" w:hAnsi="Arial"/>
          <w:sz w:val="20"/>
          <w:szCs w:val="20"/>
          <w:color w:val="auto"/>
        </w:rPr>
        <w:t>For AD, we anticipate reporting topline data for our Phase 2/3 LIFT-AD trial in the second half of 2024. At the end of 2023, our ongoing OLEX trial for completers of ACT-AD and LIFT-AD had a greater than 85% participation rate. As with any voluntary clinical trial, participant dropout in the OLEX has also been observed. In 2024, we anticipate continuation of the OLEX trial and continued collection of long-term fosgonimeton safety data.</w:t>
      </w:r>
    </w:p>
    <w:p>
      <w:pPr>
        <w:spacing w:after="0" w:line="205" w:lineRule="exact"/>
        <w:rPr>
          <w:rFonts w:ascii="Arial" w:cs="Arial" w:eastAsia="Arial" w:hAnsi="Arial"/>
          <w:sz w:val="20"/>
          <w:szCs w:val="20"/>
          <w:color w:val="auto"/>
        </w:rPr>
      </w:pPr>
    </w:p>
    <w:p>
      <w:pPr>
        <w:ind w:left="980" w:hanging="493"/>
        <w:spacing w:after="0" w:line="283" w:lineRule="auto"/>
        <w:tabs>
          <w:tab w:leader="none" w:pos="981"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plan to file an IND application and initiate first-in-human studies of ATH-1105 as a treatment for ALS in the first half of 2024.</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880" w:h="15474" w:orient="portrait"/>
          <w:cols w:equalWidth="0" w:num="1">
            <w:col w:w="9360"/>
          </w:cols>
          <w:pgMar w:left="1240" w:top="1255" w:right="1274" w:bottom="0" w:gutter="0" w:footer="0" w:header="0"/>
          <w:type w:val="continuous"/>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Our Strategy</w:t>
      </w:r>
    </w:p>
    <w:p>
      <w:pPr>
        <w:spacing w:after="0" w:line="123"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Our strategic imperative and responsibility to people with neurological diseases is to advance our pipeline of small molecule drug candidates designed to target and enhance this naturally occurring repair mechanism to help build, restore, and maintain healthy neuronal connections. The multimodal mechanism of action of the neurotrophic HGF system has the potential to address complex multifactorial neurological diseases. We are encouraged by the scientific evidence we have generated thus far and will continue adding to the scientific foundation behind this neuroprotective and reparative approach with the potential to transform the treatment paradigm and provide meaningful therapeutic options for AD, PD, ALS, neuropathic pain, and other neurodegenerative diseases and neurological disorders, where limited effective options exist today. Key aspects of our business strategy to achieve these goals are to:</w:t>
      </w:r>
    </w:p>
    <w:p>
      <w:pPr>
        <w:spacing w:after="0" w:line="211" w:lineRule="exact"/>
        <w:rPr>
          <w:sz w:val="20"/>
          <w:szCs w:val="20"/>
          <w:color w:val="auto"/>
        </w:rPr>
      </w:pPr>
    </w:p>
    <w:p>
      <w:pPr>
        <w:jc w:val="both"/>
        <w:ind w:left="980" w:hanging="492"/>
        <w:spacing w:after="0" w:line="243" w:lineRule="auto"/>
        <w:tabs>
          <w:tab w:leader="none" w:pos="981" w:val="left"/>
        </w:tabs>
        <w:numPr>
          <w:ilvl w:val="0"/>
          <w:numId w:val="11"/>
        </w:numPr>
        <w:rPr>
          <w:rFonts w:ascii="Arial" w:cs="Arial" w:eastAsia="Arial" w:hAnsi="Arial"/>
          <w:sz w:val="20"/>
          <w:szCs w:val="20"/>
          <w:color w:val="auto"/>
        </w:rPr>
      </w:pPr>
      <w:r>
        <w:rPr>
          <w:rFonts w:ascii="Arial" w:cs="Arial" w:eastAsia="Arial" w:hAnsi="Arial"/>
          <w:sz w:val="20"/>
          <w:szCs w:val="20"/>
          <w:i w:val="1"/>
          <w:iCs w:val="1"/>
          <w:color w:val="auto"/>
        </w:rPr>
        <w:t xml:space="preserve">Advance fosgonimeton through clinical development for mild-to-moderate AD. </w:t>
      </w:r>
      <w:r>
        <w:rPr>
          <w:rFonts w:ascii="Arial" w:cs="Arial" w:eastAsia="Arial" w:hAnsi="Arial"/>
          <w:sz w:val="20"/>
          <w:szCs w:val="20"/>
          <w:color w:val="auto"/>
        </w:rPr>
        <w:t>We believe</w:t>
      </w:r>
      <w:r>
        <w:rPr>
          <w:rFonts w:ascii="Arial" w:cs="Arial" w:eastAsia="Arial" w:hAnsi="Arial"/>
          <w:sz w:val="20"/>
          <w:szCs w:val="20"/>
          <w:i w:val="1"/>
          <w:iCs w:val="1"/>
          <w:color w:val="auto"/>
        </w:rPr>
        <w:t xml:space="preserve"> </w:t>
      </w:r>
      <w:r>
        <w:rPr>
          <w:rFonts w:ascii="Arial" w:cs="Arial" w:eastAsia="Arial" w:hAnsi="Arial"/>
          <w:sz w:val="20"/>
          <w:szCs w:val="20"/>
          <w:color w:val="auto"/>
        </w:rPr>
        <w:t>fosgonimeton has the potential to rapidly improve cognition and function to help improve the lives of the millions of people suffering from AD who currently have limited therapeutic options. We initiated both the exploratory Phase 2 ACT-AD trial and the ongoing Phase 2/3 LIFT-AD trial in 2020 and have applied learnings from the completed ACT-AD trial to help inform the LIFT-AD trial. The topline results for our ACT-AD trial were announced in June 2022 and are discussed in further detail in the section of this Annual Report on Form 10-K titled “Business—Our Pipeline.” While the primary and secondary endpoints were not achieved, encouraging results from our post hoc analyses of a subgroup in the ACT-AD trial informed our decision to proactively amend LIFT-AD to focus on participants not on background AChEIs and the independent unblinded interim analysis further supported our decision. We announced completed enrollment for the LIFT-AD trial in January 2024 and anticipate reporting topline data in the second half of 2024.</w:t>
      </w:r>
    </w:p>
    <w:p>
      <w:pPr>
        <w:spacing w:after="0" w:line="217" w:lineRule="exact"/>
        <w:rPr>
          <w:rFonts w:ascii="Arial" w:cs="Arial" w:eastAsia="Arial" w:hAnsi="Arial"/>
          <w:sz w:val="20"/>
          <w:szCs w:val="20"/>
          <w:color w:val="auto"/>
        </w:rPr>
      </w:pPr>
    </w:p>
    <w:p>
      <w:pPr>
        <w:jc w:val="both"/>
        <w:ind w:left="980" w:hanging="493"/>
        <w:spacing w:after="0" w:line="254" w:lineRule="auto"/>
        <w:tabs>
          <w:tab w:leader="none" w:pos="980" w:val="left"/>
        </w:tabs>
        <w:numPr>
          <w:ilvl w:val="0"/>
          <w:numId w:val="11"/>
        </w:numPr>
        <w:rPr>
          <w:rFonts w:ascii="Arial" w:cs="Arial" w:eastAsia="Arial" w:hAnsi="Arial"/>
          <w:sz w:val="20"/>
          <w:szCs w:val="20"/>
          <w:color w:val="auto"/>
        </w:rPr>
      </w:pPr>
      <w:r>
        <w:rPr>
          <w:rFonts w:ascii="Arial" w:cs="Arial" w:eastAsia="Arial" w:hAnsi="Arial"/>
          <w:sz w:val="20"/>
          <w:szCs w:val="20"/>
          <w:i w:val="1"/>
          <w:iCs w:val="1"/>
          <w:color w:val="auto"/>
        </w:rPr>
        <w:t xml:space="preserve">Expand the development of fosgonimeton to maximize opportunities in AD. </w:t>
      </w:r>
      <w:r>
        <w:rPr>
          <w:rFonts w:ascii="Arial" w:cs="Arial" w:eastAsia="Arial" w:hAnsi="Arial"/>
          <w:sz w:val="20"/>
          <w:szCs w:val="20"/>
          <w:color w:val="auto"/>
        </w:rPr>
        <w:t>We are developing</w:t>
      </w:r>
      <w:r>
        <w:rPr>
          <w:rFonts w:ascii="Arial" w:cs="Arial" w:eastAsia="Arial" w:hAnsi="Arial"/>
          <w:sz w:val="20"/>
          <w:szCs w:val="20"/>
          <w:i w:val="1"/>
          <w:iCs w:val="1"/>
          <w:color w:val="auto"/>
        </w:rPr>
        <w:t xml:space="preserve"> </w:t>
      </w:r>
      <w:r>
        <w:rPr>
          <w:rFonts w:ascii="Arial" w:cs="Arial" w:eastAsia="Arial" w:hAnsi="Arial"/>
          <w:sz w:val="20"/>
          <w:szCs w:val="20"/>
          <w:color w:val="auto"/>
        </w:rPr>
        <w:t>fosgonimeton as a treatment for mild-to-moderate AD, but over time we aim to expand development of fosgonimeton to cover more stages of AD, either delivered alone or in combination with other approved therapies.</w:t>
      </w:r>
    </w:p>
    <w:p>
      <w:pPr>
        <w:spacing w:after="0" w:line="208" w:lineRule="exact"/>
        <w:rPr>
          <w:rFonts w:ascii="Arial" w:cs="Arial" w:eastAsia="Arial" w:hAnsi="Arial"/>
          <w:sz w:val="20"/>
          <w:szCs w:val="20"/>
          <w:color w:val="auto"/>
        </w:rPr>
      </w:pPr>
    </w:p>
    <w:p>
      <w:pPr>
        <w:jc w:val="both"/>
        <w:ind w:left="980" w:hanging="493"/>
        <w:spacing w:after="0" w:line="257" w:lineRule="auto"/>
        <w:tabs>
          <w:tab w:leader="none" w:pos="980" w:val="left"/>
        </w:tabs>
        <w:numPr>
          <w:ilvl w:val="0"/>
          <w:numId w:val="11"/>
        </w:numPr>
        <w:rPr>
          <w:rFonts w:ascii="Arial" w:cs="Arial" w:eastAsia="Arial" w:hAnsi="Arial"/>
          <w:sz w:val="19"/>
          <w:szCs w:val="19"/>
          <w:color w:val="auto"/>
        </w:rPr>
      </w:pPr>
      <w:r>
        <w:rPr>
          <w:rFonts w:ascii="Arial" w:cs="Arial" w:eastAsia="Arial" w:hAnsi="Arial"/>
          <w:sz w:val="19"/>
          <w:szCs w:val="19"/>
          <w:i w:val="1"/>
          <w:iCs w:val="1"/>
          <w:color w:val="auto"/>
        </w:rPr>
        <w:t xml:space="preserve">Advance innovative research to expand and develop our ATH pipeline of small molecule drug candidates. </w:t>
      </w:r>
      <w:r>
        <w:rPr>
          <w:rFonts w:ascii="Arial" w:cs="Arial" w:eastAsia="Arial" w:hAnsi="Arial"/>
          <w:sz w:val="19"/>
          <w:szCs w:val="19"/>
          <w:color w:val="auto"/>
        </w:rPr>
        <w:t>Our strategy is to advance drug candidates that show both strong pharmacokinetics</w:t>
      </w:r>
      <w:r>
        <w:rPr>
          <w:rFonts w:ascii="Arial" w:cs="Arial" w:eastAsia="Arial" w:hAnsi="Arial"/>
          <w:sz w:val="19"/>
          <w:szCs w:val="19"/>
          <w:i w:val="1"/>
          <w:iCs w:val="1"/>
          <w:color w:val="auto"/>
        </w:rPr>
        <w:t xml:space="preserve"> </w:t>
      </w:r>
      <w:r>
        <w:rPr>
          <w:rFonts w:ascii="Arial" w:cs="Arial" w:eastAsia="Arial" w:hAnsi="Arial"/>
          <w:sz w:val="19"/>
          <w:szCs w:val="19"/>
          <w:color w:val="auto"/>
        </w:rPr>
        <w:t>and pharmacodynamics, or PK/PD, translation and early predictive clinical data. We plan to continue growing our discovery organization across neurological disorders in general, but with a near-term focus on neurodegenerative diseases, by building upon the strong foundational knowledge of our ATH positive modulators and enhancing the multimodal mechanism of action through the neurotrophic HGF system. It is our goal to advance our pipeline of next generation ATH positive modulators, designed to enhance the body’s naturally occurring repair mechanism. With several drug candidates in development, we will prioritize development to potentially address a wide range of clinical applications ranging from CNS and PNS diseases to other indications. Our ATH-1105 program targeting ALS is our next priority beyond fosgonimeton, with an IND application and first-in-human studies expected to be initiated in the first half of 2024.</w:t>
      </w:r>
    </w:p>
    <w:p>
      <w:pPr>
        <w:spacing w:after="0" w:line="206" w:lineRule="exact"/>
        <w:rPr>
          <w:rFonts w:ascii="Arial" w:cs="Arial" w:eastAsia="Arial" w:hAnsi="Arial"/>
          <w:sz w:val="19"/>
          <w:szCs w:val="19"/>
          <w:color w:val="auto"/>
        </w:rPr>
      </w:pPr>
    </w:p>
    <w:p>
      <w:pPr>
        <w:jc w:val="both"/>
        <w:ind w:left="980" w:hanging="493"/>
        <w:spacing w:after="0" w:line="246" w:lineRule="auto"/>
        <w:tabs>
          <w:tab w:leader="none" w:pos="980" w:val="left"/>
        </w:tabs>
        <w:numPr>
          <w:ilvl w:val="0"/>
          <w:numId w:val="11"/>
        </w:numPr>
        <w:rPr>
          <w:rFonts w:ascii="Arial" w:cs="Arial" w:eastAsia="Arial" w:hAnsi="Arial"/>
          <w:sz w:val="20"/>
          <w:szCs w:val="20"/>
          <w:color w:val="auto"/>
        </w:rPr>
      </w:pPr>
      <w:r>
        <w:rPr>
          <w:rFonts w:ascii="Arial" w:cs="Arial" w:eastAsia="Arial" w:hAnsi="Arial"/>
          <w:sz w:val="20"/>
          <w:szCs w:val="20"/>
          <w:i w:val="1"/>
          <w:iCs w:val="1"/>
          <w:color w:val="auto"/>
        </w:rPr>
        <w:t xml:space="preserve">Optimize the value of fosgonimeton and next-generation positive modulators of the neurotrophic HGF system in major markets. </w:t>
      </w:r>
      <w:r>
        <w:rPr>
          <w:rFonts w:ascii="Arial" w:cs="Arial" w:eastAsia="Arial" w:hAnsi="Arial"/>
          <w:sz w:val="20"/>
          <w:szCs w:val="20"/>
          <w:color w:val="auto"/>
        </w:rPr>
        <w:t>We own worldwide rights to fosgonimeton as well as our pipeline</w:t>
      </w:r>
      <w:r>
        <w:rPr>
          <w:rFonts w:ascii="Arial" w:cs="Arial" w:eastAsia="Arial" w:hAnsi="Arial"/>
          <w:sz w:val="20"/>
          <w:szCs w:val="20"/>
          <w:i w:val="1"/>
          <w:iCs w:val="1"/>
          <w:color w:val="auto"/>
        </w:rPr>
        <w:t xml:space="preserve"> </w:t>
      </w:r>
      <w:r>
        <w:rPr>
          <w:rFonts w:ascii="Arial" w:cs="Arial" w:eastAsia="Arial" w:hAnsi="Arial"/>
          <w:sz w:val="20"/>
          <w:szCs w:val="20"/>
          <w:color w:val="auto"/>
        </w:rPr>
        <w:t>of next generation, proprietary small molecule drug candidates. We plan to develop and pursue approval of fosgonimeton and other future drug candidates across major markets. Where appropriate, we may use strategic collaborations or partnerships to accelerate development and maximize the commercial potential of our programs.</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880" w:h="15474" w:orient="portrait"/>
          <w:cols w:equalWidth="0" w:num="1">
            <w:col w:w="9360"/>
          </w:cols>
          <w:pgMar w:left="1240" w:top="1251" w:right="1274" w:bottom="0"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Mechanism of Disease</w:t>
      </w:r>
    </w:p>
    <w:p>
      <w:pPr>
        <w:spacing w:after="0" w:line="123"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Causes of neurodegenerative diseases are not fully understood as these diseases are complex with several contributing factors including inflammation, oxidative stress, neurotoxicity, excitotoxicity, synaptic dysfunction, and protein pathologies that ultimately lead to neuronal damage, neuronal network degeneration and a decline in function. Intrinsic to these diseases is the disruption of a healthy neuronal network that can be overcome and repaired or maintained when the body’s natural repair mechanisms are intact. However, a loss of or reduction in ability of the body to repair itself can lead to dysregulation that then manifests as symptoms and overall functional decline. One such naturally occurring repair mechanism is the neurotrophic HGF system.</w:t>
      </w:r>
    </w:p>
    <w:p>
      <w:pPr>
        <w:spacing w:after="0" w:line="195"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Scientific evidence supporting the neurotrophic HGF system as a naturally occurring repair mechanism is backed by over 30 years of research. MET is one of the most stably expressed genes in the adult human brain and is a signature of a healthy, viable nervous system, In AD, neuronal MET expression is reduced in the brains of participants by approximately 25% and 75% in the frontal cortex and hippocampus, respectively. And although evidence supports the neurotrophic HGF system as an attractive target for combating neurodegenerative diseases with its multimodal mechanism of action, it has proven a difficult drug target. There are approved and in-development gene therapy approaches to increase HGF expression beyond normal physiological levels, but these are limited as potentially viable treatment options for neurological disorders due to more invasive delivery requirements, such as intrathecal or intravenous, or locally restricted to the periphery, such as via intramuscular routes of administration.</w:t>
      </w:r>
    </w:p>
    <w:p>
      <w:pPr>
        <w:spacing w:after="0" w:line="182"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To date, drug developers have been deploying approaches that typically address only a single factor of the cascade of pathologies that lead to neurodegeneration, yet translating early successful results to meaningful clinical benefit has been mixed if not elusive. We believe that to address such complex and multifactorial diseases requires a novel multimodal approach, such as targeting the neurotrophic HGF system through non-invasive or minimally invasive small molecules that enhance innate levels of HGF system activation to protect and repair neuronal networks.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Mechanism of Action</w:t>
      </w:r>
    </w:p>
    <w:p>
      <w:pPr>
        <w:spacing w:after="0" w:line="124"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We have developed a pipeline of proprietary small molecule compounds, or ATH positive modulators, designed to enhance the neurotrophic HGF system and promote its neuroprotective, neurotrophic and anti-inflammatory effects, including protection of neurons from a variety of insults. Our novel small molecules are designed to cross the blood-brain barrier for CNS disorders or remain in the periphery for PNS and other indications, and mechanistically produce a series of multimodal effects that support their therapeutic promise to: reduce inflammation, promote regeneration, provide neuroprotection, and, ultimately, slow disease progression.</w:t>
      </w:r>
    </w:p>
    <w:p>
      <w:pPr>
        <w:spacing w:after="0" w:line="193"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19"/>
          <w:szCs w:val="19"/>
          <w:color w:val="auto"/>
        </w:rPr>
        <w:t>Figure 2 below illustrates the hypothesized mechanism of action of ATH positive modulators and the cellular disease state where diseased neurons generate a biomarker of neurodegeneration, NfL, as well as other signature markers of neuronal damage. Contributing to a diseased neuron are also proinflammatory cytokines produced by activated microglia. In the treated neuron state where ATH positive modulators are designed to enhance HGF/MET signaling to promote neuroprotective and neurotrophic pathways, reduced neuron degeneration and NfL production occur while the treated glia show reduced activation and production of proinflammatory cytokines, illustrating the potential reduction in neurodegeneration and inhibition of neuroinflammation through the enhancement of the neurotrophic HGF system.</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880" w:h="15474" w:orient="portrait"/>
          <w:cols w:equalWidth="0" w:num="1">
            <w:col w:w="9360"/>
          </w:cols>
          <w:pgMar w:left="1240" w:top="1251" w:right="1274" w:bottom="0" w:gutter="0" w:footer="0" w:header="0"/>
          <w:type w:val="continuous"/>
        </w:sectPr>
      </w:pPr>
    </w:p>
    <w:bookmarkStart w:id="17" w:name="page18"/>
    <w:bookmarkEnd w:id="17"/>
    <w:p>
      <w:pPr>
        <w:ind w:left="480"/>
        <w:spacing w:after="0"/>
        <w:rPr>
          <w:sz w:val="20"/>
          <w:szCs w:val="20"/>
          <w:color w:val="auto"/>
        </w:rPr>
      </w:pPr>
      <w:r>
        <w:rPr>
          <w:rFonts w:ascii="Arial" w:cs="Arial" w:eastAsia="Arial" w:hAnsi="Arial"/>
          <w:sz w:val="20"/>
          <w:szCs w:val="20"/>
          <w:i w:val="1"/>
          <w:iCs w:val="1"/>
          <w:color w:val="auto"/>
        </w:rPr>
        <w:t>Figure 2. Hypothesized Mechanism of Action of ATH Positive Modulators.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5942965" cy="3450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extLst>
                    </a:blip>
                    <a:srcRect/>
                    <a:stretch>
                      <a:fillRect/>
                    </a:stretch>
                  </pic:blipFill>
                  <pic:spPr bwMode="auto">
                    <a:xfrm>
                      <a:off x="0" y="0"/>
                      <a:ext cx="5942965" cy="3450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As ATH positive modulators interact with the HGF system, neurotrophic and neuroprotective pathways are activated downstream, including the activation of the extracellular-signal regulated kinase, or ERK and protein kinase B, or AKT pathways, which play critical roles in protecting neurons from damage and death, including from oxidative stress, excitotoxicity, and apoptosis. Figure 3 below shows cell culture data demonstrating that one of the key mechanisms of action of ATH positive modulators is through activation of ERK and AKT via MET activation.</w:t>
      </w:r>
    </w:p>
    <w:p>
      <w:pPr>
        <w:sectPr>
          <w:pgSz w:w="11880" w:h="15474" w:orient="portrait"/>
          <w:cols w:equalWidth="0" w:num="1">
            <w:col w:w="9360"/>
          </w:cols>
          <w:pgMar w:left="1240" w:top="1263"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880" w:h="15474" w:orient="portrait"/>
          <w:cols w:equalWidth="0" w:num="1">
            <w:col w:w="9360"/>
          </w:cols>
          <w:pgMar w:left="1240" w:top="1263" w:right="1274" w:bottom="0" w:gutter="0" w:footer="0" w:header="0"/>
          <w:type w:val="continuous"/>
        </w:sectPr>
      </w:pPr>
    </w:p>
    <w:bookmarkStart w:id="18" w:name="page19"/>
    <w:bookmarkEnd w:id="18"/>
    <w:p>
      <w:pPr>
        <w:ind w:left="480"/>
        <w:spacing w:after="0"/>
        <w:rPr>
          <w:sz w:val="20"/>
          <w:szCs w:val="20"/>
          <w:color w:val="auto"/>
        </w:rPr>
      </w:pPr>
      <w:r>
        <w:rPr>
          <w:rFonts w:ascii="Arial" w:cs="Arial" w:eastAsia="Arial" w:hAnsi="Arial"/>
          <w:sz w:val="20"/>
          <w:szCs w:val="20"/>
          <w:i w:val="1"/>
          <w:iCs w:val="1"/>
          <w:color w:val="auto"/>
        </w:rPr>
        <w:t>Figure 3. Enhancement of HGF/MET by Fosgo-AM Activates ERK and AKT Signaling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5943600" cy="19773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extLst>
                    </a:blip>
                    <a:srcRect/>
                    <a:stretch>
                      <a:fillRect/>
                    </a:stretch>
                  </pic:blipFill>
                  <pic:spPr bwMode="auto">
                    <a:xfrm>
                      <a:off x="0" y="0"/>
                      <a:ext cx="5943600" cy="1977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6A6A6"/>
        </w:rPr>
        <w:t>Data presented as mean + SEM. Statistics applied: One-way ANOVA with Tukey’s multiple comparisons.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6A6A6"/>
        </w:rPr>
        <w:t>** p&lt;0.01; *** p&lt;0.001 vs. HGF only.</w:t>
      </w:r>
    </w:p>
    <w:p>
      <w:pPr>
        <w:ind w:right="300"/>
        <w:spacing w:after="0" w:line="254" w:lineRule="auto"/>
        <w:rPr>
          <w:sz w:val="20"/>
          <w:szCs w:val="20"/>
          <w:color w:val="auto"/>
        </w:rPr>
      </w:pPr>
      <w:r>
        <w:rPr>
          <w:rFonts w:ascii="Arial" w:cs="Arial" w:eastAsia="Arial" w:hAnsi="Arial"/>
          <w:sz w:val="16"/>
          <w:szCs w:val="16"/>
          <w:color w:val="A6A6A6"/>
        </w:rPr>
        <w:t>AKT, protein kinase B; ERK, extracellular- signal regulated kinase; Fosgo-AM, fosgonimeton active metabolite; GSK3b, glycogen synthase kinase-3 beta; HGF, hepatocyte growth factor.</w:t>
      </w:r>
    </w:p>
    <w:p>
      <w:pPr>
        <w:spacing w:after="0" w:line="315"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Positively modulating the neurotrophic HGF system promotes its multimodal effects, which we believe can potentially address the complex pathology in neurodegenerative diseases. These positive multimodal effects taken together may lead to improvement in function. Figure 4 below illustrates the therapeutic potential of enhancing the neurotrophic HGF system to protect and repair neurons.</w:t>
      </w:r>
    </w:p>
    <w:p>
      <w:pPr>
        <w:spacing w:after="0" w:line="315" w:lineRule="exact"/>
        <w:rPr>
          <w:sz w:val="20"/>
          <w:szCs w:val="20"/>
          <w:color w:val="auto"/>
        </w:rPr>
      </w:pPr>
    </w:p>
    <w:p>
      <w:pPr>
        <w:ind w:left="480"/>
        <w:spacing w:after="0"/>
        <w:rPr>
          <w:sz w:val="20"/>
          <w:szCs w:val="20"/>
          <w:color w:val="auto"/>
        </w:rPr>
      </w:pPr>
      <w:r>
        <w:rPr>
          <w:rFonts w:ascii="Arial" w:cs="Arial" w:eastAsia="Arial" w:hAnsi="Arial"/>
          <w:sz w:val="20"/>
          <w:szCs w:val="20"/>
          <w:i w:val="1"/>
          <w:iCs w:val="1"/>
          <w:color w:val="auto"/>
        </w:rPr>
        <w:t>Figure 4. ATH Compounds are Designed to Protect and Repair Neuronal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82550</wp:posOffset>
            </wp:positionV>
            <wp:extent cx="5473700" cy="3578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extLst>
                    </a:blip>
                    <a:srcRect/>
                    <a:stretch>
                      <a:fillRect/>
                    </a:stretch>
                  </pic:blipFill>
                  <pic:spPr bwMode="auto">
                    <a:xfrm>
                      <a:off x="0" y="0"/>
                      <a:ext cx="5473700" cy="3578225"/>
                    </a:xfrm>
                    <a:prstGeom prst="rect">
                      <a:avLst/>
                    </a:prstGeom>
                    <a:noFill/>
                  </pic:spPr>
                </pic:pic>
              </a:graphicData>
            </a:graphic>
          </wp:anchor>
        </w:drawing>
      </w:r>
    </w:p>
    <w:p>
      <w:pPr>
        <w:sectPr>
          <w:pgSz w:w="11880" w:h="15474" w:orient="portrait"/>
          <w:cols w:equalWidth="0" w:num="1">
            <w:col w:w="9360"/>
          </w:cols>
          <w:pgMar w:left="1240" w:top="1263"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880" w:h="15474" w:orient="portrait"/>
          <w:cols w:equalWidth="0" w:num="1">
            <w:col w:w="9360"/>
          </w:cols>
          <w:pgMar w:left="1240" w:top="1263" w:right="1274" w:bottom="0"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Fosgonimeton</w:t>
      </w:r>
    </w:p>
    <w:p>
      <w:pPr>
        <w:spacing w:after="0" w:line="123"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color w:val="auto"/>
        </w:rPr>
        <w:t>Fosgonimeton is being assessed in multiple preclinical and clinical studies of neurodegenerative diseases, including AD and PD.</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Fosgonimeton for AD - Clinical Trials and FDA Interaction</w:t>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Phase 1 Clinical Trial</w:t>
      </w:r>
    </w:p>
    <w:p>
      <w:pPr>
        <w:spacing w:after="0" w:line="116"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9"/>
          <w:szCs w:val="19"/>
          <w:color w:val="auto"/>
        </w:rPr>
        <w:t>The IND application for fosgonimeton in AD was submitted in September 2017. Since then, we have completed our Phase 1 clinical trial, which enrolled a total of 88 participants, including 48 healthy young male participants (mean age = 33.4 ± 6.3), 29 healthy elderly participants (mean age = 63.8 ± 4.0; 14 male, 15 female), and 11 AD participants (mean age = 69.2 ± 7.1; 5 male, 6 female, median [range] Mini-Mental State Exam, or MMSE, = 20 [5–29]) was completed in 2019. In both the SAD and multiple ascending dose, or MAD, parts of the trial, fosgonimeton was well tolerated, without serious adverse events. All participants were randomly assigned to active and control groups. Findings from the Phase 1 trial provided safety data, as well as translational and supportive evidence in the form of quantitative electroencephalography, or qEEG, measures to evaluate effects of fosgonimeton on brain activity in study participants. Results from qEEG measures demonstrated fosgonimeton crossing the BBB and improving brain network activity by significantly improved ERP P300 latency, a measure of working memory processing speed, over 8- days. Trial results were published in the Journal of Alzheimer’s Disease in April 2022, and helped inform the study design of our exploratory Phase 2 ACT-AD and Phase 2/3 LIFT-AD trials.</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Phase 2 ACT-AD Trial*</w:t>
      </w:r>
    </w:p>
    <w:p>
      <w:pPr>
        <w:spacing w:after="0" w:line="117"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ACT-AD was a randomized, double-blind, placebo-controlled, parallel- group 26-week trial evaluating fosgonimeton in participants with mild-to-moderate AD. The trial enrolled 77 participants in the United States and Australia (age 55 to 85 years, MMSE score of 14-24 and Clinical Dementia Rating, or CDR, scale global score of 1 or 2). Participants were allowed to continue receiving background AChEIs; 60% remained on stable doses of AChEIs and 40% were not receiving AChEIs during the study. Participants were randomized 1:1:1 to receive placebo or fosgonimeton at either 40 mg/day or 70 mg/day. The primary endpoint for ACT-AD was ERP P300 latency, a measure of working memory processing speed, measured by change from baseline, or CFB, averaged over Weeks 12, 16, 20, and 26. Secondary endpoints included correlation of CFB in ERP P300 latency with a composite score of cognition and executive memory defined by ADAS-Cog11, and the Controlled Oral Word Association Test, or COWAT; various composite scores of clinical assessments as measured by the GST, Alzheimer’s Disease Cooperative Study-Clinical Global Impression of Change, or ADCS-CGIC, a measure of global clinical change; and ADCS-ADL23, a measure of functional change as well as measures of caregiver burden, quality of life, resource utilization, and psychiatric symptoms. Plasma samples were also bio banked for future analysis. Safety data was evaluated throughout.</w:t>
      </w:r>
    </w:p>
    <w:p>
      <w:pPr>
        <w:spacing w:after="0" w:line="78"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ACT-AD was completed in 2022; topline data was reported in June 2022, later presented at the Alzheimer’s Association International Conference in August 2022, and in early 2023 was finalized. The finalized data show some numerical differences from the previously reported preliminary topline data, which we had reported were not statistically significant (n.s.). As reported previously, we did not meet the primary endpoint of a statistically significant change in ERP P300 latency by protocoled analysis nor did we meet the secondary endpoints. However, the data showed a numerical improvement in the functional measure of ADCS-ADL23, which evaluates participants’ activities of daily living as assessed by their caregivers, compared to placebo at 26 weeks (41% or +1.7 points improvement, n.s.). Although not statistically significant, a post hoc analysis of results from ACT-AD in a pre-specified subgroup suggested positive effects on measures of working memory processing speed and cognition, plus improvements in plasma biomarkers of neurodegeneration, inflammation and AD-specific protein pathologies in participants taking fosgonimeton alone without background AChEIs. All data and analyses presented are from pooled 40mg and 70mg of fosgonimeton. During the ACT-AD trial, fosgonimeton, at either dose, was generally well tolerated with a favorable safety profile, and there were no treatment related serious adverse events or deaths observed.</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880" w:h="15474" w:orient="portrait"/>
          <w:cols w:equalWidth="0" w:num="1">
            <w:col w:w="9360"/>
          </w:cols>
          <w:pgMar w:left="1240" w:top="1251" w:right="1274" w:bottom="0" w:gutter="0" w:footer="0" w:header="0"/>
          <w:type w:val="continuous"/>
        </w:sectPr>
      </w:pPr>
    </w:p>
    <w:bookmarkStart w:id="20" w:name="page21"/>
    <w:bookmarkEnd w:id="20"/>
    <w:p>
      <w:pPr>
        <w:jc w:val="both"/>
        <w:ind w:right="60" w:firstLine="490"/>
        <w:spacing w:after="0" w:line="261" w:lineRule="auto"/>
        <w:rPr>
          <w:sz w:val="20"/>
          <w:szCs w:val="20"/>
          <w:color w:val="auto"/>
        </w:rPr>
      </w:pPr>
      <w:r>
        <w:rPr>
          <w:rFonts w:ascii="Arial" w:cs="Arial" w:eastAsia="Arial" w:hAnsi="Arial"/>
          <w:sz w:val="20"/>
          <w:szCs w:val="20"/>
          <w:color w:val="auto"/>
        </w:rPr>
        <w:t>In participants treated with fosgonimeton alone, a potentially beneficial change in ERP P300 latency (-28 milliseconds, n.s.), as well as cognitive improvement, as measured by ADAS-Cog11 (74% or -3.0 points, n.s.), compared with placebo at 26 weeks was observed post hoc (Figure 5).</w:t>
      </w:r>
    </w:p>
    <w:p>
      <w:pPr>
        <w:spacing w:after="0" w:line="68" w:lineRule="exact"/>
        <w:rPr>
          <w:sz w:val="20"/>
          <w:szCs w:val="20"/>
          <w:color w:val="auto"/>
        </w:rPr>
      </w:pPr>
    </w:p>
    <w:p>
      <w:pPr>
        <w:jc w:val="both"/>
        <w:ind w:right="60" w:firstLine="490"/>
        <w:spacing w:after="0" w:line="275" w:lineRule="auto"/>
        <w:rPr>
          <w:sz w:val="20"/>
          <w:szCs w:val="20"/>
          <w:color w:val="auto"/>
        </w:rPr>
      </w:pPr>
      <w:r>
        <w:rPr>
          <w:rFonts w:ascii="Arial" w:cs="Arial" w:eastAsia="Arial" w:hAnsi="Arial"/>
          <w:sz w:val="20"/>
          <w:szCs w:val="20"/>
          <w:i w:val="1"/>
          <w:iCs w:val="1"/>
          <w:color w:val="auto"/>
        </w:rPr>
        <w:t>Figure 5. Treatment with Fosgonimeton Results in Consistent Directional Improvements in Working Memory Processing Speed and 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5943600" cy="2228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extLst>
                    </a:blip>
                    <a:srcRect/>
                    <a:stretch>
                      <a:fillRect/>
                    </a:stretch>
                  </pic:blipFill>
                  <pic:spPr bwMode="auto">
                    <a:xfrm>
                      <a:off x="0" y="0"/>
                      <a:ext cx="594360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60" w:firstLine="490"/>
        <w:spacing w:after="0" w:line="248" w:lineRule="auto"/>
        <w:rPr>
          <w:sz w:val="20"/>
          <w:szCs w:val="20"/>
          <w:color w:val="auto"/>
        </w:rPr>
      </w:pPr>
      <w:r>
        <w:rPr>
          <w:rFonts w:ascii="Arial" w:cs="Arial" w:eastAsia="Arial" w:hAnsi="Arial"/>
          <w:sz w:val="20"/>
          <w:szCs w:val="20"/>
          <w:color w:val="auto"/>
        </w:rPr>
        <w:t>Data from ACT-AD were additionally analyzed post hoc for effects across plasma biomarkers in participants treated with fosgonimeton without background AChEIs. In concert with the multimodal mechanism of action, targeting the neurotrophic HGF system with fosgonimeton resulted in directional improvements across plasma biomarkers of inflammation and AD-specific protein pathologies, and a statistically significant improvement in neurodegeneration, all of which are pending further analysis and clinical investigation in our ongoing Phase 2/3 LIFT-AD clinical trial.</w:t>
      </w:r>
    </w:p>
    <w:p>
      <w:pPr>
        <w:spacing w:after="0" w:line="75" w:lineRule="exact"/>
        <w:rPr>
          <w:sz w:val="20"/>
          <w:szCs w:val="20"/>
          <w:color w:val="auto"/>
        </w:rPr>
      </w:pPr>
    </w:p>
    <w:p>
      <w:pPr>
        <w:jc w:val="both"/>
        <w:ind w:right="60" w:firstLine="490"/>
        <w:spacing w:after="0" w:line="267" w:lineRule="auto"/>
        <w:rPr>
          <w:sz w:val="20"/>
          <w:szCs w:val="20"/>
          <w:color w:val="auto"/>
        </w:rPr>
      </w:pPr>
      <w:r>
        <w:rPr>
          <w:rFonts w:ascii="Arial" w:cs="Arial" w:eastAsia="Arial" w:hAnsi="Arial"/>
          <w:sz w:val="19"/>
          <w:szCs w:val="19"/>
          <w:color w:val="auto"/>
        </w:rPr>
        <w:t>Figure 6 below shows that treatment with fosgonimeton appears to improve neuroinflammation in mild-to-moderate AD as measured by glial fibrillary acidic protein, or GFAP, and chitinase-3-like protein 1, or YKL-40. The observed nominal GFAP improvement and statistical trend in YKL-40 improvement, plus the magnitude of decrease below baseline for those on active treatment is encouraging in this continuously progressive condition and indicates the translation of the anti-inflammatory effects of fosgonimeton.</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20"/>
          <w:szCs w:val="20"/>
          <w:i w:val="1"/>
          <w:iCs w:val="1"/>
          <w:color w:val="auto"/>
        </w:rPr>
        <w:t>Figure 6. Treatment with Fosgonimeton Appears to Improve Neuroinflammation.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83185</wp:posOffset>
            </wp:positionV>
            <wp:extent cx="5582920" cy="2364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extLst>
                    </a:blip>
                    <a:srcRect/>
                    <a:stretch>
                      <a:fillRect/>
                    </a:stretch>
                  </pic:blipFill>
                  <pic:spPr bwMode="auto">
                    <a:xfrm>
                      <a:off x="0" y="0"/>
                      <a:ext cx="5582920" cy="236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auto"/>
        </w:rPr>
        <w:t>Treatment with fosgonimeton additionally resulted in a statistical trend and directional improvements in plasma biomarkers of AD-</w:t>
      </w:r>
      <w:r>
        <w:rPr>
          <w:rFonts w:ascii="PMingLiU" w:cs="PMingLiU" w:eastAsia="PMingLiU" w:hAnsi="PMingLiU"/>
          <w:sz w:val="19"/>
          <w:szCs w:val="19"/>
          <w:color w:val="auto"/>
        </w:rPr>
        <w:t>VSHFLILF SURWHLQ SDWKRORJLHV $  DQG S7DX UHVSHFWLYHO\ 7KH FKDQJHV</w:t>
      </w:r>
      <w:r>
        <w:rPr>
          <w:rFonts w:ascii="Arial" w:cs="Arial" w:eastAsia="Arial" w:hAnsi="Arial"/>
          <w:sz w:val="19"/>
          <w:szCs w:val="19"/>
          <w:color w:val="auto"/>
        </w:rPr>
        <w:t xml:space="preserve"> observed, as shown in Figure 7, continue to support the relevance of targeting the neurotrophic HGF system and its relevance to AD, with a potentially disease-modifying effect by impacting these protein pathologies.</w:t>
      </w:r>
    </w:p>
    <w:p>
      <w:pPr>
        <w:sectPr>
          <w:pgSz w:w="11880" w:h="15474" w:orient="portrait"/>
          <w:cols w:equalWidth="0" w:num="1">
            <w:col w:w="9420"/>
          </w:cols>
          <w:pgMar w:left="1240" w:top="1255" w:right="1214"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15</w:t>
      </w:r>
    </w:p>
    <w:p>
      <w:pPr>
        <w:sectPr>
          <w:pgSz w:w="11880" w:h="15474" w:orient="portrait"/>
          <w:cols w:equalWidth="0" w:num="1">
            <w:col w:w="9420"/>
          </w:cols>
          <w:pgMar w:left="1240" w:top="1255" w:right="1214" w:bottom="0" w:gutter="0" w:footer="0" w:header="0"/>
          <w:type w:val="continuous"/>
        </w:sectPr>
      </w:pPr>
    </w:p>
    <w:bookmarkStart w:id="21" w:name="page22"/>
    <w:bookmarkEnd w:id="21"/>
    <w:p>
      <w:pPr>
        <w:ind w:left="480"/>
        <w:spacing w:after="0"/>
        <w:rPr>
          <w:sz w:val="20"/>
          <w:szCs w:val="20"/>
          <w:color w:val="auto"/>
        </w:rPr>
      </w:pPr>
      <w:r>
        <w:rPr>
          <w:rFonts w:ascii="Arial" w:cs="Arial" w:eastAsia="Arial" w:hAnsi="Arial"/>
          <w:sz w:val="20"/>
          <w:szCs w:val="20"/>
          <w:i w:val="1"/>
          <w:iCs w:val="1"/>
          <w:color w:val="auto"/>
        </w:rPr>
        <w:t>Figure 7. Treatment with Fosgonimeton Induces Directional Improvements in Protein Hallmarks of</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71755</wp:posOffset>
            </wp:positionV>
            <wp:extent cx="5759450" cy="2486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extLst>
                    </a:blip>
                    <a:srcRect/>
                    <a:stretch>
                      <a:fillRect/>
                    </a:stretch>
                  </pic:blipFill>
                  <pic:spPr bwMode="auto">
                    <a:xfrm>
                      <a:off x="0" y="0"/>
                      <a:ext cx="5759450" cy="2486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Supportive of the potentially neuroprotective mechanism of action of the neurotrophic HGF system, treatment with fosgonimeton showed a statistically significant improvement in NfL (an objective marker of neurodegeneration) levels, even to the extent of improvement below baseline (Figure 8). This decrease of NfL below baseline levels (-6.49 pg/mL, p=0.0241), is suggestive of repair in this continuously progressive condition.</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20"/>
          <w:szCs w:val="20"/>
          <w:i w:val="1"/>
          <w:iCs w:val="1"/>
          <w:color w:val="auto"/>
        </w:rPr>
        <w:t>Figure 8. Treatment with Fosgonimeton Shows Neuroprotective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1261745</wp:posOffset>
            </wp:positionH>
            <wp:positionV relativeFrom="paragraph">
              <wp:posOffset>83185</wp:posOffset>
            </wp:positionV>
            <wp:extent cx="3419475" cy="28581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extLst>
                    </a:blip>
                    <a:srcRect/>
                    <a:stretch>
                      <a:fillRect/>
                    </a:stretch>
                  </pic:blipFill>
                  <pic:spPr bwMode="auto">
                    <a:xfrm>
                      <a:off x="0" y="0"/>
                      <a:ext cx="3419475" cy="285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490"/>
        <w:spacing w:after="0" w:line="260" w:lineRule="auto"/>
        <w:rPr>
          <w:sz w:val="20"/>
          <w:szCs w:val="20"/>
          <w:color w:val="auto"/>
        </w:rPr>
      </w:pPr>
      <w:r>
        <w:rPr>
          <w:rFonts w:ascii="Arial" w:cs="Arial" w:eastAsia="Arial" w:hAnsi="Arial"/>
          <w:sz w:val="19"/>
          <w:szCs w:val="19"/>
          <w:color w:val="auto"/>
        </w:rPr>
        <w:t>With the potential of fosgonimeton to be both neuroprotective and anti-inflammatory for AD, we assessed the relevance or predictive value of these biomarkers potentially translating to clinical effects. A correlation analysis of NfL and GFAP with the GST, a composite endpoint of cognition (ADAS-Cog11), and function (ADCS-ADL23), and the primary endpoint of our ongoing Phase 2/3 LIFT-AD trial was performed. In Figure 9, scatterplots from the full ACT- AD trial population are shown with the CFB in the GST on the Y axis and on the X axis, CFB in NfL on the left and GFAP on the right, respectively. From this analysis, we showed the statistically significant correlation between clinical and plasma biomarker improvements, and despite the limited trial size, these data support the interpretation of the clinical results.</w:t>
      </w:r>
    </w:p>
    <w:p>
      <w:pPr>
        <w:sectPr>
          <w:pgSz w:w="11880" w:h="15474" w:orient="portrait"/>
          <w:cols w:equalWidth="0" w:num="1">
            <w:col w:w="9360"/>
          </w:cols>
          <w:pgMar w:left="1240" w:top="1263"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880" w:h="15474" w:orient="portrait"/>
          <w:cols w:equalWidth="0" w:num="1">
            <w:col w:w="9360"/>
          </w:cols>
          <w:pgMar w:left="1240" w:top="1263" w:right="1274" w:bottom="0" w:gutter="0" w:footer="0" w:header="0"/>
          <w:type w:val="continuous"/>
        </w:sectPr>
      </w:pPr>
    </w:p>
    <w:bookmarkStart w:id="22" w:name="page23"/>
    <w:bookmarkEnd w:id="22"/>
    <w:p>
      <w:pPr>
        <w:jc w:val="both"/>
        <w:ind w:firstLine="490"/>
        <w:spacing w:after="0" w:line="275" w:lineRule="auto"/>
        <w:rPr>
          <w:sz w:val="20"/>
          <w:szCs w:val="20"/>
          <w:color w:val="auto"/>
        </w:rPr>
      </w:pPr>
      <w:r>
        <w:rPr>
          <w:rFonts w:ascii="Arial" w:cs="Arial" w:eastAsia="Arial" w:hAnsi="Arial"/>
          <w:sz w:val="20"/>
          <w:szCs w:val="20"/>
          <w:i w:val="1"/>
          <w:iCs w:val="1"/>
          <w:color w:val="auto"/>
        </w:rPr>
        <w:t>Figure 9. Decreases in Disease-State Biomarkers Significantly Correlate with Improvements in Cognitive and Functional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938520" cy="2634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extLst>
                    </a:blip>
                    <a:srcRect/>
                    <a:stretch>
                      <a:fillRect/>
                    </a:stretch>
                  </pic:blipFill>
                  <pic:spPr bwMode="auto">
                    <a:xfrm>
                      <a:off x="0" y="0"/>
                      <a:ext cx="5938520" cy="263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The consistent clinical effects and plasma biomarker data from this exploratory Phase 2 ACT-AD trial clinical effects and plasma biomarkers continue to support the multimodal mechanism of action by enhancing the neurotrophic HGF system through fosgonimeton and suggests that fosgonimeton may have potential benefit for Alzheimer’s patients.</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Phase 2/3 LIFT-AD Trial</w:t>
      </w:r>
    </w:p>
    <w:p>
      <w:pPr>
        <w:spacing w:after="0" w:line="116"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LIFT-AD is a randomized, double-blind, placebo-controlled, parallel-group 26-week Phase 2/3 clinical trial with fosgonimeton for the treatment of mild-to-moderate AD. In September 2020, we began site initiation and patient screening. The primary endpoint for LIFT-AD will be measured by the GST, which is a composite score of cognition (ADAS-Cog11) and function (ADCS-ADL23). Guided by the results from the completed exploratory Phase 2 ACT-AD trial, in September 2022, we proactively amended LIFT-AD to focus on participants not on background AChEIs. An unblinded adjudication of drug safety was performed by the drug safety monitoring board, which resulted in no serious adverse findings to date for both participants on or off background AChEIs.</w:t>
      </w:r>
    </w:p>
    <w:p>
      <w:pPr>
        <w:spacing w:after="0" w:line="74"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An independent DMC consisting of one neurologist and two biostatisticians, performed an unblinded efficacy and futility interim analysis using a 2011 published method by Mehta and Pocock. This adaptive method enables a sample-size re-estimation using actual observed interim data based on our co-key secondary endpoints, ADAS-Cog11 and ADCS-ADL23, which these two endpoints inform our primary endpoint, GST.</w:t>
      </w:r>
    </w:p>
    <w:p>
      <w:pPr>
        <w:spacing w:after="0" w:line="72"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Pre-specified constraints were protocolled in the interim SAP which consisted of a sample size range with a maximum enrollment limit, and a minimum target power. The formal efficacy analysis was then based on approximately 100 completers at week 26 (end of the double-blind treatment period) without background AChEIs. The primary analysis used was a mixed model for repeated measures, or MMRM, to compare the CFB in the GST between fosgonimeton treatment and placebo. Two potential outcomes were also pre-specified: 1) to stop the study for futility or 2) to continue the enrollment within the pre-specified range to achieve an adequate target power for the primary endpoint.</w:t>
      </w:r>
    </w:p>
    <w:p>
      <w:pPr>
        <w:spacing w:after="0" w:line="74"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Following this interim analysis, the DMC recommended to “continue LIFT-AD study” and also determined that, with the additional enrollment of fewer than 150 participants for a total enrollment of less than 300 participants without background AChEIs, the study will be well-powered for the primary endpoint given the preliminary effect size observed.</w:t>
      </w:r>
    </w:p>
    <w:p>
      <w:pPr>
        <w:sectPr>
          <w:pgSz w:w="11880" w:h="15474" w:orient="portrait"/>
          <w:cols w:equalWidth="0" w:num="1">
            <w:col w:w="9360"/>
          </w:cols>
          <w:pgMar w:left="1240" w:top="1263"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880" w:h="15474" w:orient="portrait"/>
          <w:cols w:equalWidth="0" w:num="1">
            <w:col w:w="9360"/>
          </w:cols>
          <w:pgMar w:left="1240" w:top="1263" w:right="1274" w:bottom="0" w:gutter="0" w:footer="0" w:header="0"/>
          <w:type w:val="continuous"/>
        </w:sectPr>
      </w:pPr>
    </w:p>
    <w:bookmarkStart w:id="23" w:name="page24"/>
    <w:bookmarkEnd w:id="23"/>
    <w:p>
      <w:pPr>
        <w:jc w:val="both"/>
        <w:ind w:firstLine="490"/>
        <w:spacing w:after="0" w:line="250" w:lineRule="auto"/>
        <w:rPr>
          <w:sz w:val="20"/>
          <w:szCs w:val="20"/>
          <w:color w:val="auto"/>
        </w:rPr>
      </w:pPr>
      <w:r>
        <w:rPr>
          <w:rFonts w:ascii="Arial" w:cs="Arial" w:eastAsia="Arial" w:hAnsi="Arial"/>
          <w:sz w:val="20"/>
          <w:szCs w:val="20"/>
          <w:color w:val="auto"/>
        </w:rPr>
        <w:t>Figure 10 below shows the pre-specified decision framework and potential outcomes for the primary GST composite endpoint of cognition (ADAS-Cog11) and function (ADCS-ADL23). The shaded area in grey was pre-determined as the futility zone where the recommended sample size would exceed Athira's pre-specified maximum and shaded in green are the GST combinations resulting in a recommendation from the DMC to continue the study.</w:t>
      </w:r>
    </w:p>
    <w:p>
      <w:pPr>
        <w:spacing w:after="0" w:line="80" w:lineRule="exact"/>
        <w:rPr>
          <w:sz w:val="20"/>
          <w:szCs w:val="20"/>
          <w:color w:val="auto"/>
        </w:rPr>
      </w:pPr>
    </w:p>
    <w:p>
      <w:pPr>
        <w:jc w:val="both"/>
        <w:ind w:firstLine="490"/>
        <w:spacing w:after="0" w:line="275" w:lineRule="auto"/>
        <w:rPr>
          <w:sz w:val="20"/>
          <w:szCs w:val="20"/>
          <w:color w:val="auto"/>
        </w:rPr>
      </w:pPr>
      <w:r>
        <w:rPr>
          <w:rFonts w:ascii="Arial" w:cs="Arial" w:eastAsia="Arial" w:hAnsi="Arial"/>
          <w:sz w:val="20"/>
          <w:szCs w:val="20"/>
          <w:i w:val="1"/>
          <w:iCs w:val="1"/>
          <w:color w:val="auto"/>
        </w:rPr>
        <w:t>Figure 10. Independent DMC Recommends to Continue LIFT-AD after Unblinded Interim Analysis Using a Published Methodology and Pre-Specified Decision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5943600" cy="2371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extLst>
                    </a:blip>
                    <a:srcRect/>
                    <a:stretch>
                      <a:fillRect/>
                    </a:stretch>
                  </pic:blipFill>
                  <pic:spPr bwMode="auto">
                    <a:xfrm>
                      <a:off x="0" y="0"/>
                      <a:ext cx="5943600" cy="2371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360"/>
        <w:spacing w:after="0" w:line="238" w:lineRule="auto"/>
        <w:rPr>
          <w:sz w:val="20"/>
          <w:szCs w:val="20"/>
          <w:color w:val="auto"/>
        </w:rPr>
      </w:pPr>
      <w:r>
        <w:rPr>
          <w:rFonts w:ascii="Arial" w:cs="Arial" w:eastAsia="Arial" w:hAnsi="Arial"/>
          <w:sz w:val="16"/>
          <w:szCs w:val="16"/>
          <w:color w:val="A6A6A6"/>
        </w:rPr>
        <w:t xml:space="preserve">Conducted by DMC: Chair neurologist (MD) and two biostatisticians (PhD); </w:t>
      </w:r>
      <w:r>
        <w:rPr>
          <w:rFonts w:ascii="Arial" w:cs="Arial" w:eastAsia="Arial" w:hAnsi="Arial"/>
          <w:sz w:val="19"/>
          <w:szCs w:val="19"/>
          <w:color w:val="A6A6A6"/>
          <w:vertAlign w:val="superscript"/>
        </w:rPr>
        <w:t>1</w:t>
      </w:r>
      <w:r>
        <w:rPr>
          <w:rFonts w:ascii="Arial" w:cs="Arial" w:eastAsia="Arial" w:hAnsi="Arial"/>
          <w:sz w:val="16"/>
          <w:szCs w:val="16"/>
          <w:color w:val="A6A6A6"/>
        </w:rPr>
        <w:t>Primary endpoint is the global statistical test, an unweighted composite of ADAS-Cog11 and ADCS-ADL23. AD, Alzheimer’s disease; ADAS-Cog11, Alzheimer’s Disease Assessment Scale–Cognitive Subscale; ADCS-ADL23, Alzheimer’s Disease Cooperative Study–Activities of Daily Living; DMC, data monitoring committee.</w:t>
      </w:r>
    </w:p>
    <w:p>
      <w:pPr>
        <w:spacing w:after="0" w:line="87"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The results from the DMC unblinded analysis give us confidence in a potentially positive outcome for LIFT-AD. Stringent evaluation criteria were applied based on validated and clinically meaningful cognitive and functional outcomes, which support the potential clinical benefits and underscores the rationale for continued development of fosgonimeton.</w:t>
      </w:r>
    </w:p>
    <w:p>
      <w:pPr>
        <w:spacing w:after="0" w:line="67"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In May 2023, we amended the LIFT-AD trial to focus ongoing enrollment and the primary analysis on the 40 mg dose versus placebo. Enrollment of the 70 mg arm of the trial was discontinued. The dose selection was based on a review of the totality of the data across preclinical and clinical studies, observations from the OLEX and in consultation with independent regulatory and biostatistical experts based on patients treated with 40 mg fosgonimeton without concomitant AChEIs.</w:t>
      </w:r>
    </w:p>
    <w:p>
      <w:pPr>
        <w:spacing w:after="0" w:line="72"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In July 2023, we completed an end of Phase 2 meeting with the FDA to gain alignment on our plans for the continued clinical development of fosgonimeton as a potential treatment for mild-to-moderate AD. We provided an update and discussed with the FDA the ongoing LIFT-AD trial including use of the 40 mg dose, concomitant AChEI use, biomarker analyses including NfL, and the SAP.</w:t>
      </w:r>
    </w:p>
    <w:p>
      <w:pPr>
        <w:spacing w:after="0" w:line="66"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color w:val="auto"/>
        </w:rPr>
        <w:t>The LIFT-AD trial is ongoing with the completion of enrollment announced in January 2024 and topline data expected in the second half of 2024.</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Open Label Extension Trial*</w:t>
      </w:r>
    </w:p>
    <w:p>
      <w:pPr>
        <w:spacing w:after="0" w:line="115"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19"/>
          <w:szCs w:val="19"/>
          <w:color w:val="auto"/>
        </w:rPr>
        <w:t>In July 2021, we announced that we are enrolling patients into an optional 26-week OLEX for our LIFT-AD and ACT-AD clinical trials. In May 2022 and again in May 2023, we announced extensions of the 26-week OLEX for our LIFT-AD and ACT-AD clinical trials for a total of 24 additional months. These extensions enable eligible participants who have completed either trial, and elect to participate in the ongoing OLEX, to now receive up to 30 months of open-label treatment with fosgonimeton, which will allow us to collect up to a total of three years of safety data with fosgonimeton. As of year-end 2023, greater than 85% of patients who have completed either study have elected to participate in the OLEX and currently more than 60 patients have continued on OLEX beyond 18 months of investigational treatment.</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880" w:h="15474" w:orient="portrait"/>
          <w:cols w:equalWidth="0" w:num="1">
            <w:col w:w="9360"/>
          </w:cols>
          <w:pgMar w:left="1240" w:top="1255" w:right="1274" w:bottom="0" w:gutter="0" w:footer="0" w:header="0"/>
          <w:type w:val="continuous"/>
        </w:sectPr>
      </w:pPr>
    </w:p>
    <w:bookmarkStart w:id="24" w:name="page25"/>
    <w:bookmarkEnd w:id="24"/>
    <w:p>
      <w:pPr>
        <w:jc w:val="both"/>
        <w:spacing w:after="0" w:line="251" w:lineRule="auto"/>
        <w:rPr>
          <w:sz w:val="20"/>
          <w:szCs w:val="20"/>
          <w:color w:val="auto"/>
        </w:rPr>
      </w:pPr>
      <w:r>
        <w:rPr>
          <w:rFonts w:ascii="Arial" w:cs="Arial" w:eastAsia="Arial" w:hAnsi="Arial"/>
          <w:sz w:val="20"/>
          <w:szCs w:val="20"/>
          <w:i w:val="1"/>
          <w:iCs w:val="1"/>
          <w:color w:val="auto"/>
        </w:rPr>
        <w:t>*The ACT-AD trial and the related OLEX for ACT-AD participants have been supported by a grant from the National Institute on Aging of the National Institutes of Health under Award Number R01AG06268. The information presented is solely the responsibility of Athira and does not necessarily represent the official views of the National Institutes of Health.</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Fosgonimeton for PD</w:t>
      </w:r>
    </w:p>
    <w:p>
      <w:pPr>
        <w:spacing w:after="0" w:line="116"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In PD-relevant cellular and animal models, treatment with fosgonimeton or fosgo-AM demonstrated significant neuroprotective, neurotrophic and motor function improvements. Data supporting these findings were presented at the Society for Neuroscience Annual Conference in November 2022, the American Society for Experimental Neurotherapeutics Annual Meeting in March 2023, and at the AD/PD Conference in March 2023.</w:t>
      </w:r>
    </w:p>
    <w:p>
      <w:pPr>
        <w:spacing w:after="0" w:line="72"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19"/>
          <w:szCs w:val="19"/>
          <w:color w:val="auto"/>
        </w:rPr>
        <w:t xml:space="preserve">Fosgo-AM significantly protected against neurotoxic insults and minimized PD-related toxic protein buildup in neuron-based models of disease. Figure 11 below shows results from cell models of PD exposed to the neurotoxin rotenone. Tyrosine hydroxylase, or TH+, staining in green identifies dopaminergic </w:t>
      </w:r>
      <w:r>
        <w:rPr>
          <w:rFonts w:ascii="PMingLiU" w:cs="PMingLiU" w:eastAsia="PMingLiU" w:hAnsi="PMingLiU"/>
          <w:sz w:val="19"/>
          <w:szCs w:val="19"/>
          <w:color w:val="auto"/>
        </w:rPr>
        <w:t xml:space="preserve">QHXURQVWKHQHXURQVSULPDULO\DIIHFWHGLQ3'DQG </w:t>
      </w:r>
      <w:r>
        <w:rPr>
          <w:rFonts w:ascii="Arial" w:cs="Arial" w:eastAsia="Arial" w:hAnsi="Arial"/>
          <w:sz w:val="19"/>
          <w:szCs w:val="19"/>
          <w:color w:val="auto"/>
        </w:rPr>
        <w:t>-synuclein staining in red identifies the toxic aggregates</w:t>
      </w:r>
      <w:r>
        <w:rPr>
          <w:rFonts w:ascii="PMingLiU" w:cs="PMingLiU" w:eastAsia="PMingLiU" w:hAnsi="PMingLiU"/>
          <w:sz w:val="19"/>
          <w:szCs w:val="19"/>
          <w:color w:val="auto"/>
        </w:rPr>
        <w:t xml:space="preserve"> </w:t>
      </w:r>
      <w:r>
        <w:rPr>
          <w:rFonts w:ascii="Arial" w:cs="Arial" w:eastAsia="Arial" w:hAnsi="Arial"/>
          <w:sz w:val="19"/>
          <w:szCs w:val="19"/>
          <w:color w:val="auto"/>
        </w:rPr>
        <w:t>found in PD pathology. The leftmost image shows cultures not exposed to rotenone toxin where TH+ dopaminergic neurons are abundant with rob</w:t>
      </w:r>
      <w:r>
        <w:rPr>
          <w:rFonts w:ascii="PMingLiU" w:cs="PMingLiU" w:eastAsia="PMingLiU" w:hAnsi="PMingLiU"/>
          <w:sz w:val="19"/>
          <w:szCs w:val="19"/>
          <w:color w:val="auto"/>
        </w:rPr>
        <w:t xml:space="preserve">XVWQHXULWHVDQGPLQLPDODFFXPXODWLRQRI </w:t>
      </w:r>
      <w:r>
        <w:rPr>
          <w:rFonts w:ascii="Arial" w:cs="Arial" w:eastAsia="Arial" w:hAnsi="Arial"/>
          <w:sz w:val="19"/>
          <w:szCs w:val="19"/>
          <w:color w:val="auto"/>
        </w:rPr>
        <w:t xml:space="preserve">-synuclein within the cell. In the rightmost image, treatment with fosgo-AM significantly preserved the number of healthy </w:t>
      </w:r>
      <w:r>
        <w:rPr>
          <w:rFonts w:ascii="PMingLiU" w:cs="PMingLiU" w:eastAsia="PMingLiU" w:hAnsi="PMingLiU"/>
          <w:sz w:val="19"/>
          <w:szCs w:val="19"/>
          <w:color w:val="auto"/>
        </w:rPr>
        <w:t xml:space="preserve">GRSDPLQHUJLFQHXURQVDQGUHGXFHGWR[LF </w:t>
      </w:r>
      <w:r>
        <w:rPr>
          <w:rFonts w:ascii="Arial" w:cs="Arial" w:eastAsia="Arial" w:hAnsi="Arial"/>
          <w:sz w:val="19"/>
          <w:szCs w:val="19"/>
          <w:color w:val="auto"/>
        </w:rPr>
        <w:t>-synuclein aggregation in rotenone-toxic conditions, compared</w:t>
      </w:r>
      <w:r>
        <w:rPr>
          <w:rFonts w:ascii="PMingLiU" w:cs="PMingLiU" w:eastAsia="PMingLiU" w:hAnsi="PMingLiU"/>
          <w:sz w:val="19"/>
          <w:szCs w:val="19"/>
          <w:color w:val="auto"/>
        </w:rPr>
        <w:t xml:space="preserve"> </w:t>
      </w:r>
      <w:r>
        <w:rPr>
          <w:rFonts w:ascii="Arial" w:cs="Arial" w:eastAsia="Arial" w:hAnsi="Arial"/>
          <w:sz w:val="19"/>
          <w:szCs w:val="19"/>
          <w:color w:val="auto"/>
        </w:rPr>
        <w:t>to the middle image showing cultures exposed to rotenone but treated with vehicle only. Quantification of fosgo-AM effects on reducing rotenone-</w:t>
      </w:r>
      <w:r>
        <w:rPr>
          <w:rFonts w:ascii="PMingLiU" w:cs="PMingLiU" w:eastAsia="PMingLiU" w:hAnsi="PMingLiU"/>
          <w:sz w:val="19"/>
          <w:szCs w:val="19"/>
          <w:color w:val="auto"/>
        </w:rPr>
        <w:t xml:space="preserve">LQGXFHGGRSDPLQHUJLFQHXURQGHDWKDQG </w:t>
      </w:r>
      <w:r>
        <w:rPr>
          <w:rFonts w:ascii="Arial" w:cs="Arial" w:eastAsia="Arial" w:hAnsi="Arial"/>
          <w:sz w:val="19"/>
          <w:szCs w:val="19"/>
          <w:color w:val="auto"/>
        </w:rPr>
        <w:t>-synuclein aggregation are shown in the bar charts.</w:t>
      </w:r>
    </w:p>
    <w:p>
      <w:pPr>
        <w:spacing w:after="0" w:line="81"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20"/>
          <w:szCs w:val="20"/>
          <w:i w:val="1"/>
          <w:iCs w:val="1"/>
          <w:color w:val="auto"/>
        </w:rPr>
        <w:t>Figure 11. Fosgo-</w:t>
      </w:r>
      <w:r>
        <w:rPr>
          <w:rFonts w:ascii="PMingLiU" w:cs="PMingLiU" w:eastAsia="PMingLiU" w:hAnsi="PMingLiU"/>
          <w:sz w:val="20"/>
          <w:szCs w:val="20"/>
          <w:i w:val="1"/>
          <w:iCs w:val="1"/>
          <w:color w:val="auto"/>
        </w:rPr>
        <w:t xml:space="preserve">$ 05HGXFHV </w:t>
      </w:r>
      <w:r>
        <w:rPr>
          <w:rFonts w:ascii="Arial" w:cs="Arial" w:eastAsia="Arial" w:hAnsi="Arial"/>
          <w:sz w:val="20"/>
          <w:szCs w:val="20"/>
          <w:i w:val="1"/>
          <w:iCs w:val="1"/>
          <w:color w:val="auto"/>
        </w:rPr>
        <w:t>-synuclein Aggregation and Protects Dopaminergic Neurons from Degeneration Induced by the Neurotoxin Rotenone in Primary Mesencephalic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5942965" cy="2273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extLst>
                    </a:blip>
                    <a:srcRect/>
                    <a:stretch>
                      <a:fillRect/>
                    </a:stretch>
                  </pic:blipFill>
                  <pic:spPr bwMode="auto">
                    <a:xfrm>
                      <a:off x="0" y="0"/>
                      <a:ext cx="5942965" cy="227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00"/>
        <w:spacing w:after="0" w:line="246" w:lineRule="auto"/>
        <w:rPr>
          <w:sz w:val="20"/>
          <w:szCs w:val="20"/>
          <w:color w:val="auto"/>
        </w:rPr>
      </w:pPr>
      <w:r>
        <w:rPr>
          <w:rFonts w:ascii="Arial" w:cs="Arial" w:eastAsia="Arial" w:hAnsi="Arial"/>
          <w:sz w:val="16"/>
          <w:szCs w:val="16"/>
          <w:color w:val="A6A6A6"/>
        </w:rPr>
        <w:t xml:space="preserve">Data presented as mean + SEM. Statistics applied: 1-way ANOVA with Fisher least significant difference test. ***p&lt;0.001 versus </w:t>
      </w:r>
      <w:r>
        <w:rPr>
          <w:rFonts w:ascii="PMingLiU" w:cs="PMingLiU" w:eastAsia="PMingLiU" w:hAnsi="PMingLiU"/>
          <w:sz w:val="16"/>
          <w:szCs w:val="16"/>
          <w:color w:val="A6A6A6"/>
        </w:rPr>
        <w:t>5RWHQRQH&amp;RQWURO6FDOHEDU  PQ </w:t>
      </w:r>
      <w:r>
        <w:rPr>
          <w:rFonts w:ascii="Arial" w:cs="Arial" w:eastAsia="Arial" w:hAnsi="Arial"/>
          <w:sz w:val="16"/>
          <w:szCs w:val="16"/>
          <w:color w:val="A6A6A6"/>
        </w:rPr>
        <w:t>-6 per group</w:t>
      </w:r>
    </w:p>
    <w:p>
      <w:pPr>
        <w:spacing w:after="0" w:line="195" w:lineRule="exact"/>
        <w:rPr>
          <w:sz w:val="20"/>
          <w:szCs w:val="20"/>
          <w:color w:val="auto"/>
        </w:rPr>
      </w:pPr>
      <w:r>
        <w:rPr>
          <w:rFonts w:ascii="Arial Unicode MS" w:cs="Arial Unicode MS" w:eastAsia="Arial Unicode MS" w:hAnsi="Arial Unicode MS"/>
          <w:sz w:val="16"/>
          <w:szCs w:val="16"/>
          <w:color w:val="A6A6A6"/>
        </w:rPr>
        <w:t>Į</w:t>
      </w:r>
      <w:r>
        <w:rPr>
          <w:rFonts w:ascii="Arial" w:cs="Arial" w:eastAsia="Arial" w:hAnsi="Arial"/>
          <w:sz w:val="16"/>
          <w:szCs w:val="16"/>
          <w:color w:val="A6A6A6"/>
        </w:rPr>
        <w:t>-syn; alpha synuclein; fosgo-AM, fosgonimeton active metabolite; TH, tyrosine hydroxylase.</w:t>
      </w:r>
    </w:p>
    <w:p>
      <w:pPr>
        <w:spacing w:after="0" w:line="85"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Cellular improvements translated to improvements in motor function in several behavioral assessments, including improved coordination, balance and strength. Figure 12 below are two examples of improved motor function in a 6-hydroxydopamine, or 6-OHDA, rat model of PD, where treatment with fosgonimeton rescues muscular strength in the grip test, balance and coordination deficits in the rotarod test.</w:t>
      </w:r>
    </w:p>
    <w:p>
      <w:pPr>
        <w:sectPr>
          <w:pgSz w:w="11880" w:h="15474" w:orient="portrait"/>
          <w:cols w:equalWidth="0" w:num="1">
            <w:col w:w="9360"/>
          </w:cols>
          <w:pgMar w:left="1240" w:top="1263"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880" w:h="15474" w:orient="portrait"/>
          <w:cols w:equalWidth="0" w:num="1">
            <w:col w:w="9360"/>
          </w:cols>
          <w:pgMar w:left="1240" w:top="1263" w:right="1274" w:bottom="0" w:gutter="0" w:footer="0" w:header="0"/>
          <w:type w:val="continuous"/>
        </w:sectPr>
      </w:pPr>
    </w:p>
    <w:bookmarkStart w:id="25" w:name="page26"/>
    <w:bookmarkEnd w:id="25"/>
    <w:p>
      <w:pPr>
        <w:jc w:val="both"/>
        <w:ind w:firstLine="490"/>
        <w:spacing w:after="0" w:line="275" w:lineRule="auto"/>
        <w:rPr>
          <w:sz w:val="20"/>
          <w:szCs w:val="20"/>
          <w:color w:val="auto"/>
        </w:rPr>
      </w:pPr>
      <w:r>
        <w:rPr>
          <w:rFonts w:ascii="Arial" w:cs="Arial" w:eastAsia="Arial" w:hAnsi="Arial"/>
          <w:sz w:val="20"/>
          <w:szCs w:val="20"/>
          <w:i w:val="1"/>
          <w:iCs w:val="1"/>
          <w:color w:val="auto"/>
        </w:rPr>
        <w:t>Figure 12. Fosgonimeton Rescues Grip Strength and Balance and Coordination Deficits in a Rat Model of 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5943600" cy="27241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extLst>
                    </a:blip>
                    <a:srcRect/>
                    <a:stretch>
                      <a:fillRect/>
                    </a:stretch>
                  </pic:blipFill>
                  <pic:spPr bwMode="auto">
                    <a:xfrm>
                      <a:off x="0" y="0"/>
                      <a:ext cx="5943600" cy="2724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6A6A6"/>
        </w:rPr>
        <w:t>Data presented as means ± SEM. Statistics applied: 2-way ANOVA with Dunnett test. Statistical significance indicated with * represent sham control versus disease control; # represent fosgonimeton versus disease control. For all symbols: *p&lt;0.05; **p&lt;0.01; ***p&lt;0.001; ****p&lt;0.0001 versus disease control.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6A6A6"/>
        </w:rPr>
        <w:t>6-OHDA, 6-hydroxydopamine.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Exploratory Phase 2 SHAPE Trial</w:t>
      </w:r>
    </w:p>
    <w:p>
      <w:pPr>
        <w:spacing w:after="0" w:line="346"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The exploratory Phase 2 clinical trial, SHAPE, tested 40 and 70 mg fosgonimeton doses versus placebo in PDD and DLB. The trial enrolled 28 participants and we reported topline results in December 2023. The primary endpoint of the trial, a composite score of the change in ERP P300 latency and cognitive assessment (ADAS-Cog13), was not met by protocoled analysis compared with placebo. Directionally positive results were observed for the 40 mg fosgonimeton dose group with improvements in cognitive, functional and biomarker measurements. In particular (see Figure 13 below), the five patients in the mITT population treated with fosgonimeton 40 mg once daily saw improvement in ADAS-Cog13 individually, and collectively improved compared with placebo (n=7 mITT, one-sided p=0.0321). Results for patients in the 70 mg dose group were inconsistent.</w:t>
      </w:r>
    </w:p>
    <w:p>
      <w:pPr>
        <w:sectPr>
          <w:pgSz w:w="11880" w:h="15474" w:orient="portrait"/>
          <w:cols w:equalWidth="0" w:num="1">
            <w:col w:w="9360"/>
          </w:cols>
          <w:pgMar w:left="1240" w:top="1263"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880" w:h="15474" w:orient="portrait"/>
          <w:cols w:equalWidth="0" w:num="1">
            <w:col w:w="9360"/>
          </w:cols>
          <w:pgMar w:left="1240" w:top="1263" w:right="1274" w:bottom="0" w:gutter="0" w:footer="0" w:header="0"/>
          <w:type w:val="continuous"/>
        </w:sectPr>
      </w:pPr>
    </w:p>
    <w:bookmarkStart w:id="26" w:name="page27"/>
    <w:bookmarkEnd w:id="26"/>
    <w:p>
      <w:pPr>
        <w:ind w:left="480"/>
        <w:spacing w:after="0"/>
        <w:rPr>
          <w:sz w:val="20"/>
          <w:szCs w:val="20"/>
          <w:color w:val="auto"/>
        </w:rPr>
      </w:pPr>
      <w:r>
        <w:rPr>
          <w:rFonts w:ascii="Arial" w:cs="Arial" w:eastAsia="Arial" w:hAnsi="Arial"/>
          <w:sz w:val="20"/>
          <w:szCs w:val="20"/>
          <w:i w:val="1"/>
          <w:iCs w:val="1"/>
          <w:color w:val="auto"/>
        </w:rPr>
        <w:t>Figure 13. ADAS-Cog13 Score Change from Baseline in mITT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83185</wp:posOffset>
            </wp:positionV>
            <wp:extent cx="5349240" cy="3326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extLst>
                    </a:blip>
                    <a:srcRect/>
                    <a:stretch>
                      <a:fillRect/>
                    </a:stretch>
                  </pic:blipFill>
                  <pic:spPr bwMode="auto">
                    <a:xfrm>
                      <a:off x="0" y="0"/>
                      <a:ext cx="534924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6A6A6"/>
        </w:rPr>
        <w:t>ADAS-Cog13: Alzheimer’s Disease Assessment Scale – Cognitive Subscale 13-item version; CI: Confident Interval; Baseline is defined as the mean of the pre-dose measurements. Multiple efficacy assessments are averaged if they fall at the same visit.</w:t>
      </w:r>
    </w:p>
    <w:p>
      <w:pPr>
        <w:spacing w:after="0" w:line="54"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We believe the totality of the preclinical and clinical evidence supports continued testing of neurotrophic HGF system modulators in PD. In the future we will consider how best to progress fosgonimeton or another of our neurotrophic HGF system modulators in clinical testing for this complex disease.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ATH-1105</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ATH-1105 Preclinical Evidence for ALS</w:t>
      </w:r>
    </w:p>
    <w:p>
      <w:pPr>
        <w:spacing w:after="0" w:line="235"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ATH-1105 is a novel oral small molecule drug candidate being assessed as a potential treatment for ALS. In a spinal motor neuron model, ATH-1105 significantly protected against neuron death by glutamate-induced excitotoxicity, while reducing pathological aggregation of TAR DNA-binding protein 43, or TDP-43. Figure 14 summarizes the data with images of microtubule-associated protein-2, or MAP-2-labeled spinal motor neurons in green, and extranuclear TDP-43 in red. In the control image on the left with no excitotoxic insult (glutamate), there is minimal overlap of MAP-2 neurons with extranuclear TDP-43. When glutamate is applied to the motor neuron cultures, there’s an overall reduction in the number of neurons and increased extranuclear TDP-43 as shown by overlapping red-green staining in the middle image. When cell cultures were treated with ATH-1105, the effect of glutamate-induced excitotoxicity on the overall number of motor neurons and extranuclear TDP-43 protein aggregation was significantly reduced, as seen in the rightmost image and as quantified in the bar graphs.</w:t>
      </w:r>
    </w:p>
    <w:p>
      <w:pPr>
        <w:sectPr>
          <w:pgSz w:w="11880" w:h="15474" w:orient="portrait"/>
          <w:cols w:equalWidth="0" w:num="1">
            <w:col w:w="9360"/>
          </w:cols>
          <w:pgMar w:left="1240" w:top="1263"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880" w:h="15474" w:orient="portrait"/>
          <w:cols w:equalWidth="0" w:num="1">
            <w:col w:w="9360"/>
          </w:cols>
          <w:pgMar w:left="1240" w:top="1263" w:right="1274" w:bottom="0" w:gutter="0" w:footer="0" w:header="0"/>
          <w:type w:val="continuous"/>
        </w:sectPr>
      </w:pPr>
    </w:p>
    <w:bookmarkStart w:id="27" w:name="page28"/>
    <w:bookmarkEnd w:id="27"/>
    <w:p>
      <w:pPr>
        <w:jc w:val="both"/>
        <w:ind w:firstLine="490"/>
        <w:spacing w:after="0" w:line="275" w:lineRule="auto"/>
        <w:rPr>
          <w:sz w:val="20"/>
          <w:szCs w:val="20"/>
          <w:color w:val="auto"/>
        </w:rPr>
      </w:pPr>
      <w:r>
        <w:rPr>
          <w:rFonts w:ascii="Arial" w:cs="Arial" w:eastAsia="Arial" w:hAnsi="Arial"/>
          <w:sz w:val="20"/>
          <w:szCs w:val="20"/>
          <w:i w:val="1"/>
          <w:iCs w:val="1"/>
          <w:color w:val="auto"/>
        </w:rPr>
        <w:t>Figure 14. ATH-1105 is Neuroprotective Against Excitotoxic Insult and Reduces Extranuclear TDP-43 Levels in Spinal Motor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5942330" cy="23895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extLst>
                        <a:ext uri="{28A0092B-C50C-407E-A947-70E740481C1C}"/>
                      </a:extLst>
                    </a:blip>
                    <a:srcRect/>
                    <a:stretch>
                      <a:fillRect/>
                    </a:stretch>
                  </pic:blipFill>
                  <pic:spPr bwMode="auto">
                    <a:xfrm>
                      <a:off x="0" y="0"/>
                      <a:ext cx="5942330" cy="238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6A6A6"/>
        </w:rPr>
        <w:t>Data presented as mean + SEM. Statistics applied: 1-way ANOVA with Fisher least significant difference test. *p&lt;0.05;</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6A6A6"/>
        </w:rPr>
        <w:t xml:space="preserve">**p&lt;0.01; ***p&lt;0.001 versus Glutamate Control. Scale bar: 100 </w:t>
      </w:r>
      <w:r>
        <w:rPr>
          <w:rFonts w:ascii="PMingLiU" w:cs="PMingLiU" w:eastAsia="PMingLiU" w:hAnsi="PMingLiU"/>
          <w:sz w:val="16"/>
          <w:szCs w:val="16"/>
          <w:color w:val="A6A6A6"/>
        </w:rPr>
        <w:t></w:t>
      </w:r>
      <w:r>
        <w:rPr>
          <w:rFonts w:ascii="Arial" w:cs="Arial" w:eastAsia="Arial" w:hAnsi="Arial"/>
          <w:sz w:val="16"/>
          <w:szCs w:val="16"/>
          <w:color w:val="A6A6A6"/>
        </w:rPr>
        <w:t>m. n=5-6 per group.</w:t>
      </w:r>
    </w:p>
    <w:p>
      <w:pPr>
        <w:spacing w:after="0"/>
        <w:rPr>
          <w:sz w:val="20"/>
          <w:szCs w:val="20"/>
          <w:color w:val="auto"/>
        </w:rPr>
      </w:pPr>
      <w:r>
        <w:rPr>
          <w:rFonts w:ascii="Arial" w:cs="Arial" w:eastAsia="Arial" w:hAnsi="Arial"/>
          <w:sz w:val="16"/>
          <w:szCs w:val="16"/>
          <w:color w:val="A6A6A6"/>
        </w:rPr>
        <w:t>MAP-2, microtubule-associated protein-2; TDP-43, TAR DNA-binding protein 43.</w:t>
      </w:r>
    </w:p>
    <w:p>
      <w:pPr>
        <w:spacing w:after="0" w:line="324"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Plasma biomarkers of inflammation and neurodegeneration were significantly reduced following treatment with ATH-1105 in a transgenic TDP-43-driven mouse model of ALS (Figure 15). These results support the anti-inflammatory and neuroprotective effects of ATH-1105 through enhancement of neurotrophic HGF system signaling. In the TDP-43-driven ALS model, significant increases in the proinflammatory cytokines tumor necrosis factor alpha, or TNF-alpha, and interleukin 6, or IL-6, were observed compared to healthy wild-type, or WT, control animals. When ALS-model mice, or ALS mice, were treated with ATH-1105 significant reductions in both TNF-alpha and IL-6 were observed, demonstrating anti-inflammatory activity. Consistent with the neuroprotective effects demonstrated in cell-based models, a significant reduction in plasma levels of the neurodegeneration biomarker, NfL, was observed in ALS mice treated with ATH-1105, which is indicative of neuroprotection.</w:t>
      </w:r>
    </w:p>
    <w:p>
      <w:pPr>
        <w:spacing w:after="0" w:line="91" w:lineRule="exact"/>
        <w:rPr>
          <w:sz w:val="20"/>
          <w:szCs w:val="20"/>
          <w:color w:val="auto"/>
        </w:rPr>
      </w:pPr>
    </w:p>
    <w:p>
      <w:pPr>
        <w:jc w:val="both"/>
        <w:ind w:firstLine="489"/>
        <w:spacing w:after="0" w:line="275" w:lineRule="auto"/>
        <w:rPr>
          <w:sz w:val="20"/>
          <w:szCs w:val="20"/>
          <w:color w:val="auto"/>
        </w:rPr>
      </w:pPr>
      <w:r>
        <w:rPr>
          <w:rFonts w:ascii="Arial" w:cs="Arial" w:eastAsia="Arial" w:hAnsi="Arial"/>
          <w:sz w:val="20"/>
          <w:szCs w:val="20"/>
          <w:i w:val="1"/>
          <w:iCs w:val="1"/>
          <w:color w:val="auto"/>
        </w:rPr>
        <w:t>Figure 15. ATH-1105 Improves Biomarkers of Inflammation and Neurodegeneration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40640</wp:posOffset>
            </wp:positionV>
            <wp:extent cx="5008245" cy="16617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extLst>
                    </a:blip>
                    <a:srcRect/>
                    <a:stretch>
                      <a:fillRect/>
                    </a:stretch>
                  </pic:blipFill>
                  <pic:spPr bwMode="auto">
                    <a:xfrm>
                      <a:off x="0" y="0"/>
                      <a:ext cx="5008245" cy="166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60"/>
        <w:spacing w:after="0" w:line="244" w:lineRule="auto"/>
        <w:rPr>
          <w:sz w:val="20"/>
          <w:szCs w:val="20"/>
          <w:color w:val="auto"/>
        </w:rPr>
      </w:pPr>
      <w:r>
        <w:rPr>
          <w:rFonts w:ascii="Arial" w:cs="Arial" w:eastAsia="Arial" w:hAnsi="Arial"/>
          <w:sz w:val="16"/>
          <w:szCs w:val="16"/>
          <w:color w:val="A6A6A6"/>
        </w:rPr>
        <w:t>Graphical representation of plasma IL-6, TNF-</w:t>
      </w:r>
      <w:r>
        <w:rPr>
          <w:rFonts w:ascii="PMingLiU" w:cs="PMingLiU" w:eastAsia="PMingLiU" w:hAnsi="PMingLiU"/>
          <w:sz w:val="16"/>
          <w:szCs w:val="16"/>
          <w:color w:val="A6A6A6"/>
        </w:rPr>
        <w:t xml:space="preserve"> LQIROG</w:t>
      </w:r>
      <w:r>
        <w:rPr>
          <w:rFonts w:ascii="Arial" w:cs="Arial" w:eastAsia="Arial" w:hAnsi="Arial"/>
          <w:sz w:val="16"/>
          <w:szCs w:val="16"/>
          <w:color w:val="A6A6A6"/>
        </w:rPr>
        <w:t xml:space="preserve"> -difference over the WT + vehicle group, and NfL levels in ng/ml at two months of treatment. N=10 per group. Data presented as mean ± SEM. Statistical significance was determined by 1-way ANOVA with the Dunnett’s test versus ALS + vehicle. ****p&lt;0.0001.</w:t>
      </w:r>
    </w:p>
    <w:p>
      <w:pPr>
        <w:spacing w:after="0" w:line="1" w:lineRule="exact"/>
        <w:rPr>
          <w:sz w:val="20"/>
          <w:szCs w:val="20"/>
          <w:color w:val="auto"/>
        </w:rPr>
      </w:pPr>
    </w:p>
    <w:p>
      <w:pPr>
        <w:ind w:right="160"/>
        <w:spacing w:after="0" w:line="233" w:lineRule="auto"/>
        <w:rPr>
          <w:sz w:val="20"/>
          <w:szCs w:val="20"/>
          <w:color w:val="auto"/>
        </w:rPr>
      </w:pPr>
      <w:r>
        <w:rPr>
          <w:rFonts w:ascii="Arial" w:cs="Arial" w:eastAsia="Arial" w:hAnsi="Arial"/>
          <w:sz w:val="16"/>
          <w:szCs w:val="16"/>
          <w:color w:val="A6A6A6"/>
        </w:rPr>
        <w:t>ALS, amyotrophic lateral sclerosis; IL-6, interleukin 6; NfL, neurofilament light chain; TNF-</w:t>
      </w:r>
      <w:r>
        <w:rPr>
          <w:rFonts w:ascii="PMingLiU" w:cs="PMingLiU" w:eastAsia="PMingLiU" w:hAnsi="PMingLiU"/>
          <w:sz w:val="16"/>
          <w:szCs w:val="16"/>
          <w:color w:val="A6A6A6"/>
        </w:rPr>
        <w:t xml:space="preserve"> WXPRUQHFURVLVIDFWRUDOSKD:7ZLOG</w:t>
      </w:r>
      <w:r>
        <w:rPr>
          <w:rFonts w:ascii="Arial" w:cs="Arial" w:eastAsia="Arial" w:hAnsi="Arial"/>
          <w:sz w:val="16"/>
          <w:szCs w:val="16"/>
          <w:color w:val="A6A6A6"/>
        </w:rPr>
        <w:t>-type.</w:t>
      </w:r>
    </w:p>
    <w:p>
      <w:pPr>
        <w:sectPr>
          <w:pgSz w:w="11880" w:h="15474" w:orient="portrait"/>
          <w:cols w:equalWidth="0" w:num="1">
            <w:col w:w="9360"/>
          </w:cols>
          <w:pgMar w:left="1240" w:top="1263"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880" w:h="15474" w:orient="portrait"/>
          <w:cols w:equalWidth="0" w:num="1">
            <w:col w:w="9360"/>
          </w:cols>
          <w:pgMar w:left="1240" w:top="1263" w:right="1274" w:bottom="0" w:gutter="0" w:footer="0" w:header="0"/>
          <w:type w:val="continuous"/>
        </w:sectPr>
      </w:pPr>
    </w:p>
    <w:bookmarkStart w:id="28" w:name="page29"/>
    <w:bookmarkEnd w:id="28"/>
    <w:p>
      <w:pPr>
        <w:jc w:val="both"/>
        <w:ind w:firstLine="490"/>
        <w:spacing w:after="0" w:line="259" w:lineRule="auto"/>
        <w:rPr>
          <w:sz w:val="20"/>
          <w:szCs w:val="20"/>
          <w:color w:val="auto"/>
        </w:rPr>
      </w:pPr>
      <w:r>
        <w:rPr>
          <w:rFonts w:ascii="Arial" w:cs="Arial" w:eastAsia="Arial" w:hAnsi="Arial"/>
          <w:sz w:val="19"/>
          <w:szCs w:val="19"/>
          <w:color w:val="auto"/>
        </w:rPr>
        <w:t>Treatment with ATH- 1105 in a mouse model of ALS protected against axon degeneration and demyelination as observed from histological examination of cross-sections of the sciatic nerve. Figure 16 below includes an image of the sciatic nerve from a WT healthy control animal, on the left, featuring a large number of large diameter axons surrounded by a consistent and highly regular coating of myelin sheath. In the middle, a sciatic nerve image from an ALS disease control animal is shown, where a marked reduction in the number of axons, a decrease in average axon diameter, and irregular myelination is observed. On the right, when ALS animals are treated with ATH-1105, sciatic nerve integrity is preserved with a greater population of large diameter axons and preservation of regular myelination. Graphs below the images are quantified data showing these effects of ATH-1105 in a mouse model of ALS.</w:t>
      </w:r>
    </w:p>
    <w:p>
      <w:pPr>
        <w:spacing w:after="0" w:line="76"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20"/>
          <w:szCs w:val="20"/>
          <w:i w:val="1"/>
          <w:iCs w:val="1"/>
          <w:color w:val="auto"/>
        </w:rPr>
        <w:t>Figure 16. Treatment with ATH-1105 Protected Against Axon Degeneration and Demyelination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41275</wp:posOffset>
            </wp:positionV>
            <wp:extent cx="4961890" cy="31635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extLst>
                    </a:blip>
                    <a:srcRect/>
                    <a:stretch>
                      <a:fillRect/>
                    </a:stretch>
                  </pic:blipFill>
                  <pic:spPr bwMode="auto">
                    <a:xfrm>
                      <a:off x="0" y="0"/>
                      <a:ext cx="4961890" cy="316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6A6A6"/>
        </w:rPr>
        <w:t xml:space="preserve">Histology images of sciatic nerve cross-sections stained with </w:t>
      </w:r>
      <w:r>
        <w:rPr>
          <w:rFonts w:ascii="PMingLiU" w:cs="PMingLiU" w:eastAsia="PMingLiU" w:hAnsi="PMingLiU"/>
          <w:sz w:val="16"/>
          <w:szCs w:val="16"/>
          <w:color w:val="A6A6A6"/>
        </w:rPr>
        <w:t>WROXLGLQHEOXHWRODEHOP\HOLQ6FDOHLV PDOOSDQHOV*UDSKLFDO</w:t>
      </w:r>
      <w:r>
        <w:rPr>
          <w:rFonts w:ascii="Arial" w:cs="Arial" w:eastAsia="Arial" w:hAnsi="Arial"/>
          <w:sz w:val="16"/>
          <w:szCs w:val="16"/>
          <w:color w:val="A6A6A6"/>
        </w:rPr>
        <w:t xml:space="preserve"> representation of the number of axons (per 100 </w:t>
      </w:r>
      <w:r>
        <w:rPr>
          <w:rFonts w:ascii="PMingLiU" w:cs="PMingLiU" w:eastAsia="PMingLiU" w:hAnsi="PMingLiU"/>
          <w:sz w:val="16"/>
          <w:szCs w:val="16"/>
          <w:color w:val="A6A6A6"/>
        </w:rPr>
        <w:t></w:t>
      </w:r>
      <w:r>
        <w:rPr>
          <w:rFonts w:ascii="Arial" w:cs="Arial" w:eastAsia="Arial" w:hAnsi="Arial"/>
          <w:sz w:val="16"/>
          <w:szCs w:val="16"/>
          <w:color w:val="A6A6A6"/>
        </w:rPr>
        <w:t>m2), axonal diameter (in micrometers), and mean of myelin g-ratio, defined as the ratio of the inner axonal diameter to the total axonal diameter, following two months of treatment. Data presented as mean + SEM. Statistical significance was determined by 1-way ANOVA with the Dunnett’s test versus ALS + vehicle. ****p&lt;0.0001. ALS, amyotrophic lateral sclerosis; WT, wild-type.</w:t>
      </w:r>
    </w:p>
    <w:p>
      <w:pPr>
        <w:spacing w:after="0" w:line="313"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auto"/>
        </w:rPr>
        <w:t>Further analyses of electrophysiological and behavioral assessments indicated the protection of the motor neurons with ATH-1105 translated to improved nerve and motor function (Figure 17). Compound muscle action potential, or CMAP, and nerve conduction velocity, or NCV, are two electrophysiological measures of functional nerve signaling. Treatment with ATH-1105 in a mouse model of ALS demonstrated consistent and significant improvements of nerve function compared to ALS disease control animals.</w:t>
      </w:r>
    </w:p>
    <w:p>
      <w:pPr>
        <w:spacing w:after="0" w:line="55" w:lineRule="exact"/>
        <w:rPr>
          <w:sz w:val="20"/>
          <w:szCs w:val="20"/>
          <w:color w:val="auto"/>
        </w:rPr>
      </w:pPr>
    </w:p>
    <w:p>
      <w:pPr>
        <w:jc w:val="both"/>
        <w:ind w:firstLine="489"/>
        <w:spacing w:after="0" w:line="246" w:lineRule="auto"/>
        <w:rPr>
          <w:sz w:val="20"/>
          <w:szCs w:val="20"/>
          <w:color w:val="auto"/>
        </w:rPr>
      </w:pPr>
      <w:r>
        <w:rPr>
          <w:rFonts w:ascii="Arial" w:cs="Arial" w:eastAsia="Arial" w:hAnsi="Arial"/>
          <w:sz w:val="20"/>
          <w:szCs w:val="20"/>
          <w:color w:val="auto"/>
        </w:rPr>
        <w:t>Two examples of motor function improvements are shown by the rotarod, an assessment of balance and coordination, and the grip test, an assessment of strength. ALS disease control animals showed significant motor impairments compared to WT healthy control animals. ATH-1105 treatment in this mouse model of ALS led to significant improvements in both the rotarod and grip tests compared to the vehicle treated ALS disease control animals, demonstrating preservation of motor function. Other motor behavior tests assessing balance, coordination and muscle strength were the balance beam and Kondziela screen tests. Across all motor function measures, significant improvements were seen in ALS animals treated with ATH-1105 compared to ALS animals treated with vehicle.</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880" w:h="15474" w:orient="portrait"/>
          <w:cols w:equalWidth="0" w:num="1">
            <w:col w:w="9360"/>
          </w:cols>
          <w:pgMar w:left="1240" w:top="1255" w:right="1274" w:bottom="0" w:gutter="0" w:footer="0" w:header="0"/>
          <w:type w:val="continuous"/>
        </w:sectPr>
      </w:pPr>
    </w:p>
    <w:bookmarkStart w:id="29" w:name="page30"/>
    <w:bookmarkEnd w:id="29"/>
    <w:p>
      <w:pPr>
        <w:ind w:left="480"/>
        <w:spacing w:after="0"/>
        <w:rPr>
          <w:sz w:val="20"/>
          <w:szCs w:val="20"/>
          <w:color w:val="auto"/>
        </w:rPr>
      </w:pPr>
      <w:r>
        <w:rPr>
          <w:rFonts w:ascii="Arial" w:cs="Arial" w:eastAsia="Arial" w:hAnsi="Arial"/>
          <w:sz w:val="20"/>
          <w:szCs w:val="20"/>
          <w:i w:val="1"/>
          <w:iCs w:val="1"/>
          <w:color w:val="auto"/>
        </w:rPr>
        <w:t>Figure 17. Treatment with ATH-1105 Improves Nerve and Motor Function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83185</wp:posOffset>
            </wp:positionV>
            <wp:extent cx="4458335" cy="4472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extLst>
                    </a:blip>
                    <a:srcRect/>
                    <a:stretch>
                      <a:fillRect/>
                    </a:stretch>
                  </pic:blipFill>
                  <pic:spPr bwMode="auto">
                    <a:xfrm>
                      <a:off x="0" y="0"/>
                      <a:ext cx="4458335" cy="447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6A6A6"/>
        </w:rPr>
        <w:t>Graphical representation of CMAP amplitude, NCV, rotarod latency, and grip strength at baseline and after one and two months of treatment. Data presented as mean ± SEM. Statistical significance was determined by 2-way ANOVA with the Dunnett’s test versus ALS + vehicle. **p&lt;0.01; ***p&lt;0.001; ****p&lt;0.0001. N=10 per group.</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6A6A6"/>
        </w:rPr>
        <w:t>ALS, amyotrophic lateral sclerosis; CMAP, compound muscle action potential; NCV, nerve conduction velocity; WT, wild-type.</w:t>
      </w:r>
    </w:p>
    <w:p>
      <w:pPr>
        <w:spacing w:after="0" w:line="324"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color w:val="auto"/>
        </w:rPr>
        <w:t>The above study results, depicted in Figure 17, were presented at the American Academy of Neurology, or AAN, in April 2023, and the ALS Drug Development Summit in May 2023.</w:t>
      </w:r>
    </w:p>
    <w:p>
      <w:pPr>
        <w:spacing w:after="0" w:line="39"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Treatment with ATH-1105 in a mouse model of ALS extends survival and improves other disease-related measures. Figure 18 below compares ALS mice treated with oral ATH-1105 20 mg/kg once daily in blue with oral vehicle once daily treated ALS mice in red. Mice were treated from one month of age to a humane endpoint maximum of five months of age, for a total of up to four months of treatment. ATH-1105 increased time to first mortality and significantly prolonged survival compared to ALS disease control animals (p=0.0035). ATH-1105 also significantly protected against body weight reduction (p&lt;0.01). These findings were reported at the AAN 2023 Annual Meeting in April 2023.</w:t>
      </w:r>
    </w:p>
    <w:p>
      <w:pPr>
        <w:sectPr>
          <w:pgSz w:w="11880" w:h="15474" w:orient="portrait"/>
          <w:cols w:equalWidth="0" w:num="1">
            <w:col w:w="9360"/>
          </w:cols>
          <w:pgMar w:left="1240" w:top="1263"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880" w:h="15474" w:orient="portrait"/>
          <w:cols w:equalWidth="0" w:num="1">
            <w:col w:w="9360"/>
          </w:cols>
          <w:pgMar w:left="1240" w:top="1263" w:right="1274" w:bottom="0" w:gutter="0" w:footer="0" w:header="0"/>
          <w:type w:val="continuous"/>
        </w:sectPr>
      </w:pPr>
    </w:p>
    <w:bookmarkStart w:id="30" w:name="page31"/>
    <w:bookmarkEnd w:id="30"/>
    <w:p>
      <w:pPr>
        <w:ind w:left="480"/>
        <w:spacing w:after="0"/>
        <w:rPr>
          <w:sz w:val="20"/>
          <w:szCs w:val="20"/>
          <w:color w:val="auto"/>
        </w:rPr>
      </w:pPr>
      <w:r>
        <w:rPr>
          <w:rFonts w:ascii="Arial" w:cs="Arial" w:eastAsia="Arial" w:hAnsi="Arial"/>
          <w:sz w:val="20"/>
          <w:szCs w:val="20"/>
          <w:i w:val="1"/>
          <w:iCs w:val="1"/>
          <w:color w:val="auto"/>
        </w:rPr>
        <w:t>Figure 18. ATH-1105 Significantly Improved Survival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83185</wp:posOffset>
            </wp:positionV>
            <wp:extent cx="4107180" cy="27927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extLst>
                        <a:ext uri="{28A0092B-C50C-407E-A947-70E740481C1C}"/>
                      </a:extLst>
                    </a:blip>
                    <a:srcRect/>
                    <a:stretch>
                      <a:fillRect/>
                    </a:stretch>
                  </pic:blipFill>
                  <pic:spPr bwMode="auto">
                    <a:xfrm>
                      <a:off x="0" y="0"/>
                      <a:ext cx="4107180" cy="2792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6A6A6"/>
        </w:rPr>
        <w:t>Data presented as Kaplan-Meier curve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6A6A6"/>
        </w:rPr>
        <w:t>Statistics applied: Log-rank (Mantel-Cox) test for survival curve comparison, **p&lt;0.01. n=20 mice per group at start</w:t>
      </w:r>
    </w:p>
    <w:p>
      <w:pPr>
        <w:spacing w:after="0" w:line="325"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Treatment with ATH-1105 in a mouse model of ALS outperforms treatment with riluzole under the conditions tested in assessments of motor function, nerve function, and in reducing disease-related plasma biomarkers. Figure 19 below compares performance in the grip test of WT mice (grey) and transgenic ALS mice treated daily with vehicle (red), intraperitoneal riluzole 5 mg/kg (green), oral ATH-1105 20 mg/kg (blue), or both ATH-1105 and riluzole (purple). Mice treated with ATH-1105 alone and co-administration of riluzole and ATH-1105 consistently outperformed the vehicle- treated ALS disease control group. In both the ATH-1105 and the co-administration of ATH-1105 and riluzole groups, performance on the test approached that of the WT healthy control group. ATH-1105 treatment outperformed riluzole treatment in tests of motor function including the grip, rotarod, Kondziela screen, and balance beam tests. ATH-1105 also outperformed riluzole in tests of nerve function preservation including CMAP amplitude and NCV. ATH-1105 treatment further reduced plasma levels of IL-6 and TNF- alpha compared to riluzole, which are biomarkers of inflammation. ATH-1105 treatment also more greatly reduced plasma levels of NfL compared to riluzole, which is a biomarker of neurodegeneration. These findings were reported at the Northeast ALS Consortium meeting in October 2023, and the Motor Neurone Disease Association conference in December 2023.</w:t>
      </w:r>
    </w:p>
    <w:p>
      <w:pPr>
        <w:sectPr>
          <w:pgSz w:w="11880" w:h="15474" w:orient="portrait"/>
          <w:cols w:equalWidth="0" w:num="1">
            <w:col w:w="9360"/>
          </w:cols>
          <w:pgMar w:left="1240" w:top="1263"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880" w:h="15474" w:orient="portrait"/>
          <w:cols w:equalWidth="0" w:num="1">
            <w:col w:w="9360"/>
          </w:cols>
          <w:pgMar w:left="1240" w:top="1263" w:right="1274" w:bottom="0" w:gutter="0" w:footer="0" w:header="0"/>
          <w:type w:val="continuous"/>
        </w:sectPr>
      </w:pPr>
    </w:p>
    <w:bookmarkStart w:id="31" w:name="page32"/>
    <w:bookmarkEnd w:id="31"/>
    <w:p>
      <w:pPr>
        <w:ind w:right="360" w:firstLine="490"/>
        <w:spacing w:after="0" w:line="275" w:lineRule="auto"/>
        <w:rPr>
          <w:sz w:val="20"/>
          <w:szCs w:val="20"/>
          <w:color w:val="auto"/>
        </w:rPr>
      </w:pPr>
      <w:r>
        <w:rPr>
          <w:rFonts w:ascii="Arial" w:cs="Arial" w:eastAsia="Arial" w:hAnsi="Arial"/>
          <w:sz w:val="20"/>
          <w:szCs w:val="20"/>
          <w:i w:val="1"/>
          <w:iCs w:val="1"/>
          <w:color w:val="auto"/>
        </w:rPr>
        <w:t>Figure 19. ATH-1105 Preserves Motor and Nerve Function and Reduces Plasma NfL Compared with Riluzole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5942965" cy="2828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extLst>
                    </a:blip>
                    <a:srcRect/>
                    <a:stretch>
                      <a:fillRect/>
                    </a:stretch>
                  </pic:blipFill>
                  <pic:spPr bwMode="auto">
                    <a:xfrm>
                      <a:off x="0" y="0"/>
                      <a:ext cx="5942965" cy="2828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6A6A6"/>
        </w:rPr>
        <w:t>Graphical representation of change from baseline following two months of treatment in grip test, CMAP amplitude, and Plasma Nfl. Data presented as mean ± SEM, or box-and-whisker plots</w:t>
      </w:r>
    </w:p>
    <w:p>
      <w:pPr>
        <w:spacing w:after="0"/>
        <w:rPr>
          <w:sz w:val="20"/>
          <w:szCs w:val="20"/>
          <w:color w:val="auto"/>
        </w:rPr>
      </w:pPr>
      <w:r>
        <w:rPr>
          <w:rFonts w:ascii="Arial" w:cs="Arial" w:eastAsia="Arial" w:hAnsi="Arial"/>
          <w:sz w:val="16"/>
          <w:szCs w:val="16"/>
          <w:color w:val="A6A6A6"/>
        </w:rPr>
        <w:t>Statistics applied: One-way ANOVA with Dunnett’s test. *p&lt;0.05; **p&lt;0.01; *** p&lt;0.001; **** p&lt;0.0001. n=10 mice per group;</w:t>
      </w:r>
    </w:p>
    <w:p>
      <w:pPr>
        <w:spacing w:after="0"/>
        <w:rPr>
          <w:sz w:val="20"/>
          <w:szCs w:val="20"/>
          <w:color w:val="auto"/>
        </w:rPr>
      </w:pPr>
      <w:r>
        <w:rPr>
          <w:rFonts w:ascii="Arial" w:cs="Arial" w:eastAsia="Arial" w:hAnsi="Arial"/>
          <w:sz w:val="16"/>
          <w:szCs w:val="16"/>
          <w:color w:val="A6A6A6"/>
        </w:rPr>
        <w:t>Abbreviations: CFB, change from baseline, CMAP, compound muscle action potential, NfL, neurofilament light chain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Clinical Development Plan for ATH-1105 in ALS</w:t>
      </w:r>
    </w:p>
    <w:p>
      <w:pPr>
        <w:spacing w:after="0" w:line="115"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Weight loss, motor deficits, inflammatory effects, loss of muscle integrity, nerve degeneration and demyelination are all classical hallmarks of disease in people with ALS; treatment with ATH- 1105 significantly improved all of these deficits preclinically. We expect to submit an IND application to the FDA and commence ATH-1105 clinical testing in healthy volunteers in the first half of 2024. In this single ascending dose and multiple ascending dose, or SAD/MAD, Phase 1 trial, we expect to evaluate and establish safety and determine one or more doses for further potential testing in ALS patients.</w:t>
      </w:r>
    </w:p>
    <w:p>
      <w:pPr>
        <w:sectPr>
          <w:pgSz w:w="11880" w:h="15474" w:orient="portrait"/>
          <w:cols w:equalWidth="0" w:num="1">
            <w:col w:w="9360"/>
          </w:cols>
          <w:pgMar w:left="1240" w:top="1263"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880" w:h="15474" w:orient="portrait"/>
          <w:cols w:equalWidth="0" w:num="1">
            <w:col w:w="9360"/>
          </w:cols>
          <w:pgMar w:left="1240" w:top="1263" w:right="1274" w:bottom="0" w:gutter="0" w:footer="0" w:header="0"/>
          <w:type w:val="continuous"/>
        </w:sectPr>
      </w:pPr>
    </w:p>
    <w:bookmarkStart w:id="32" w:name="page33"/>
    <w:bookmarkEnd w:id="32"/>
    <w:p>
      <w:pPr>
        <w:spacing w:after="0"/>
        <w:rPr>
          <w:sz w:val="20"/>
          <w:szCs w:val="20"/>
          <w:color w:val="auto"/>
        </w:rPr>
      </w:pPr>
      <w:r>
        <w:rPr>
          <w:rFonts w:ascii="Arial" w:cs="Arial" w:eastAsia="Arial" w:hAnsi="Arial"/>
          <w:sz w:val="20"/>
          <w:szCs w:val="20"/>
          <w:b w:val="1"/>
          <w:bCs w:val="1"/>
          <w:color w:val="auto"/>
        </w:rPr>
        <w:t>ATH-1020</w:t>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ATH-1020 Preclinical Evidence for Neuropathic Pain</w:t>
      </w:r>
    </w:p>
    <w:p>
      <w:pPr>
        <w:spacing w:after="0" w:line="117"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ATH-1020 is a novel, orally available, next generation, small molecule drug candidate designed to positively modulate the neurotrophic HGF system. Enhancing HGF/MET signaling promotes neuroprotective, neurotrophic, and anti-inflammatory effects, and as neuropathic pain disorders, including diabetic neuropathy, or DNP, have components of oxidative stress, nerve damage, and inflammation, positive modulation of the HGF/MET pathway may provide therapeutic benefit in these disease areas. Data below were presented at the Society for Neuroscience Annual Conference in November 2022.</w:t>
      </w:r>
    </w:p>
    <w:p>
      <w:pPr>
        <w:spacing w:after="0" w:line="305"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This compound was originally assessed for neuropsychiatric indications in preclinical models as presented at the American Society for Experimental Therapeutics Annual Conference in February 2022.</w:t>
      </w:r>
    </w:p>
    <w:p>
      <w:pPr>
        <w:spacing w:after="0" w:line="269"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In animal models of DNP hypersensitivity to mechanical and thermal pain are commonly experienced, which are also representative of symptoms in people with neuropathic pain. Shown in Figure 20 below, treatment with ATH-1020 significantly reduced pain behaviors over the testing period compared to DNP controls alone.</w:t>
      </w:r>
    </w:p>
    <w:p>
      <w:pPr>
        <w:spacing w:after="0" w:line="75" w:lineRule="exact"/>
        <w:rPr>
          <w:sz w:val="20"/>
          <w:szCs w:val="20"/>
          <w:color w:val="auto"/>
        </w:rPr>
      </w:pPr>
    </w:p>
    <w:p>
      <w:pPr>
        <w:jc w:val="both"/>
        <w:ind w:firstLine="490"/>
        <w:spacing w:after="0" w:line="275" w:lineRule="auto"/>
        <w:rPr>
          <w:sz w:val="20"/>
          <w:szCs w:val="20"/>
          <w:color w:val="auto"/>
        </w:rPr>
      </w:pPr>
      <w:r>
        <w:rPr>
          <w:rFonts w:ascii="Arial" w:cs="Arial" w:eastAsia="Arial" w:hAnsi="Arial"/>
          <w:sz w:val="20"/>
          <w:szCs w:val="20"/>
          <w:i w:val="1"/>
          <w:iCs w:val="1"/>
          <w:color w:val="auto"/>
        </w:rPr>
        <w:t>Figure 20. Reduced Mechanical and Thermal Pain-Related Behaviors Following ATH-1020 Treatment in a Rat Model of Diabetic Neuropathic 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40640</wp:posOffset>
            </wp:positionV>
            <wp:extent cx="5704840" cy="1943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extLst>
                    </a:blip>
                    <a:srcRect/>
                    <a:stretch>
                      <a:fillRect/>
                    </a:stretch>
                  </pic:blipFill>
                  <pic:spPr bwMode="auto">
                    <a:xfrm>
                      <a:off x="0" y="0"/>
                      <a:ext cx="5704840" cy="1943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6A6A6"/>
        </w:rPr>
        <w:t>Data presented as means + SEM. ****p&lt;0.0001 using one-way ANOVA with Dunnett test vs DNP control.</w:t>
      </w:r>
    </w:p>
    <w:p>
      <w:pPr>
        <w:spacing w:after="0" w:line="2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6A6A6"/>
        </w:rPr>
        <w:t>ANOVA, analysis of variance; AUC, area under the curve; DNP, diabetic neuropathic pain; PWL, paw withdrawal latency; PWT, paw withdrawal threshold.</w:t>
      </w:r>
    </w:p>
    <w:p>
      <w:pPr>
        <w:spacing w:after="0" w:line="258"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Persistence of reduced pain behaviors following ATH-1020 treatment were assessed after a short-term (23-hour) or a long-term (7-day) washout period. Study results demonstrated that even after short-and long-term washout periods, where no drug is present, the effects of ATH-1020 reduction of pain behaviors remained persistent, suggesting a potential disease modifying effect (Figure 21).</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880" w:h="15474" w:orient="portrait"/>
          <w:cols w:equalWidth="0" w:num="1">
            <w:col w:w="9360"/>
          </w:cols>
          <w:pgMar w:left="1240" w:top="1251" w:right="1274" w:bottom="0" w:gutter="0" w:footer="0" w:header="0"/>
          <w:type w:val="continuous"/>
        </w:sectPr>
      </w:pPr>
    </w:p>
    <w:bookmarkStart w:id="33" w:name="page34"/>
    <w:bookmarkEnd w:id="33"/>
    <w:p>
      <w:pPr>
        <w:ind w:left="480"/>
        <w:spacing w:after="0"/>
        <w:rPr>
          <w:sz w:val="20"/>
          <w:szCs w:val="20"/>
          <w:color w:val="auto"/>
        </w:rPr>
      </w:pPr>
      <w:r>
        <w:rPr>
          <w:rFonts w:ascii="Arial" w:cs="Arial" w:eastAsia="Arial" w:hAnsi="Arial"/>
          <w:sz w:val="20"/>
          <w:szCs w:val="20"/>
          <w:i w:val="1"/>
          <w:iCs w:val="1"/>
          <w:color w:val="auto"/>
        </w:rPr>
        <w:t>Figure 21. Persistent Pain Reduction after 7-day Washout Following ATH-1020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83185</wp:posOffset>
            </wp:positionV>
            <wp:extent cx="5623560" cy="18402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extLst>
                    </a:blip>
                    <a:srcRect/>
                    <a:stretch>
                      <a:fillRect/>
                    </a:stretch>
                  </pic:blipFill>
                  <pic:spPr bwMode="auto">
                    <a:xfrm>
                      <a:off x="0" y="0"/>
                      <a:ext cx="5623560" cy="184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6A6A6"/>
        </w:rPr>
        <w:t>Data presented as means + SEM. *p&lt;0.05; **p&lt;0.01; ****p&lt;0.0001 using one-way ANOVA with Dunnett test vs DNP control. ANOVA, analysis of variance; AUC, area under the curve; DNP, diabetic neuropathic pain; PWL, paw withdrawal latency; PWT, paw withdrawal threshold.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ATH-1020 Clinical - Phase 1 Trial in Healthy Volunteers</w:t>
      </w:r>
    </w:p>
    <w:p>
      <w:pPr>
        <w:spacing w:after="0" w:line="117"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We filed an IND application with the FDA for ATH-1020 at the end of 2021 and received notice of acceptance in January 2022. In September 2022, we completed the single-ascending dose escalation portion of the Phase 1 trial. ATH-1020 demonstrated a favorable safety profile and was well-tolerated in healthy volunteers. We plan to evaluate options with this drug candidate for future testing in either neuropathic pain or other neurodegenerative diseases.</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Opportunity</w:t>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 and Dementia</w:t>
      </w:r>
    </w:p>
    <w:p>
      <w:pPr>
        <w:spacing w:after="0" w:line="117"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We believe fosgonimeton has the potential as a viable treatment option across all stages of AD but is initially being developed for mild-to-moderate stage of disease. Stages of this progressive disorder start with mild cognitive impairment, or MCI, mild AD, moderate AD, and finally severe AD. The AD dementia market, as last reported in 2023, consists of approximately 6.7 million Americans age 65 and older and is projected to reach nearly 13 million by 2050 in the U.S. alone. Worldwide, as many as 55 million people are estimated to have AD and other dementias, and this number is projected to grow to nearly 140 million by 2050. AD may account for an approximate 60-70% of all diagnosed dementia cases, however, with the continued innovation of diagnostic approaches coupled with better understanding of the disease pathology, diagnosis of AD and overall cases could continue to grow.</w:t>
      </w:r>
    </w:p>
    <w:p>
      <w:pPr>
        <w:spacing w:after="0" w:line="197"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As shown in Figure 22 below, our initial focus is on mild-to-moderate AD as this stage has been identified where disease may progress rapidly and currently available therapies are few with only modest effects. Currently 81% of all diagnosed cases of AD are mild-to-moderate, and with many new therapies under development targeting earlier stages in AD, this is a highly underserved population with a high unmet need. Fosgonimeton is initially being developed for mild-to-moderate AD, but as we continue to advance fosgonimeton, and with our multimodal mechanism of action, we believe we will have the opportunity to address all stages of AD as well as expand into other dementias.</w:t>
      </w:r>
    </w:p>
    <w:p>
      <w:pPr>
        <w:sectPr>
          <w:pgSz w:w="11880" w:h="15474" w:orient="portrait"/>
          <w:cols w:equalWidth="0" w:num="1">
            <w:col w:w="9360"/>
          </w:cols>
          <w:pgMar w:left="1240" w:top="1263"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880" w:h="15474" w:orient="portrait"/>
          <w:cols w:equalWidth="0" w:num="1">
            <w:col w:w="9360"/>
          </w:cols>
          <w:pgMar w:left="1240" w:top="1263" w:right="1274" w:bottom="0" w:gutter="0" w:footer="0" w:header="0"/>
          <w:type w:val="continuous"/>
        </w:sectPr>
      </w:pPr>
    </w:p>
    <w:bookmarkStart w:id="34" w:name="page35"/>
    <w:bookmarkEnd w:id="34"/>
    <w:p>
      <w:pPr>
        <w:ind w:left="480"/>
        <w:spacing w:after="0"/>
        <w:rPr>
          <w:sz w:val="20"/>
          <w:szCs w:val="20"/>
          <w:color w:val="auto"/>
        </w:rPr>
      </w:pPr>
      <w:r>
        <w:rPr>
          <w:rFonts w:ascii="Arial" w:cs="Arial" w:eastAsia="Arial" w:hAnsi="Arial"/>
          <w:sz w:val="20"/>
          <w:szCs w:val="20"/>
          <w:i w:val="1"/>
          <w:iCs w:val="1"/>
          <w:color w:val="auto"/>
        </w:rPr>
        <w:t>Figure 22. Significant Opportunity for Fosgonimeton in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930900" cy="2254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extLst>
                    </a:blip>
                    <a:srcRect/>
                    <a:stretch>
                      <a:fillRect/>
                    </a:stretch>
                  </pic:blipFill>
                  <pic:spPr bwMode="auto">
                    <a:xfrm>
                      <a:off x="0" y="0"/>
                      <a:ext cx="5930900"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Target Indications</w:t>
      </w:r>
    </w:p>
    <w:p>
      <w:pPr>
        <w:spacing w:after="0" w:line="117"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Our next potential target indications for our small molecule positive modulators include PD, ALS and neuropathic pain. PD is the second most common neurodegenerative disease after AD with a prevalence of nearly one million people and more than 10 million people in the United States and worldwide living with PD, respectively. Growth projections of United States cases of PD are expected to reach 1.2 million in the United States by 2030.</w:t>
      </w:r>
    </w:p>
    <w:p>
      <w:pPr>
        <w:spacing w:after="0" w:line="192"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An estimated 16,000 Americans are affected with ALS while global estimates exceed 150,000 (1.9 per 100,000 to 6 per 100,000). Currently, there are only four approved drugs that are specifically indicated for the treatment of ALS, of which none target neurotrophic factor systems with a multimodal mechanism of action with the potential to offer neuroprotective, anti-inflammatory and potentially disease modifying effects.</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Potential Commercialization Plan</w:t>
      </w:r>
    </w:p>
    <w:p>
      <w:pPr>
        <w:spacing w:after="0" w:line="117"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Fosgonimeton is our proprietary, potentially first-in-class small molecule drug candidate designed to promote the neurotrophic HGF system, which activates neuroprotective, neurotrophic and anti-inflammatory pathways in the CNS, and is initially being developed in mild-to-moderate AD. For this patient population, our commercialization strategy will consider the following key elements:</w:t>
      </w:r>
    </w:p>
    <w:p>
      <w:pPr>
        <w:spacing w:after="0" w:line="80" w:lineRule="exact"/>
        <w:rPr>
          <w:sz w:val="20"/>
          <w:szCs w:val="20"/>
          <w:color w:val="auto"/>
        </w:rPr>
      </w:pPr>
    </w:p>
    <w:p>
      <w:pPr>
        <w:ind w:left="980" w:hanging="492"/>
        <w:spacing w:after="0"/>
        <w:tabs>
          <w:tab w:leader="none" w:pos="9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potential first-line therapy;</w:t>
      </w:r>
    </w:p>
    <w:p>
      <w:pPr>
        <w:spacing w:after="0" w:line="133" w:lineRule="exact"/>
        <w:rPr>
          <w:rFonts w:ascii="Arial" w:cs="Arial" w:eastAsia="Arial" w:hAnsi="Arial"/>
          <w:sz w:val="20"/>
          <w:szCs w:val="20"/>
          <w:color w:val="auto"/>
        </w:rPr>
      </w:pPr>
    </w:p>
    <w:p>
      <w:pPr>
        <w:ind w:left="980" w:hanging="492"/>
        <w:spacing w:after="0"/>
        <w:tabs>
          <w:tab w:leader="none" w:pos="9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 add-on therapy for patients on existing therapies;</w:t>
      </w:r>
    </w:p>
    <w:p>
      <w:pPr>
        <w:spacing w:after="0" w:line="133" w:lineRule="exact"/>
        <w:rPr>
          <w:rFonts w:ascii="Arial" w:cs="Arial" w:eastAsia="Arial" w:hAnsi="Arial"/>
          <w:sz w:val="20"/>
          <w:szCs w:val="20"/>
          <w:color w:val="auto"/>
        </w:rPr>
      </w:pPr>
    </w:p>
    <w:p>
      <w:pPr>
        <w:ind w:left="980" w:hanging="492"/>
        <w:spacing w:after="0"/>
        <w:tabs>
          <w:tab w:leader="none" w:pos="9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 therapeutic option for patients who are not suitable for AChEIs; and</w:t>
      </w:r>
    </w:p>
    <w:p>
      <w:pPr>
        <w:spacing w:after="0" w:line="133" w:lineRule="exact"/>
        <w:rPr>
          <w:rFonts w:ascii="Arial" w:cs="Arial" w:eastAsia="Arial" w:hAnsi="Arial"/>
          <w:sz w:val="20"/>
          <w:szCs w:val="20"/>
          <w:color w:val="auto"/>
        </w:rPr>
      </w:pPr>
    </w:p>
    <w:p>
      <w:pPr>
        <w:ind w:left="980" w:hanging="492"/>
        <w:spacing w:after="0"/>
        <w:tabs>
          <w:tab w:leader="none" w:pos="9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 therapeutic option for patients who have stopped AChEIs due to loss of effect or side effects.</w:t>
      </w:r>
    </w:p>
    <w:p>
      <w:pPr>
        <w:spacing w:after="0" w:line="239"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We will initially target launching fosgonimeton in the US with plans to expand into the European Union, or EU, and Asian markets as part of our global strategy. Beyond our regional launch plans, and because of our multimodal mechanism of action, we also expect to advance fosgonimeton beyond the mild-to-moderate AD stage into both earlier and later stages of disease.</w:t>
      </w:r>
    </w:p>
    <w:p>
      <w:pPr>
        <w:spacing w:after="0" w:line="187"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We aim to establish the potential value of fosgonimeton by demonstrating improvement in cognition, independence, and markers of neurodegeneration, inflammation and AD protein pathology, which could result in improved outcomes and reduced total healthcare costs for this progressive and potentially fatal disease.</w:t>
      </w:r>
    </w:p>
    <w:p>
      <w:pPr>
        <w:sectPr>
          <w:pgSz w:w="11880" w:h="15474" w:orient="portrait"/>
          <w:cols w:equalWidth="0" w:num="1">
            <w:col w:w="9360"/>
          </w:cols>
          <w:pgMar w:left="1240" w:top="1263"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880" w:h="15474" w:orient="portrait"/>
          <w:cols w:equalWidth="0" w:num="1">
            <w:col w:w="9360"/>
          </w:cols>
          <w:pgMar w:left="1240" w:top="1263" w:right="1274" w:bottom="0" w:gutter="0" w:footer="0" w:header="0"/>
          <w:type w:val="continuous"/>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Manufacturing</w:t>
      </w:r>
    </w:p>
    <w:p>
      <w:pPr>
        <w:spacing w:after="0" w:line="123"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19"/>
          <w:szCs w:val="19"/>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drug candidates. We utilize third-party contract development and manufacturing organizations, or CDMOs, to manufacture and supply our preclinical and clinical materials during the development of our drug candidates. We and various regulatory bodies have audited the CDMOs we contract with, and they have a proven track record of FDA-compliant manufacturing with an infrastructure to support both clinical supplies and subsequent large and commercial scale manufacturing.</w:t>
      </w:r>
    </w:p>
    <w:p>
      <w:pPr>
        <w:spacing w:after="0" w:line="180"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We have a robust fosgonimeton clinical supply chain to ensure sufficient supply for our LIFT-AD Phase 2/3 clinical trial in AD and the open-label extension of our LIFT -AD and ACT-AD clinical trials. We believe the synthesis of fosgonimeton is reliable and reproducible and the synthetic routes can be further optimized to enable large-scale production that continues to avoid use of toxic materials or specialized equipment or handling during the manufacturing process. We continue to optimize the manufacturing process to support future large-scale and commercial supply. Fosgonimeton is purified as a stable solid and then released to additional CDMOs for formulation and packaging into final drug product for use in clinical testing.</w:t>
      </w:r>
    </w:p>
    <w:p>
      <w:pPr>
        <w:spacing w:after="0" w:line="194"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The final drug product profile is a ready-to-use pre-filled syringe with a clear, non -viscous aqueous solution of fosgonimeton. The syringes utilize materials and components that are readily available commercially. The fosgonimeton drug product has shown extended stability (at least two years) in the proposed prefilled syringe supporting use of the drug product under refrigerated conditions as well as short-term dispensation and at-home storage in ambient conditions. Room temperature short-term storage allows patients to avoid cumbersome storage requirements and reduces overall burden.</w:t>
      </w:r>
    </w:p>
    <w:p>
      <w:pPr>
        <w:spacing w:after="0" w:line="194"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We plan to maintain our focus to identify and develop small molecule drug candidates that are expected to have cost-effective manufacturing using third party CDMOs.</w:t>
      </w:r>
    </w:p>
    <w:p>
      <w:pPr>
        <w:spacing w:after="0" w:line="159"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We expect to use similar contract resources for commercialization of our drug candidates, at least until our resources and operations are at a scale that potentially justifies investment in internal manufacturing capabilities.</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124"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The biotechnology and biopharmaceuticals industries are characterized by rapid technological advancement, significant competition, and an emphasis on intellectual property. As a late clinical-stage biopharmaceutical company developing small molecules to restore neuronal health and slow neurodegeneration, with our most advanced drug candidate focused on the treatment of AD, we face, and in the future may face, increased competitive pressures from both large and small pharmaceutical companies and from established and emerging biotechnology companies, as well as academic, government, and public and private research institutions. Any drug candidates that we successfully develop and commercialize will compete with current treatments and new treatments that may become available in the future. With the advancement of fosgonimeton as a novel small molecule therapeutic that positively modulates the neurotrophic HGF system, we must consider companies as competitors who are developing other novel approaches, including those that target other neurotrophic systems to address AD and other neurological diseases. Additionally, because fosgonimeton is being advanced as a once daily liquid formulation for subcutaneous delivery, we must also consider as competitors companies developing AD therapies as subcutaneous or other routes of administration, including oral formulations, and dosing frequency.</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880" w:h="15474" w:orient="portrait"/>
          <w:cols w:equalWidth="0" w:num="1">
            <w:col w:w="9360"/>
          </w:cols>
          <w:pgMar w:left="1240" w:top="1251" w:right="1274" w:bottom="0" w:gutter="0" w:footer="0" w:header="0"/>
          <w:type w:val="continuous"/>
        </w:sectPr>
      </w:pPr>
    </w:p>
    <w:bookmarkStart w:id="36" w:name="page37"/>
    <w:bookmarkEnd w:id="36"/>
    <w:p>
      <w:pPr>
        <w:jc w:val="both"/>
        <w:ind w:firstLine="490"/>
        <w:spacing w:after="0" w:line="256" w:lineRule="auto"/>
        <w:rPr>
          <w:sz w:val="20"/>
          <w:szCs w:val="20"/>
          <w:color w:val="auto"/>
        </w:rPr>
      </w:pPr>
      <w:r>
        <w:rPr>
          <w:rFonts w:ascii="Arial" w:cs="Arial" w:eastAsia="Arial" w:hAnsi="Arial"/>
          <w:sz w:val="19"/>
          <w:szCs w:val="19"/>
          <w:color w:val="auto"/>
        </w:rPr>
        <w:t>Because of the range of potential competitors, many of our competitors, alone or with strategic partners, have greater access to financial resources, market presence, and resources and expertise in development, preclinical and clinical testing, manufacturing, commercialization, the regulatory approval process, or marketing and sales than we do. In addition, these same competitors, who may be in a clinical development stage, could also be competing with us for patient recruitment, clinical research organization, and operational resources. These entities also compete with us in the recruitment and retaining of qualified scientific and management personnel, as well as the acquisition of enabling or complementary technologies for advancing fosgonimeton across all competitors.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Our commercial opportunity could be substantially limited if our competitors develop and commercialize products that are more effective, safer, more convenient or less expensive than our comparable drug products. In geographies that are critical to our commercial success, competitors may also obtain regulatory approvals before us, resulting in our competitors building a strong market position in advance of the entry of our drug candidates. In addition, our ability to compete may be affected in many cases by insurers or other third-party payors seeking to encourage the use of other treatments.</w:t>
      </w:r>
    </w:p>
    <w:p>
      <w:pPr>
        <w:spacing w:after="0" w:line="189"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The AD market is experiencing a significant transformation where innovation and drug approvals have been limited for nearly 20 years. With the approval of two new monoclonal antibody therapies since 2021 (Biogen’s Aduhelm and Biogen/Eisai’s Leqembi), the potential approval of Eli Lilly's Donanemab this year, and the increased attention on novel approaches to AD, we are focused on strategically positioning ourselves in the evolving landscape to maximize our competitive advantage. Key competitive forces that could potentially affect the success of our drug candidates, if approved, are safety, efficacy, price, adoption, convenience, time-to-market, level of promotional activity, intellectual property protection, and reimbursement likelihood from government and private payors. Despite these forces, we view our competitive advantage in not only our lead drug candidate, fosgonimeton, but also our novel pipeline of therapeutics targeting the neurotrophic HGF system with a focus on overall neuronal health. In particular, the following summarizes certain categories of our potential competition.</w:t>
      </w:r>
    </w:p>
    <w:p>
      <w:pPr>
        <w:spacing w:after="0" w:line="198"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Our direct competitors can potentially be viewed through two different lenses – stage of disease and mechanism of action, or MOA. While the AD space has just recently seen two new approvals specifically addressing earlier stages of disease, MCI and mild AD, limited options exist for the mild-to-moderate disease stage. Companies developing therapies for mild-to-moderate AD, such as AB Science, Annovis Bio, Biomed Industries, BioVie Pharma, or Cassava Sciences, may emerge as direct competitors if they are quicker to market, demonstrate superior clinical effects, are safe and offer treatment options to our same initial target patient population.</w:t>
      </w:r>
    </w:p>
    <w:p>
      <w:pPr>
        <w:spacing w:after="0" w:line="193"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Monoclonal antibody therapies have been the focus of drug developers over the past several decades, and though the recent approval of Leqembi provides an option for those in early AD, more novel approaches and treatment options are needed. Through the MOA lens, companies developing non-amyloid, non-tau, or NANT, therapies may be direct competitors as well. Companies developing NANT therapies include those targeting other neurotrophic systems such as Alzecure, anti-inflammation such as AB Science, translational inhibitors such as Annovis Bio, and several other companies developing assets with novel targets like Cassava Sciences and BioVie Pharma.</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880" w:h="15474" w:orient="portrait"/>
          <w:cols w:equalWidth="0" w:num="1">
            <w:col w:w="9360"/>
          </w:cols>
          <w:pgMar w:left="1240" w:top="1255" w:right="1274" w:bottom="0" w:gutter="0" w:footer="0" w:header="0"/>
          <w:type w:val="continuous"/>
        </w:sectPr>
      </w:pPr>
    </w:p>
    <w:bookmarkStart w:id="37" w:name="page38"/>
    <w:bookmarkEnd w:id="37"/>
    <w:p>
      <w:pPr>
        <w:jc w:val="both"/>
        <w:ind w:firstLine="490"/>
        <w:spacing w:after="0" w:line="243" w:lineRule="auto"/>
        <w:rPr>
          <w:sz w:val="20"/>
          <w:szCs w:val="20"/>
          <w:color w:val="auto"/>
        </w:rPr>
      </w:pPr>
      <w:r>
        <w:rPr>
          <w:rFonts w:ascii="Arial" w:cs="Arial" w:eastAsia="Arial" w:hAnsi="Arial"/>
          <w:sz w:val="20"/>
          <w:szCs w:val="20"/>
          <w:color w:val="auto"/>
        </w:rPr>
        <w:t>Specific to targeting HGF/MET however, we are not aware of any direct competitors currently developing small molecules targeting the neurotrophic HGF system for neurological conditions. We are aware of several companies developing HGF/MET-directed therapies for other disease indications, including ANG-3777, an HGF mimetic, developed by Angion for the treatment of kidney injury; KP-100, a recombinant HGF protein, developed by Kringle Pharma for acute spinal cord injury and ALS; and Collategene developed by Mitsubishi Tanabe and AnGes as a gene therapy for the treatment of critical limb ischemia. Although ANG-3777 was reported to not have reached primary endpoints for their Phase 2 and 3 trials in 2021, the scientific basis remains unchanged, and the company is evaluating next steps for the program. KP-100 is currently in Phase 3 studies for acute spinal cord injury and Phase 2 studies for ALS. Collategene was launched in Japan in the third quarter of 2019. In addition, we are aware of VM-202, a regenerative plasmid DNA therapy candidate in Phase 3 development by Helixmith for the treatment of diabetic peripheral neuropathy and diabetic foot ulcers. VM-202 is in Phase 2 trials for Claudication and ALS.</w:t>
      </w:r>
    </w:p>
    <w:p>
      <w:pPr>
        <w:spacing w:after="0" w:line="203"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Fosgonimeton has the potential to offer neuroprotective and anti-inflammatory effects by targeting the HGF/MET system. Our preclinical and clinical data have demonstrated this multimodal approach may have positive benefits across several biological and clinical measures. While several potential direct competitors may exist, we have not yet identified any competitive asset that has demonstrated consistent and congruent positive effects offering neuroprotection, anti-inflammation, reducing disease-specific protein pathologies, neurotrophic, and functional benefits. AD is a complex multifactorial disease, and we view our opportunity with fosgonimeton as potentially complementary to several approaches, including the recently approved monoclonal antibody therapies.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125"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We own or have in-licensed numerous patents and patent applications and possess substantial know-how and trade secrets relating to the development and commercialization of our drug candidates, including related manufacturing processes and technologies.</w:t>
      </w:r>
    </w:p>
    <w:p>
      <w:pPr>
        <w:spacing w:after="0" w:line="180"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As of December 31, 2023, our patent portfolio includes our exclusively owned intellectual property, including one issued U.S. patent, four pending U.S. patent applications, six issued patents in jurisdictions outside of the United States (not including certain European country validations or other registrations), forty-four pending patent applications in jurisdictions outside of the United States, and six pending international patent applications filed under the Patent Cooperation Treaty. The patents and patent applications issued and pending outside the United States are counterparts to the foregoing U.S. patents and patent applications and are generally held in Europe, Canada, Japan, Argentina, Australia, Brazil, China, Hong Kong, India, New Zealand, Singapore, South Africa, South Korea and Taiwan. Our owned patents and patent applications have claims directed to fosgonimeton and our other small molecule drug candidates, including ATH-1020 and ATH-1105, as compositions of matter and methods of use thereof. Our patent portfolio also includes seven issued U.S. patents and nine patents issued in jurisdictions outside of the United States (not including European country validations) that are exclusively licensed to us by WSU. Our in-licensed patents include, among others, claims directed to dihexa, the active metabolite of fosgonimeton, and its use.</w:t>
      </w:r>
    </w:p>
    <w:p>
      <w:pPr>
        <w:spacing w:after="0" w:line="200"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9"/>
          <w:szCs w:val="19"/>
          <w:color w:val="auto"/>
        </w:rPr>
        <w:t>Individual patents are in force for varying periods of time, depending upon the date of filing of the patent application, the date of patent issuance, and the legal term of patents in the countries in which they are obtained. Generally, patents issued for applications filed in the United States are in force for 20 years from the earliest nonprovisional filing date. In addition, in certain instances, a patent term can be adjusted or extended to recapture a portion of the term effectively lost as a result of the United States Patent and Trademark Office, or USPTO, delay or the FDA regulatory review period (a patent term adjustment or patent term extension, respectively). The restoration period for FDA delay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nonprovisional filing date. However, the actual protection afforded by a patent varies on a product-by-product basis, from country -to-country, and depends upon many factors, including the type of patent, the scope of its coverage, the availability of regulatory-related</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880" w:h="15474" w:orient="portrait"/>
          <w:cols w:equalWidth="0" w:num="1">
            <w:col w:w="9360"/>
          </w:cols>
          <w:pgMar w:left="1240" w:top="1255" w:right="1274" w:bottom="0" w:gutter="0" w:footer="0" w:header="0"/>
          <w:type w:val="continuous"/>
        </w:sectPr>
      </w:pPr>
    </w:p>
    <w:bookmarkStart w:id="38" w:name="page39"/>
    <w:bookmarkEnd w:id="38"/>
    <w:p>
      <w:pPr>
        <w:jc w:val="both"/>
        <w:spacing w:after="0" w:line="248" w:lineRule="auto"/>
        <w:rPr>
          <w:sz w:val="20"/>
          <w:szCs w:val="20"/>
          <w:color w:val="auto"/>
        </w:rPr>
      </w:pPr>
      <w:r>
        <w:rPr>
          <w:rFonts w:ascii="Arial" w:cs="Arial" w:eastAsia="Arial" w:hAnsi="Arial"/>
          <w:sz w:val="20"/>
          <w:szCs w:val="20"/>
          <w:color w:val="auto"/>
        </w:rPr>
        <w:t>extensions, the availability of legal remedies in a particular country, and the validity and enforceability of the patent. Our in-licensed issued patents will expire on dates ranging from 2027 to 2035, exclusive of any patent term adjustment or patent term extension. Our owned issued patents will expire in 2037, exclusive of any patent term adjustment or patent term extension. If patents are issued on our owned pending non-provisional patent applications, the resulting patents are projected to expire on dates ranging from 2037 to 2043, exclusive of any patent term adjustment or patent term extension.</w:t>
      </w:r>
    </w:p>
    <w:p>
      <w:pPr>
        <w:spacing w:after="0" w:line="194"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When appropriate, we seek to protect aspects of our technology and business not amenable to, or that we do not consider appropriate for, patent protection as trade secrets. We seek to protect this intellectual property, in part, as trade secrets,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w:t>
      </w:r>
    </w:p>
    <w:p>
      <w:pPr>
        <w:spacing w:after="0" w:line="193"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We seek trademark protection in the United States and in certain other jurisdictions where available and when we deem appropriate. Our trademark portfolio includes issued trademark registrations for Athira Pharma and other pending trademark applications in the United States and internationally.</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Collaboration and Grant Agreements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Amended and Restated WSU License Agreement</w:t>
      </w:r>
    </w:p>
    <w:p>
      <w:pPr>
        <w:spacing w:after="0" w:line="111"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We are party to an amended and restated exclusive license agreement with sublicensing terms with WSU that we entered into in 2015. Under this agreement, we have an exclusive license to make, use, sell, and offer for sale products covered by certain licensed patents, including dihexa, the chemical compound into which fosgonimeton metabolizes following administration.</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The initiation of our first Phase 2 clinical trial in September 2020 triggered a $50,000 liability to WSU.</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We may also be obligated to pay to WSU the following if the related milestones are reached:</w:t>
      </w:r>
    </w:p>
    <w:p>
      <w:pPr>
        <w:spacing w:after="0" w:line="132" w:lineRule="exact"/>
        <w:rPr>
          <w:sz w:val="20"/>
          <w:szCs w:val="20"/>
          <w:color w:val="auto"/>
        </w:rPr>
      </w:pPr>
    </w:p>
    <w:p>
      <w:pPr>
        <w:ind w:left="980" w:hanging="491"/>
        <w:spacing w:after="0" w:line="283" w:lineRule="auto"/>
        <w:tabs>
          <w:tab w:leader="none" w:pos="9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$300,000 – At initiation of the first Phase 3 clinical trial in the United States, European Union or Japan for the first licensed product.</w:t>
      </w:r>
    </w:p>
    <w:p>
      <w:pPr>
        <w:spacing w:after="0" w:line="51"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$600,000 – Marketing approval in the United States, European Union or Japan for the first licensed product.</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We are obligated to pay WSU a royalty in the mid-single digits of net sales.</w:t>
      </w:r>
    </w:p>
    <w:p>
      <w:pPr>
        <w:spacing w:after="0" w:line="240"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sales-based sublicense royalties.</w:t>
      </w:r>
    </w:p>
    <w:p>
      <w:pPr>
        <w:spacing w:after="0" w:line="187"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9"/>
          <w:szCs w:val="19"/>
          <w:color w:val="auto"/>
        </w:rPr>
        <w:t>The term of the agreement will continue until the earlier of (1) the date that no valid claim in a licensed patent remains enforceable and (2) payment of earned royalties, once such payments begin, ceases for more than four consecutive calendar quarters. We have not yet commenced payment of royalties to WSU pursuant to the terms of the agreement, since, as of the date of this report, we do not have any approved products with respect to which we may generate revenue. If any of our drug candidates to which the patents relate are approved for commercial sale, our obligations to pay royalties would commence upon net sales of such approved drug candidates and cease no later than the date that no valid claim in a licensed patent remains enforceable. We may terminate this agreement with 90 days’ prior written notice to WSU. WSU may terminate this agreement with 90 days’ prior written notice if we fail to achieve certain performance milestones by the agreed upon dates. WSU may also terminate this agreement with 90 days’ prior written notice (or thirty days’ prior written notice in the case of our failure to make a timely payment owed to WSU) following our failure to conduct certain development activities for two consecutive calendar quarters or upon</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880" w:h="15474" w:orient="portrait"/>
          <w:cols w:equalWidth="0" w:num="1">
            <w:col w:w="9360"/>
          </w:cols>
          <w:pgMar w:left="1240" w:top="1255" w:right="1274" w:bottom="0" w:gutter="0" w:footer="0" w:header="0"/>
          <w:type w:val="continuous"/>
        </w:sectPr>
      </w:pPr>
    </w:p>
    <w:bookmarkStart w:id="39" w:name="page40"/>
    <w:bookmarkEnd w:id="39"/>
    <w:p>
      <w:pPr>
        <w:jc w:val="both"/>
        <w:spacing w:after="0" w:line="261" w:lineRule="auto"/>
        <w:rPr>
          <w:sz w:val="20"/>
          <w:szCs w:val="20"/>
          <w:color w:val="auto"/>
        </w:rPr>
      </w:pPr>
      <w:r>
        <w:rPr>
          <w:rFonts w:ascii="Arial" w:cs="Arial" w:eastAsia="Arial" w:hAnsi="Arial"/>
          <w:sz w:val="20"/>
          <w:szCs w:val="20"/>
          <w:color w:val="auto"/>
        </w:rPr>
        <w:t>our material breach of the agreement and our failure to cure any such breach within 90 days of our receipt of notice of such breach from WSU (or within 30 days in the case of our failure to make a timely payment owed to WSU).</w:t>
      </w:r>
    </w:p>
    <w:p>
      <w:pPr>
        <w:spacing w:after="0" w:line="308" w:lineRule="exact"/>
        <w:rPr>
          <w:sz w:val="20"/>
          <w:szCs w:val="20"/>
          <w:color w:val="auto"/>
        </w:rPr>
      </w:pPr>
    </w:p>
    <w:p>
      <w:pPr>
        <w:ind w:left="480"/>
        <w:spacing w:after="0"/>
        <w:rPr>
          <w:sz w:val="20"/>
          <w:szCs w:val="20"/>
          <w:color w:val="auto"/>
        </w:rPr>
      </w:pPr>
      <w:r>
        <w:rPr>
          <w:rFonts w:ascii="Arial" w:cs="Arial" w:eastAsia="Arial" w:hAnsi="Arial"/>
          <w:sz w:val="20"/>
          <w:szCs w:val="20"/>
          <w:i w:val="1"/>
          <w:iCs w:val="1"/>
          <w:color w:val="auto"/>
        </w:rPr>
        <w:t>National Institutes of Health Grant</w:t>
      </w:r>
    </w:p>
    <w:p>
      <w:pPr>
        <w:spacing w:after="0" w:line="111" w:lineRule="exact"/>
        <w:rPr>
          <w:sz w:val="20"/>
          <w:szCs w:val="20"/>
          <w:color w:val="auto"/>
        </w:rPr>
      </w:pPr>
    </w:p>
    <w:p>
      <w:pPr>
        <w:jc w:val="both"/>
        <w:ind w:firstLine="491"/>
        <w:spacing w:after="0" w:line="256" w:lineRule="auto"/>
        <w:rPr>
          <w:sz w:val="20"/>
          <w:szCs w:val="20"/>
          <w:color w:val="auto"/>
        </w:rPr>
      </w:pPr>
      <w:r>
        <w:rPr>
          <w:rFonts w:ascii="Arial" w:cs="Arial" w:eastAsia="Arial" w:hAnsi="Arial"/>
          <w:sz w:val="19"/>
          <w:szCs w:val="19"/>
          <w:color w:val="auto"/>
        </w:rPr>
        <w:t>In December 2020, we accepted a grant from the National Institute on Aging, or NIA, of the National Institutes of Health, or NIH, to support our ACT-AD Phase 2 clinical trial for fosgonimeton (then-named ATH-1017), our lead drug candidate being developed for the treatment of individuals with mild-to-moderate AD. Under the terms of the agreement and approval received from the NIH, we were awarded an aggregate of $15.2 million, all of which had been received as of December 31, 2023. Post award, we received approval from NIA to use these grant funds to support our open label extension of the ACT-AD trial. As this grant involves federally funded research, per the Bayh-Dole Act of 1980, or the Bayh-Dole Act, we are obligated to (1) report each new invention to the government, (2) decide whether to retain ownership, (3) file for patent protection to retain title, and (4) provide a license to the government to practice the invention. The “march-in” rights provided by the Bayh-Dole Act would apply to new subject matter arising from the use of the NIH funds, but would exclude pre-existing subject matter such as our drug candidates existing prior to the receipt of such grant. We also are expected to commercialize any inventions we file patent protection on for the benefit of public health. For more information see the section of this report titled “Risk Factors—Risks Relating to Our Intellectual Property. Intellectual property discovered or developed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124"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 Drug Development Process</w:t>
      </w:r>
    </w:p>
    <w:p>
      <w:pPr>
        <w:spacing w:after="0" w:line="116"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In the United States, the FDA regulates drugs under the federal Food, Drug, and Cosmetic Act, or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202"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color w:val="auto"/>
        </w:rPr>
        <w:t>The process required by the FDA before a drug may be marketed in the United States generally involves the following:</w:t>
      </w:r>
    </w:p>
    <w:p>
      <w:pPr>
        <w:spacing w:after="0" w:line="52" w:lineRule="exact"/>
        <w:rPr>
          <w:sz w:val="20"/>
          <w:szCs w:val="20"/>
          <w:color w:val="auto"/>
        </w:rPr>
      </w:pPr>
    </w:p>
    <w:p>
      <w:pPr>
        <w:ind w:left="980" w:hanging="492"/>
        <w:spacing w:after="0" w:line="309" w:lineRule="auto"/>
        <w:tabs>
          <w:tab w:leader="none" w:pos="9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completion of nonclinical laboratory tests, animal studies, and formulation studies in accordance with FDA’s good laboratory practice, or GLP, requirements and other applicable regulations;</w:t>
      </w:r>
    </w:p>
    <w:p>
      <w:pPr>
        <w:spacing w:after="0" w:line="30" w:lineRule="exact"/>
        <w:rPr>
          <w:rFonts w:ascii="Arial" w:cs="Arial" w:eastAsia="Arial" w:hAnsi="Arial"/>
          <w:sz w:val="19"/>
          <w:szCs w:val="19"/>
          <w:color w:val="auto"/>
        </w:rPr>
      </w:pPr>
    </w:p>
    <w:p>
      <w:pPr>
        <w:ind w:left="980" w:hanging="492"/>
        <w:spacing w:after="0" w:line="283" w:lineRule="auto"/>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submission to the FDA of an IND, which must become effective before human clinical trials may begin;</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880" w:h="15474" w:orient="portrait"/>
          <w:cols w:equalWidth="0" w:num="1">
            <w:col w:w="9360"/>
          </w:cols>
          <w:pgMar w:left="1240" w:top="1255" w:right="1274" w:bottom="0" w:gutter="0" w:footer="0" w:header="0"/>
          <w:type w:val="continuous"/>
        </w:sectPr>
      </w:pPr>
    </w:p>
    <w:bookmarkStart w:id="40" w:name="page41"/>
    <w:bookmarkEnd w:id="40"/>
    <w:p>
      <w:pPr>
        <w:ind w:left="980" w:hanging="491"/>
        <w:spacing w:after="0" w:line="283" w:lineRule="auto"/>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approval by an independent institutional review board, or IRB, ethics committee, either centralized or with respect to each clinical site, before each clinical trial may be initiated;</w:t>
      </w:r>
    </w:p>
    <w:p>
      <w:pPr>
        <w:spacing w:after="0" w:line="50" w:lineRule="exact"/>
        <w:rPr>
          <w:rFonts w:ascii="Arial" w:cs="Arial" w:eastAsia="Arial" w:hAnsi="Arial"/>
          <w:sz w:val="20"/>
          <w:szCs w:val="20"/>
          <w:color w:val="auto"/>
        </w:rPr>
      </w:pPr>
    </w:p>
    <w:p>
      <w:pPr>
        <w:jc w:val="both"/>
        <w:ind w:left="980" w:hanging="491"/>
        <w:spacing w:after="0" w:line="262" w:lineRule="auto"/>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performance of adequate and well-controlled human clinical trials in accordance with good clinical practice, or GCP, requirements to establish the safety and efficacy of the proposed drug for its intended use;</w:t>
      </w:r>
    </w:p>
    <w:p>
      <w:pPr>
        <w:spacing w:after="0" w:line="71"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submission to the FDA of a New Drug Application, or NDA, after completion of all pivotal trials;</w:t>
      </w:r>
    </w:p>
    <w:p>
      <w:pPr>
        <w:spacing w:after="0" w:line="13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determination by the FDA within 60 days of its receipt of an NDA to accept the filing for substantive review;</w:t>
      </w:r>
    </w:p>
    <w:p>
      <w:pPr>
        <w:spacing w:after="0" w:line="51"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satisfactory completion of an FDA advisory committee review, if applicable;</w:t>
      </w:r>
    </w:p>
    <w:p>
      <w:pPr>
        <w:spacing w:after="0" w:line="122" w:lineRule="exact"/>
        <w:rPr>
          <w:rFonts w:ascii="Arial" w:cs="Arial" w:eastAsia="Arial" w:hAnsi="Arial"/>
          <w:sz w:val="20"/>
          <w:szCs w:val="20"/>
          <w:color w:val="auto"/>
        </w:rPr>
      </w:pPr>
    </w:p>
    <w:p>
      <w:pPr>
        <w:jc w:val="both"/>
        <w:ind w:left="980" w:hanging="491"/>
        <w:spacing w:after="0" w:line="237" w:lineRule="auto"/>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satisfactory completion of an FDA inspection of the manufacturing facility or facilities at which the drug is produced to assess compliance with current good manufacturing practice, or cGMP, requirements to ensure that the facilities, methods and controls are adequate to preserve the drug’s identity, strength, quality, and purity, and of selected clinical investigation sites to assess compliance with GCPs; and</w:t>
      </w:r>
    </w:p>
    <w:p>
      <w:pPr>
        <w:spacing w:after="0" w:line="80" w:lineRule="exact"/>
        <w:rPr>
          <w:rFonts w:ascii="Arial" w:cs="Arial" w:eastAsia="Arial" w:hAnsi="Arial"/>
          <w:sz w:val="20"/>
          <w:szCs w:val="20"/>
          <w:color w:val="auto"/>
        </w:rPr>
      </w:pPr>
    </w:p>
    <w:p>
      <w:pPr>
        <w:ind w:left="980" w:hanging="491"/>
        <w:spacing w:after="0" w:line="268" w:lineRule="auto"/>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FDA review and approval of the NDA to permit commercial marketing of the product for particular indications for use in the United States.</w:t>
      </w:r>
    </w:p>
    <w:p>
      <w:pPr>
        <w:spacing w:after="0" w:line="160" w:lineRule="exact"/>
        <w:rPr>
          <w:sz w:val="20"/>
          <w:szCs w:val="20"/>
          <w:color w:val="auto"/>
        </w:rPr>
      </w:pPr>
    </w:p>
    <w:p>
      <w:pPr>
        <w:jc w:val="both"/>
        <w:ind w:firstLine="490"/>
        <w:spacing w:after="0" w:line="230" w:lineRule="auto"/>
        <w:rPr>
          <w:sz w:val="20"/>
          <w:szCs w:val="20"/>
          <w:color w:val="auto"/>
        </w:rPr>
      </w:pPr>
      <w:r>
        <w:rPr>
          <w:rFonts w:ascii="Arial" w:cs="Arial" w:eastAsia="Arial" w:hAnsi="Arial"/>
          <w:sz w:val="20"/>
          <w:szCs w:val="20"/>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studies assessing the toxicology, pharmacology, and PK/PD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93" w:lineRule="exact"/>
        <w:rPr>
          <w:sz w:val="20"/>
          <w:szCs w:val="20"/>
          <w:color w:val="auto"/>
        </w:rPr>
      </w:pPr>
    </w:p>
    <w:p>
      <w:pPr>
        <w:jc w:val="both"/>
        <w:ind w:firstLine="490"/>
        <w:spacing w:after="0" w:line="229" w:lineRule="auto"/>
        <w:rPr>
          <w:sz w:val="20"/>
          <w:szCs w:val="20"/>
          <w:color w:val="auto"/>
        </w:rPr>
      </w:pPr>
      <w:r>
        <w:rPr>
          <w:rFonts w:ascii="Arial" w:cs="Arial" w:eastAsia="Arial" w:hAnsi="Arial"/>
          <w:sz w:val="20"/>
          <w:szCs w:val="20"/>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03"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color w:val="auto"/>
        </w:rPr>
        <w:t>Human clinical trials are typically conducted in three sequential phases that may overlap or be combined:</w:t>
      </w:r>
    </w:p>
    <w:p>
      <w:pPr>
        <w:spacing w:after="0" w:line="52" w:lineRule="exact"/>
        <w:rPr>
          <w:sz w:val="20"/>
          <w:szCs w:val="20"/>
          <w:color w:val="auto"/>
        </w:rPr>
      </w:pPr>
    </w:p>
    <w:p>
      <w:pPr>
        <w:jc w:val="both"/>
        <w:ind w:left="980" w:hanging="491"/>
        <w:spacing w:after="0" w:line="254" w:lineRule="auto"/>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Phase 1</w:t>
      </w:r>
      <w:r>
        <w:rPr>
          <w:rFonts w:ascii="Arial" w:cs="Arial" w:eastAsia="Arial" w:hAnsi="Arial"/>
          <w:sz w:val="20"/>
          <w:szCs w:val="20"/>
          <w:color w:val="auto"/>
        </w:rPr>
        <w:t>: The product candidate is initially introduced into healthy human subjects or patients</w:t>
      </w:r>
      <w:r>
        <w:rPr>
          <w:rFonts w:ascii="Arial" w:cs="Arial" w:eastAsia="Arial" w:hAnsi="Arial"/>
          <w:sz w:val="20"/>
          <w:szCs w:val="20"/>
          <w:i w:val="1"/>
          <w:iCs w:val="1"/>
          <w:color w:val="auto"/>
        </w:rPr>
        <w:t xml:space="preserve"> </w:t>
      </w:r>
      <w:r>
        <w:rPr>
          <w:rFonts w:ascii="Arial" w:cs="Arial" w:eastAsia="Arial" w:hAnsi="Arial"/>
          <w:sz w:val="20"/>
          <w:szCs w:val="20"/>
          <w:color w:val="auto"/>
        </w:rPr>
        <w:t>with the target disease or condition. These studies are designed to test the safety, dosage tolerance, absorption, metabolism, and distribution of the investigational product in humans, the side effects associated with increasing doses, and, if possible, to gain early evidence on</w:t>
      </w:r>
    </w:p>
    <w:p>
      <w:pPr>
        <w:sectPr>
          <w:pgSz w:w="11880" w:h="15474" w:orient="portrait"/>
          <w:cols w:equalWidth="0" w:num="1">
            <w:col w:w="9360"/>
          </w:cols>
          <w:pgMar w:left="1240" w:top="1268" w:right="1274"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880" w:h="15474" w:orient="portrait"/>
          <w:cols w:equalWidth="0" w:num="1">
            <w:col w:w="9360"/>
          </w:cols>
          <w:pgMar w:left="1240" w:top="1268" w:right="1274" w:bottom="0" w:gutter="0" w:footer="0" w:header="0"/>
          <w:type w:val="continuous"/>
        </w:sectPr>
      </w:pPr>
    </w:p>
    <w:bookmarkStart w:id="41" w:name="page42"/>
    <w:bookmarkEnd w:id="41"/>
    <w:p>
      <w:pPr>
        <w:jc w:val="both"/>
        <w:ind w:left="980"/>
        <w:spacing w:after="0" w:line="261" w:lineRule="auto"/>
        <w:rPr>
          <w:sz w:val="20"/>
          <w:szCs w:val="20"/>
          <w:color w:val="auto"/>
        </w:rPr>
      </w:pPr>
      <w:r>
        <w:rPr>
          <w:rFonts w:ascii="Arial" w:cs="Arial" w:eastAsia="Arial" w:hAnsi="Arial"/>
          <w:sz w:val="20"/>
          <w:szCs w:val="20"/>
          <w:color w:val="auto"/>
        </w:rPr>
        <w:t>effectiveness. In the case of some products for severe or life-threatening diseases, especially when the product may be too inherently toxic to ethically administer to healthy volunteers, the initial human testing is often conducted in patients.</w:t>
      </w:r>
    </w:p>
    <w:p>
      <w:pPr>
        <w:spacing w:after="0" w:line="73" w:lineRule="exact"/>
        <w:rPr>
          <w:sz w:val="20"/>
          <w:szCs w:val="20"/>
          <w:color w:val="auto"/>
        </w:rPr>
      </w:pPr>
    </w:p>
    <w:p>
      <w:pPr>
        <w:jc w:val="both"/>
        <w:ind w:left="980" w:hanging="491"/>
        <w:spacing w:after="0" w:line="250" w:lineRule="auto"/>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i w:val="1"/>
          <w:iCs w:val="1"/>
          <w:color w:val="auto"/>
        </w:rPr>
        <w:t>Phase 2</w:t>
      </w:r>
      <w:r>
        <w:rPr>
          <w:rFonts w:ascii="Arial" w:cs="Arial" w:eastAsia="Arial" w:hAnsi="Arial"/>
          <w:sz w:val="20"/>
          <w:szCs w:val="20"/>
          <w:color w:val="auto"/>
        </w:rPr>
        <w:t>: The product candidate is administered to a limited patient population with a specified</w:t>
      </w:r>
      <w:r>
        <w:rPr>
          <w:rFonts w:ascii="Arial" w:cs="Arial" w:eastAsia="Arial" w:hAnsi="Arial"/>
          <w:sz w:val="20"/>
          <w:szCs w:val="20"/>
          <w:i w:val="1"/>
          <w:iCs w:val="1"/>
          <w:color w:val="auto"/>
        </w:rPr>
        <w:t xml:space="preserve"> </w:t>
      </w:r>
      <w:r>
        <w:rPr>
          <w:rFonts w:ascii="Arial" w:cs="Arial" w:eastAsia="Arial" w:hAnsi="Arial"/>
          <w:sz w:val="20"/>
          <w:szCs w:val="20"/>
          <w:color w:val="auto"/>
        </w:rPr>
        <w:t>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85" w:lineRule="exact"/>
        <w:rPr>
          <w:rFonts w:ascii="Arial" w:cs="Arial" w:eastAsia="Arial" w:hAnsi="Arial"/>
          <w:sz w:val="20"/>
          <w:szCs w:val="20"/>
          <w:color w:val="auto"/>
        </w:rPr>
      </w:pPr>
    </w:p>
    <w:p>
      <w:pPr>
        <w:jc w:val="both"/>
        <w:ind w:left="980" w:hanging="491"/>
        <w:spacing w:after="0" w:line="250" w:lineRule="auto"/>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i w:val="1"/>
          <w:iCs w:val="1"/>
          <w:color w:val="auto"/>
        </w:rPr>
        <w:t>Phase 3</w:t>
      </w:r>
      <w:r>
        <w:rPr>
          <w:rFonts w:ascii="Arial" w:cs="Arial" w:eastAsia="Arial" w:hAnsi="Arial"/>
          <w:sz w:val="20"/>
          <w:szCs w:val="20"/>
          <w:color w:val="auto"/>
        </w:rPr>
        <w:t>: The product candidate is administered to an expanded patient population to further</w:t>
      </w:r>
      <w:r>
        <w:rPr>
          <w:rFonts w:ascii="Arial" w:cs="Arial" w:eastAsia="Arial" w:hAnsi="Arial"/>
          <w:sz w:val="20"/>
          <w:szCs w:val="20"/>
          <w:i w:val="1"/>
          <w:iCs w:val="1"/>
          <w:color w:val="auto"/>
        </w:rPr>
        <w:t xml:space="preserve"> </w:t>
      </w:r>
      <w:r>
        <w:rPr>
          <w:rFonts w:ascii="Arial" w:cs="Arial" w:eastAsia="Arial" w:hAnsi="Arial"/>
          <w:sz w:val="20"/>
          <w:szCs w:val="20"/>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3"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Post -approval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w:t>
      </w:r>
    </w:p>
    <w:p>
      <w:pPr>
        <w:spacing w:after="0" w:line="186"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194"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spacing w:after="0" w:line="194"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94"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testing suggesting a significant risk to humans, and any clinically important increased incidence of a serious suspected adverse reaction compared to that listed in the protocol or investigator brochure.</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880" w:h="15474" w:orient="portrait"/>
          <w:cols w:equalWidth="0" w:num="1">
            <w:col w:w="9360"/>
          </w:cols>
          <w:pgMar w:left="1240" w:top="1255" w:right="1274" w:bottom="0" w:gutter="0" w:footer="0" w:header="0"/>
          <w:type w:val="continuous"/>
        </w:sectPr>
      </w:pPr>
    </w:p>
    <w:bookmarkStart w:id="42" w:name="page43"/>
    <w:bookmarkEnd w:id="42"/>
    <w:p>
      <w:pPr>
        <w:spacing w:after="0"/>
        <w:rPr>
          <w:sz w:val="20"/>
          <w:szCs w:val="20"/>
          <w:color w:val="auto"/>
        </w:rPr>
      </w:pPr>
      <w:r>
        <w:rPr>
          <w:rFonts w:ascii="Arial" w:cs="Arial" w:eastAsia="Arial" w:hAnsi="Arial"/>
          <w:sz w:val="20"/>
          <w:szCs w:val="20"/>
          <w:b w:val="1"/>
          <w:bCs w:val="1"/>
          <w:i w:val="1"/>
          <w:iCs w:val="1"/>
          <w:color w:val="auto"/>
        </w:rPr>
        <w:t>NDA Review and Approval Process</w:t>
      </w:r>
    </w:p>
    <w:p>
      <w:pPr>
        <w:spacing w:after="0" w:line="115"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19"/>
          <w:szCs w:val="19"/>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81"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is also subject to review before the FDA accepts it for filing.</w:t>
      </w:r>
    </w:p>
    <w:p>
      <w:pPr>
        <w:spacing w:after="0" w:line="198"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92"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97"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203"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19"/>
          <w:szCs w:val="19"/>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or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w:t>
      </w:r>
    </w:p>
    <w:p>
      <w:pPr>
        <w:sectPr>
          <w:pgSz w:w="11880" w:h="15474" w:orient="portrait"/>
          <w:cols w:equalWidth="0" w:num="1">
            <w:col w:w="9360"/>
          </w:cols>
          <w:pgMar w:left="1240" w:top="1259" w:right="1274"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880" w:h="15474" w:orient="portrait"/>
          <w:cols w:equalWidth="0" w:num="1">
            <w:col w:w="9360"/>
          </w:cols>
          <w:pgMar w:left="1240" w:top="1259" w:right="1274" w:bottom="0" w:gutter="0" w:footer="0" w:header="0"/>
          <w:type w:val="continuous"/>
        </w:sectPr>
      </w:pPr>
    </w:p>
    <w:bookmarkStart w:id="43" w:name="page44"/>
    <w:bookmarkEnd w:id="43"/>
    <w:p>
      <w:pPr>
        <w:jc w:val="both"/>
        <w:spacing w:after="0" w:line="245" w:lineRule="auto"/>
        <w:rPr>
          <w:sz w:val="20"/>
          <w:szCs w:val="20"/>
          <w:color w:val="auto"/>
        </w:rPr>
      </w:pPr>
      <w:r>
        <w:rPr>
          <w:rFonts w:ascii="Arial" w:cs="Arial" w:eastAsia="Arial" w:hAnsi="Arial"/>
          <w:sz w:val="20"/>
          <w:szCs w:val="20"/>
          <w:color w:val="auto"/>
        </w:rPr>
        <w:t>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Expedited Development and Review Programs</w:t>
      </w:r>
    </w:p>
    <w:p>
      <w:pPr>
        <w:spacing w:after="0" w:line="115"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94"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97"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203"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98"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color w:val="auto"/>
        </w:rPr>
        <w:t>Fast track designation, priority review, accelerated approval, and breakthrough therapy designation do not change the standards for approval, but may expedite the development or approval process. Even if</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880" w:h="15474" w:orient="portrait"/>
          <w:cols w:equalWidth="0" w:num="1">
            <w:col w:w="9360"/>
          </w:cols>
          <w:pgMar w:left="1240" w:top="1255" w:right="1274" w:bottom="0" w:gutter="0" w:footer="0" w:header="0"/>
          <w:type w:val="continuous"/>
        </w:sectPr>
      </w:pPr>
    </w:p>
    <w:bookmarkStart w:id="44" w:name="page45"/>
    <w:bookmarkEnd w:id="44"/>
    <w:p>
      <w:pPr>
        <w:jc w:val="both"/>
        <w:spacing w:after="0" w:line="245" w:lineRule="auto"/>
        <w:rPr>
          <w:sz w:val="20"/>
          <w:szCs w:val="20"/>
          <w:color w:val="auto"/>
        </w:rPr>
      </w:pPr>
      <w:r>
        <w:rPr>
          <w:rFonts w:ascii="Arial" w:cs="Arial" w:eastAsia="Arial" w:hAnsi="Arial"/>
          <w:sz w:val="20"/>
          <w:szCs w:val="20"/>
          <w:color w:val="auto"/>
        </w:rPr>
        <w:t>a product qualifies for one or more of these programs, the FDA may later decide that the product no longer meets the conditions for qualification or decide that the time period for FDA review or approval will not be shortened. We may explore some of these opportunities for our drug product candidates as appropriate. On December 29, 2022, the Consolidated Appropriations Act, 2023, including the Food and Drug Omnibus Reform Act, or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Post-Approval Requirements</w:t>
      </w:r>
    </w:p>
    <w:p>
      <w:pPr>
        <w:spacing w:after="0" w:line="115"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98"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7" w:lineRule="exact"/>
        <w:rPr>
          <w:sz w:val="20"/>
          <w:szCs w:val="20"/>
          <w:color w:val="auto"/>
        </w:rPr>
      </w:pPr>
    </w:p>
    <w:p>
      <w:pPr>
        <w:ind w:left="980" w:hanging="491"/>
        <w:spacing w:after="0" w:line="282" w:lineRule="auto"/>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restrictions on the marketing or manufacturing of the product, complete withdrawal of the product from the market or product recalls;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fines, warning letters, or untitled letters;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clinical holds on post-approval or Phase IV clinical studies, if applicable;</w:t>
      </w:r>
    </w:p>
    <w:p>
      <w:pPr>
        <w:spacing w:after="0" w:line="133"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refusal of the FDA to approve pending applications or supplements to approved applications, or suspension or revocation of product license approvals;</w:t>
      </w:r>
    </w:p>
    <w:p>
      <w:pPr>
        <w:spacing w:after="0" w:line="51"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drug product seizure or detention, or refusal to permit the import or export of products;</w:t>
      </w:r>
    </w:p>
    <w:p>
      <w:pPr>
        <w:spacing w:after="0" w:line="13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consent decrees, corporate integrity agreements, debarment, or exclusion from federal healthcare programs;</w:t>
      </w:r>
    </w:p>
    <w:p>
      <w:pPr>
        <w:spacing w:after="0" w:line="51"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mandated modification of promotional materials and labeling and the issuance of corrective information;</w:t>
      </w:r>
    </w:p>
    <w:p>
      <w:pPr>
        <w:spacing w:after="0" w:line="50"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issuance of safety alerts, Dear Healthcare Provider letters, press releases, and other communications containing warnings or other safety information about the product; or</w:t>
      </w:r>
    </w:p>
    <w:p>
      <w:pPr>
        <w:spacing w:after="0" w:line="51"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injunctions or the imposition of civil or criminal penalties.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880" w:h="15474" w:orient="portrait"/>
          <w:cols w:equalWidth="0" w:num="1">
            <w:col w:w="9360"/>
          </w:cols>
          <w:pgMar w:left="1240" w:top="1255" w:right="1274" w:bottom="0" w:gutter="0" w:footer="0" w:header="0"/>
          <w:type w:val="continuous"/>
        </w:sectPr>
      </w:pPr>
    </w:p>
    <w:bookmarkStart w:id="45" w:name="page46"/>
    <w:bookmarkEnd w:id="45"/>
    <w:p>
      <w:pPr>
        <w:jc w:val="both"/>
        <w:ind w:firstLine="490"/>
        <w:spacing w:after="0" w:line="242" w:lineRule="auto"/>
        <w:rPr>
          <w:sz w:val="20"/>
          <w:szCs w:val="20"/>
          <w:color w:val="auto"/>
        </w:rPr>
      </w:pPr>
      <w:r>
        <w:rPr>
          <w:rFonts w:ascii="Arial" w:cs="Arial" w:eastAsia="Arial" w:hAnsi="Arial"/>
          <w:sz w:val="20"/>
          <w:szCs w:val="20"/>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Marketing Exclusivity</w:t>
      </w:r>
    </w:p>
    <w:p>
      <w:pPr>
        <w:spacing w:after="0" w:line="108"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97"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192" w:lineRule="exact"/>
        <w:rPr>
          <w:sz w:val="20"/>
          <w:szCs w:val="20"/>
          <w:color w:val="auto"/>
        </w:rPr>
      </w:pPr>
    </w:p>
    <w:p>
      <w:pPr>
        <w:jc w:val="both"/>
        <w:ind w:firstLine="490"/>
        <w:spacing w:after="0" w:line="239" w:lineRule="auto"/>
        <w:rPr>
          <w:sz w:val="20"/>
          <w:szCs w:val="20"/>
          <w:color w:val="auto"/>
        </w:rPr>
      </w:pPr>
      <w:r>
        <w:rPr>
          <w:rFonts w:ascii="Arial" w:cs="Arial" w:eastAsia="Arial" w:hAnsi="Arial"/>
          <w:sz w:val="20"/>
          <w:szCs w:val="20"/>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Healthcare Laws</w:t>
      </w:r>
    </w:p>
    <w:p>
      <w:pPr>
        <w:spacing w:after="0" w:line="107" w:lineRule="exact"/>
        <w:rPr>
          <w:sz w:val="20"/>
          <w:szCs w:val="20"/>
          <w:color w:val="auto"/>
        </w:rPr>
      </w:pPr>
    </w:p>
    <w:p>
      <w:pPr>
        <w:jc w:val="both"/>
        <w:ind w:firstLine="490"/>
        <w:spacing w:after="0" w:line="300" w:lineRule="auto"/>
        <w:rPr>
          <w:sz w:val="20"/>
          <w:szCs w:val="20"/>
          <w:color w:val="auto"/>
        </w:rPr>
      </w:pPr>
      <w:r>
        <w:rPr>
          <w:rFonts w:ascii="Arial" w:cs="Arial" w:eastAsia="Arial" w:hAnsi="Arial"/>
          <w:sz w:val="19"/>
          <w:szCs w:val="19"/>
          <w:color w:val="auto"/>
        </w:rPr>
        <w:t>Pharmaceutical manufacturers are subject to additional healthcare laws, regulation, and enforcement by the federal government and by authorities in the states and foreign jurisdictions in which they conduct</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880" w:h="15474" w:orient="portrait"/>
          <w:cols w:equalWidth="0" w:num="1">
            <w:col w:w="9360"/>
          </w:cols>
          <w:pgMar w:left="1240" w:top="1255" w:right="1274" w:bottom="0" w:gutter="0" w:footer="0" w:header="0"/>
          <w:type w:val="continuous"/>
        </w:sectPr>
      </w:pPr>
    </w:p>
    <w:bookmarkStart w:id="46" w:name="page47"/>
    <w:bookmarkEnd w:id="46"/>
    <w:p>
      <w:pPr>
        <w:jc w:val="both"/>
        <w:spacing w:after="0" w:line="232" w:lineRule="auto"/>
        <w:rPr>
          <w:sz w:val="20"/>
          <w:szCs w:val="20"/>
          <w:color w:val="auto"/>
        </w:rPr>
      </w:pPr>
      <w:r>
        <w:rPr>
          <w:rFonts w:ascii="Arial" w:cs="Arial" w:eastAsia="Arial" w:hAnsi="Arial"/>
          <w:sz w:val="20"/>
          <w:szCs w:val="20"/>
          <w:color w:val="auto"/>
        </w:rPr>
        <w:t>their business. Such laws include, without limitation, U.S. federal anti-kickback, anti-self-referral, false claims, transparency, including the federal Physician Payments Sunshine Act, consumer fraud, pricing reporting, data privacy, data protection, and security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and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or HIPAA, thus complicating compliance efforts.</w:t>
      </w:r>
    </w:p>
    <w:p>
      <w:pPr>
        <w:spacing w:after="0" w:line="215"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9"/>
          <w:szCs w:val="19"/>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Coverage and Reimbursement</w:t>
      </w:r>
    </w:p>
    <w:p>
      <w:pPr>
        <w:spacing w:after="0" w:line="115"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 by-plan basis. One third- 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w:t>
      </w:r>
    </w:p>
    <w:p>
      <w:pPr>
        <w:spacing w:after="0" w:line="199" w:lineRule="exact"/>
        <w:rPr>
          <w:sz w:val="20"/>
          <w:szCs w:val="20"/>
          <w:color w:val="auto"/>
        </w:rPr>
      </w:pPr>
    </w:p>
    <w:p>
      <w:pPr>
        <w:jc w:val="both"/>
        <w:ind w:firstLine="490"/>
        <w:spacing w:after="0" w:line="260" w:lineRule="auto"/>
        <w:rPr>
          <w:sz w:val="20"/>
          <w:szCs w:val="20"/>
          <w:color w:val="auto"/>
        </w:rPr>
      </w:pPr>
      <w:r>
        <w:rPr>
          <w:rFonts w:ascii="Arial" w:cs="Arial" w:eastAsia="Arial" w:hAnsi="Arial"/>
          <w:sz w:val="19"/>
          <w:szCs w:val="19"/>
          <w:color w:val="auto"/>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w:t>
      </w:r>
    </w:p>
    <w:p>
      <w:pPr>
        <w:sectPr>
          <w:pgSz w:w="11880" w:h="15474" w:orient="portrait"/>
          <w:cols w:equalWidth="0" w:num="1">
            <w:col w:w="9360"/>
          </w:cols>
          <w:pgMar w:left="1240" w:top="1247"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880" w:h="15474" w:orient="portrait"/>
          <w:cols w:equalWidth="0" w:num="1">
            <w:col w:w="9360"/>
          </w:cols>
          <w:pgMar w:left="1240" w:top="1247" w:right="1274" w:bottom="0" w:gutter="0" w:footer="0" w:header="0"/>
          <w:type w:val="continuous"/>
        </w:sectPr>
      </w:pPr>
    </w:p>
    <w:bookmarkStart w:id="47" w:name="page48"/>
    <w:bookmarkEnd w:id="47"/>
    <w:p>
      <w:pPr>
        <w:jc w:val="both"/>
        <w:spacing w:after="0" w:line="282" w:lineRule="auto"/>
        <w:rPr>
          <w:sz w:val="20"/>
          <w:szCs w:val="20"/>
          <w:color w:val="auto"/>
        </w:rPr>
      </w:pPr>
      <w:r>
        <w:rPr>
          <w:rFonts w:ascii="Arial" w:cs="Arial" w:eastAsia="Arial" w:hAnsi="Arial"/>
          <w:sz w:val="20"/>
          <w:szCs w:val="20"/>
          <w:color w:val="auto"/>
        </w:rPr>
        <w:t>by a third-party payor not to cover a product could reduce physician usage and patient demand for the product.</w:t>
      </w:r>
    </w:p>
    <w:p>
      <w:pPr>
        <w:spacing w:after="0" w:line="159"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Healthcare Reform</w:t>
      </w:r>
    </w:p>
    <w:p>
      <w:pPr>
        <w:spacing w:after="0" w:line="117" w:lineRule="exact"/>
        <w:rPr>
          <w:sz w:val="20"/>
          <w:szCs w:val="20"/>
          <w:color w:val="auto"/>
        </w:rPr>
      </w:pPr>
    </w:p>
    <w:p>
      <w:pPr>
        <w:jc w:val="both"/>
        <w:ind w:firstLine="490"/>
        <w:spacing w:after="0" w:line="242" w:lineRule="auto"/>
        <w:rPr>
          <w:sz w:val="20"/>
          <w:szCs w:val="20"/>
          <w:color w:val="auto"/>
        </w:rPr>
      </w:pPr>
      <w:r>
        <w:rPr>
          <w:rFonts w:ascii="Arial" w:cs="Arial" w:eastAsia="Arial" w:hAnsi="Arial"/>
          <w:sz w:val="20"/>
          <w:szCs w:val="20"/>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of 2010, or collectively,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it required collection of rebates for drugs paid by Medicaid managed care organizations; imposed a non-deductible annual fee on pharmaceutical manufacturers or importers who sell certain “branded prescription drugs” to specified federal government programs; it implemented a new methodology under which rebates owed by manufacturers under the Medicaid Drug Rebate Program are calculated for drugs that are inhaled, infused, instilled, implanted, or injected; it expanded the eligibility criteria for Medicaid programs; it created a new Patient-Centered Outcomes Research Institute to oversee, identify priorities in, and conduct comparative clinical effectiveness research, along with funding for such research; and it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210"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9"/>
          <w:szCs w:val="19"/>
          <w:color w:val="auto"/>
        </w:rPr>
        <w:t>Since its enactment, there have been executive, judicial and Congressional challenges to certain aspects of the ACA. For example,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 It is unclear how any such challenges and healthcare measures promulgated by the Biden administration will impact the ACA, our business, financial condition and results of operations.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90"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through 2032 with the exception of a temporary suspension implemented under various novel coronavirus disease, or COVID-19, relief legislation. Moreover, there has recently been heightened governmental scrutiny over the manner in which manufacturers set prices for their marketed products, which has resulted in several</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880" w:h="15474" w:orient="portrait"/>
          <w:cols w:equalWidth="0" w:num="1">
            <w:col w:w="9360"/>
          </w:cols>
          <w:pgMar w:left="1240" w:top="1255" w:right="1274" w:bottom="0" w:gutter="0" w:footer="0" w:header="0"/>
          <w:type w:val="continuous"/>
        </w:sectPr>
      </w:pPr>
    </w:p>
    <w:bookmarkStart w:id="48" w:name="page49"/>
    <w:bookmarkEnd w:id="48"/>
    <w:p>
      <w:pPr>
        <w:jc w:val="both"/>
        <w:spacing w:after="0" w:line="255" w:lineRule="auto"/>
        <w:rPr>
          <w:sz w:val="20"/>
          <w:szCs w:val="20"/>
          <w:color w:val="auto"/>
        </w:rPr>
      </w:pPr>
      <w:r>
        <w:rPr>
          <w:rFonts w:ascii="Arial" w:cs="Arial" w:eastAsia="Arial" w:hAnsi="Arial"/>
          <w:sz w:val="19"/>
          <w:szCs w:val="19"/>
          <w:color w:val="auto"/>
        </w:rPr>
        <w:t>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August 2022, Congress passed the Inflation Reduction Act of 2022, or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certain pharmaceutical companies and the Pharmaceutical Research and Manufacturers of America, have initiated lawsuits against the federal government asserting that the price negotiation provisions of the IRA are unconstitutional. The impact of these judicial challenges,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drug candidates if approved.</w:t>
      </w:r>
    </w:p>
    <w:p>
      <w:pPr>
        <w:spacing w:after="0" w:line="200" w:lineRule="exact"/>
        <w:rPr>
          <w:sz w:val="20"/>
          <w:szCs w:val="20"/>
          <w:color w:val="auto"/>
        </w:rPr>
      </w:pPr>
    </w:p>
    <w:p>
      <w:pPr>
        <w:spacing w:after="0" w:line="227"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drug products. It is possible that additional governmental action may be taken to address the COVID-19 pandemic. Furthermore, there has been increased interest by third party payors and governmental authorities in reference to pricing systems and publication of discounts and list prices. The implementation of cost containment measures or other healthcare reforms may prevent us from being able to generate revenue, attain profitability or commercialize our drug candidates.</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 and Human Capital Resources</w:t>
      </w:r>
    </w:p>
    <w:p>
      <w:pPr>
        <w:spacing w:after="0" w:line="124"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As of December 31, 2023, we had 67 employees, 65 of whom were full -time and 45 of whom were engaged in research and development activities. Twenty-five of our employees hold Ph.D. or M.D. degrees. None of our employees is represented by a labor union or covered under a collective bargaining agreement. We consider our relationship with our employees to be good.</w:t>
      </w:r>
    </w:p>
    <w:p>
      <w:pPr>
        <w:spacing w:after="0" w:line="186"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Information</w:t>
      </w:r>
    </w:p>
    <w:p>
      <w:pPr>
        <w:spacing w:after="0" w:line="123"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18706 North Creek Parkway, Suite 104, Bothell Washington 98011. Our telephone number is (425) 620-8501. Our website is www.athira.com. Information contained in, or that can be accessed through, our website is not a part of,</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880" w:h="15474" w:orient="portrait"/>
          <w:cols w:equalWidth="0" w:num="1">
            <w:col w:w="9360"/>
          </w:cols>
          <w:pgMar w:left="1240" w:top="1255" w:right="1274" w:bottom="0" w:gutter="0" w:footer="0" w:header="0"/>
          <w:type w:val="continuous"/>
        </w:sectPr>
      </w:pPr>
    </w:p>
    <w:bookmarkStart w:id="49" w:name="page50"/>
    <w:bookmarkEnd w:id="49"/>
    <w:p>
      <w:pPr>
        <w:jc w:val="both"/>
        <w:spacing w:after="0" w:line="282" w:lineRule="auto"/>
        <w:rPr>
          <w:sz w:val="20"/>
          <w:szCs w:val="20"/>
          <w:color w:val="auto"/>
        </w:rPr>
      </w:pPr>
      <w:r>
        <w:rPr>
          <w:rFonts w:ascii="Arial" w:cs="Arial" w:eastAsia="Arial" w:hAnsi="Arial"/>
          <w:sz w:val="20"/>
          <w:szCs w:val="20"/>
          <w:color w:val="auto"/>
        </w:rPr>
        <w:t>and is not incorporated into, this report, and the inclusion of our website address in this report is an inactive textual reference only.</w:t>
      </w:r>
    </w:p>
    <w:p>
      <w:pPr>
        <w:spacing w:after="0" w:line="159"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We make available on or through our website certain reports and amendments to those reports that we file with or furnish to the SEC in accordance with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880" w:h="15474" w:orient="portrait"/>
          <w:cols w:equalWidth="0" w:num="1">
            <w:col w:w="9360"/>
          </w:cols>
          <w:pgMar w:left="1240" w:top="1255" w:right="1274" w:bottom="0" w:gutter="0" w:footer="0" w:header="0"/>
          <w:type w:val="continuous"/>
        </w:sectPr>
      </w:pPr>
    </w:p>
    <w:bookmarkStart w:id="50" w:name="page51"/>
    <w:bookmarkEnd w:id="50"/>
    <w:p>
      <w:pPr>
        <w:spacing w:after="0"/>
        <w:rPr>
          <w:sz w:val="20"/>
          <w:szCs w:val="20"/>
          <w:color w:val="auto"/>
        </w:rPr>
      </w:pPr>
      <w:r>
        <w:rPr>
          <w:rFonts w:ascii="Arial" w:cs="Arial" w:eastAsia="Arial" w:hAnsi="Arial"/>
          <w:sz w:val="20"/>
          <w:szCs w:val="20"/>
          <w:b w:val="1"/>
          <w:bCs w:val="1"/>
          <w:color w:val="auto"/>
        </w:rPr>
        <w:t>Item 1A. Risk Factors.</w:t>
      </w:r>
    </w:p>
    <w:p>
      <w:pPr>
        <w:spacing w:after="0" w:line="123"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161616"/>
        </w:rPr>
        <w:t xml:space="preserve">You should carefully consider the </w:t>
      </w:r>
      <w:r>
        <w:rPr>
          <w:rFonts w:ascii="Arial" w:cs="Arial" w:eastAsia="Arial" w:hAnsi="Arial"/>
          <w:sz w:val="20"/>
          <w:szCs w:val="20"/>
          <w:i w:val="1"/>
          <w:iCs w:val="1"/>
          <w:color w:val="161616"/>
        </w:rPr>
        <w:t>following risk factors, in addition to</w:t>
      </w:r>
      <w:r>
        <w:rPr>
          <w:rFonts w:ascii="Arial" w:cs="Arial" w:eastAsia="Arial" w:hAnsi="Arial"/>
          <w:sz w:val="20"/>
          <w:szCs w:val="20"/>
          <w:color w:val="161616"/>
        </w:rPr>
        <w:t xml:space="preserve"> the other information </w:t>
      </w:r>
      <w:r>
        <w:rPr>
          <w:rFonts w:ascii="Arial" w:cs="Arial" w:eastAsia="Arial" w:hAnsi="Arial"/>
          <w:sz w:val="20"/>
          <w:szCs w:val="20"/>
          <w:i w:val="1"/>
          <w:iCs w:val="1"/>
          <w:color w:val="161616"/>
        </w:rPr>
        <w:t>contained</w:t>
      </w:r>
      <w:r>
        <w:rPr>
          <w:rFonts w:ascii="Arial" w:cs="Arial" w:eastAsia="Arial" w:hAnsi="Arial"/>
          <w:sz w:val="20"/>
          <w:szCs w:val="20"/>
          <w:color w:val="161616"/>
        </w:rPr>
        <w:t xml:space="preserve"> </w:t>
      </w:r>
      <w:r>
        <w:rPr>
          <w:rFonts w:ascii="Arial" w:cs="Arial" w:eastAsia="Arial" w:hAnsi="Arial"/>
          <w:sz w:val="20"/>
          <w:szCs w:val="20"/>
          <w:i w:val="1"/>
          <w:iCs w:val="1"/>
          <w:color w:val="161616"/>
        </w:rPr>
        <w:t>in this Annual Report on Form 10-K</w:t>
      </w:r>
      <w:r>
        <w:rPr>
          <w:rFonts w:ascii="Arial" w:cs="Arial" w:eastAsia="Arial" w:hAnsi="Arial"/>
          <w:sz w:val="20"/>
          <w:szCs w:val="20"/>
          <w:color w:val="161616"/>
        </w:rPr>
        <w:t>, including the “Management’s Discussion and Analysis of Financial</w:t>
      </w:r>
      <w:r>
        <w:rPr>
          <w:rFonts w:ascii="Arial" w:cs="Arial" w:eastAsia="Arial" w:hAnsi="Arial"/>
          <w:sz w:val="20"/>
          <w:szCs w:val="20"/>
          <w:i w:val="1"/>
          <w:iCs w:val="1"/>
          <w:color w:val="161616"/>
        </w:rPr>
        <w:t xml:space="preserve"> </w:t>
      </w:r>
      <w:r>
        <w:rPr>
          <w:rFonts w:ascii="Arial" w:cs="Arial" w:eastAsia="Arial" w:hAnsi="Arial"/>
          <w:sz w:val="20"/>
          <w:szCs w:val="20"/>
          <w:color w:val="161616"/>
        </w:rPr>
        <w:t xml:space="preserve">Condition and Results of Operations” section </w:t>
      </w:r>
      <w:r>
        <w:rPr>
          <w:rFonts w:ascii="Arial" w:cs="Arial" w:eastAsia="Arial" w:hAnsi="Arial"/>
          <w:sz w:val="20"/>
          <w:szCs w:val="20"/>
          <w:i w:val="1"/>
          <w:iCs w:val="1"/>
          <w:color w:val="161616"/>
        </w:rPr>
        <w:t>and our consolidated financial statements and related notes.</w:t>
      </w:r>
      <w:r>
        <w:rPr>
          <w:rFonts w:ascii="Arial" w:cs="Arial" w:eastAsia="Arial" w:hAnsi="Arial"/>
          <w:sz w:val="20"/>
          <w:szCs w:val="20"/>
          <w:color w:val="161616"/>
        </w:rPr>
        <w:t xml:space="preserve"> </w:t>
      </w:r>
      <w:r>
        <w:rPr>
          <w:rFonts w:ascii="Arial" w:cs="Arial" w:eastAsia="Arial" w:hAnsi="Arial"/>
          <w:sz w:val="20"/>
          <w:szCs w:val="20"/>
          <w:i w:val="1"/>
          <w:iCs w:val="1"/>
          <w:color w:val="161616"/>
        </w:rPr>
        <w:t>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 Our Risk Factors are not guarantees that no such conditions exist as of the date of this report and should not be interpreted as an affirmative statement that such risks or conditions have not materialized, in whole or in part.</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Our Business and the Development of Our Drug Candidates</w:t>
      </w:r>
    </w:p>
    <w:p>
      <w:pPr>
        <w:spacing w:after="0" w:line="288"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We are a late clinical-stage biopharmaceutical company with a limited operating history.</w:t>
      </w:r>
    </w:p>
    <w:p>
      <w:pPr>
        <w:spacing w:after="0" w:line="276"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We are a late clinical-stage biopharmaceutical company focused on developing small molecules engineered to restore neuronal health and slow neurodegeneration. Our limited operating history may make it difficult to evaluate the success of our business. Drug development is a highly uncertain undertaking and involves a substantial degree of risk. To date, we have not completed a pivotal clinical trial, obtained marketing approval for any drug candidate, manufactured a commercial scale drug candidate, or conducted sales and marketing activities necessary for successful drug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223"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We may fail to or be unable to design and execute clinical trials to support marketing approval of fosgonimeton or any of our other drug candidates. We cannot be certain that our current or planned clinical trials or any other future clinical trials will be completed on time or be successful. We cannot guarantee that the FDA or foreign regulatory authorities will agree with our study design, protocol or protocol amendments, or statistical plan, or that they will interpret clinical trial results as we do, and more clinical trials could be required before we are able to submit applications seeking approval of our drug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drug candidates (including potential confirmatory or Phase 3 registrational trials). Even if regulatory approval is secured for any of our drug candidates, the terms of such approval may limit the scope and use of our drug candidate, which may also limit its commercial potential.</w:t>
      </w:r>
    </w:p>
    <w:p>
      <w:pPr>
        <w:spacing w:after="0" w:line="249"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Our ability to generate revenue and achieve profitability depends significantly on our ability to achieve a number of objectives.</w:t>
      </w:r>
    </w:p>
    <w:p>
      <w:pPr>
        <w:spacing w:after="0" w:line="183"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Our business depends entirely on the successful discovery, development and commercialization of our drug candidates. We have no drug products approved for commercial sale and do not anticipate generating any revenue from drug product sales for the next several years, if ever. Our ability to generate drug product revenue will depend heavily on the successful clinical development and eventual commercialization of fosgonimeton and one or more of our other future drug candidates. Our ability to</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880" w:h="15474" w:orient="portrait"/>
          <w:cols w:equalWidth="0" w:num="1">
            <w:col w:w="9360"/>
          </w:cols>
          <w:pgMar w:left="1240" w:top="1251" w:right="1274" w:bottom="0" w:gutter="0" w:footer="0" w:header="0"/>
          <w:type w:val="continuous"/>
        </w:sectPr>
      </w:pPr>
    </w:p>
    <w:bookmarkStart w:id="51" w:name="page52"/>
    <w:bookmarkEnd w:id="51"/>
    <w:p>
      <w:pPr>
        <w:spacing w:after="0" w:line="282" w:lineRule="auto"/>
        <w:rPr>
          <w:sz w:val="20"/>
          <w:szCs w:val="20"/>
          <w:color w:val="auto"/>
        </w:rPr>
      </w:pPr>
      <w:r>
        <w:rPr>
          <w:rFonts w:ascii="Arial" w:cs="Arial" w:eastAsia="Arial" w:hAnsi="Arial"/>
          <w:sz w:val="20"/>
          <w:szCs w:val="20"/>
          <w:color w:val="auto"/>
        </w:rPr>
        <w:t>generate revenue and achieve profitability depends significantly on our ability to achieve a number of objectives, including:</w:t>
      </w:r>
    </w:p>
    <w:p>
      <w:pPr>
        <w:spacing w:after="0" w:line="52" w:lineRule="exact"/>
        <w:rPr>
          <w:sz w:val="20"/>
          <w:szCs w:val="20"/>
          <w:color w:val="auto"/>
        </w:rPr>
      </w:pPr>
    </w:p>
    <w:p>
      <w:pPr>
        <w:jc w:val="both"/>
        <w:ind w:left="980" w:hanging="491"/>
        <w:spacing w:after="0" w:line="311" w:lineRule="auto"/>
        <w:tabs>
          <w:tab w:leader="none" w:pos="9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successful and timely completion of nonclinical and clinical development of our drug candidates and any future drug candidates, as well as the associated costs, including any unforeseen costs;</w:t>
      </w:r>
    </w:p>
    <w:p>
      <w:pPr>
        <w:spacing w:after="0" w:line="27" w:lineRule="exact"/>
        <w:rPr>
          <w:rFonts w:ascii="Arial" w:cs="Arial" w:eastAsia="Arial" w:hAnsi="Arial"/>
          <w:sz w:val="19"/>
          <w:szCs w:val="19"/>
          <w:color w:val="auto"/>
        </w:rPr>
      </w:pPr>
    </w:p>
    <w:p>
      <w:pPr>
        <w:jc w:val="both"/>
        <w:ind w:left="980" w:hanging="491"/>
        <w:spacing w:after="0" w:line="261" w:lineRule="auto"/>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establishing and maintaining relationships with contract research organizations, or CROs, and clinical sites for the clinical development, both in the United States and internationally, of our drug candidates and any future drug candidates;</w:t>
      </w:r>
    </w:p>
    <w:p>
      <w:pPr>
        <w:spacing w:after="0" w:line="7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timely submission of application for and receipt of marketing approvals from applicable regulatory authorities for any drug candidates for which we successfully complete clinical development;</w:t>
      </w:r>
    </w:p>
    <w:p>
      <w:pPr>
        <w:spacing w:after="0" w:line="72"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making any required post-marketing approval commitments to applicable regulatory authorities;</w:t>
      </w:r>
    </w:p>
    <w:p>
      <w:pPr>
        <w:spacing w:after="0" w:line="145" w:lineRule="exact"/>
        <w:rPr>
          <w:rFonts w:ascii="Arial" w:cs="Arial" w:eastAsia="Arial" w:hAnsi="Arial"/>
          <w:sz w:val="19"/>
          <w:szCs w:val="19"/>
          <w:color w:val="auto"/>
        </w:rPr>
      </w:pPr>
    </w:p>
    <w:p>
      <w:pPr>
        <w:ind w:left="980" w:hanging="491"/>
        <w:spacing w:after="0" w:line="283" w:lineRule="auto"/>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developing an efficient and scalable manufacturing process for our drug candidates, including obtaining finished products that are appropriately packaged for sale;</w:t>
      </w:r>
    </w:p>
    <w:p>
      <w:pPr>
        <w:spacing w:after="0" w:line="50" w:lineRule="exact"/>
        <w:rPr>
          <w:rFonts w:ascii="Arial" w:cs="Arial" w:eastAsia="Arial" w:hAnsi="Arial"/>
          <w:sz w:val="20"/>
          <w:szCs w:val="20"/>
          <w:color w:val="auto"/>
        </w:rPr>
      </w:pPr>
    </w:p>
    <w:p>
      <w:pPr>
        <w:jc w:val="both"/>
        <w:ind w:left="980" w:hanging="491"/>
        <w:spacing w:after="0" w:line="254" w:lineRule="auto"/>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establishing and maintaining commercially viable supply and manufacturing relationships with third parties that can provide adequate, in both amount and quality, products and services to support clinical development and meet the market demand for drug candidates that we develop, if approved;</w:t>
      </w:r>
    </w:p>
    <w:p>
      <w:pPr>
        <w:spacing w:after="0" w:line="80"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successful commercial launch following any marketing approval, including the development of a commercial infrastructure, whether inhouse or with one or more collaborators;</w:t>
      </w:r>
    </w:p>
    <w:p>
      <w:pPr>
        <w:spacing w:after="0" w:line="51"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continued acceptable safety profile following any marketing approval of our drug candidates;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commercial acceptance of our drug candidates by patients, the medical community and third-party payors;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identifying, assessing and developing new drug candidates;</w:t>
      </w:r>
    </w:p>
    <w:p>
      <w:pPr>
        <w:spacing w:after="0" w:line="133"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obtaining, maintaining and expanding patent protection, trade secret protection and regulatory exclusivity, both in the United States and internationally;</w:t>
      </w:r>
    </w:p>
    <w:p>
      <w:pPr>
        <w:spacing w:after="0" w:line="51"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protecting our rights in our intellectual property portfolio;</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defending against third-party interference or infringement claims, if any;</w:t>
      </w:r>
    </w:p>
    <w:p>
      <w:pPr>
        <w:spacing w:after="0" w:line="13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negotiating favorable terms in any collaboration, licensing or other arrangements that may be necessary or desirable to develop, manufacture or commercialize our drug candidates;</w:t>
      </w:r>
    </w:p>
    <w:p>
      <w:pPr>
        <w:spacing w:after="0" w:line="51"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obtaining coverage and adequate reimbursement by hospitals, government and third-party payors for drug candidates that we develop;</w:t>
      </w:r>
    </w:p>
    <w:p>
      <w:pPr>
        <w:spacing w:after="0" w:line="51"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addressing any competing therapies and technological and market developments; and</w:t>
      </w:r>
    </w:p>
    <w:p>
      <w:pPr>
        <w:spacing w:after="0" w:line="132"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attracting, hiring and retaining qualified personnel.</w:t>
      </w:r>
    </w:p>
    <w:p>
      <w:pPr>
        <w:spacing w:after="0" w:line="280"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235"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auto"/>
        </w:rPr>
        <w:t>We may also experience delays in developing a sustainable, reproducible and scalable manufacturing process or transferring that process to commercial partners, which may prevent us from completing our clinical trials or commercializing our drug candidates on a timely or profitable basis, if at all. Changes in the manufacturing process or facilities will require further comparability analysis and approval by the FDA before implementation, which could delay our clinical trials and drug candidate development, and could</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880" w:h="15474" w:orient="portrait"/>
          <w:cols w:equalWidth="0" w:num="1">
            <w:col w:w="9360"/>
          </w:cols>
          <w:pgMar w:left="1240" w:top="1255" w:right="1274" w:bottom="0" w:gutter="0" w:footer="0" w:header="0"/>
          <w:type w:val="continuous"/>
        </w:sectPr>
      </w:pPr>
    </w:p>
    <w:bookmarkStart w:id="52" w:name="page53"/>
    <w:bookmarkEnd w:id="52"/>
    <w:p>
      <w:pPr>
        <w:jc w:val="both"/>
        <w:spacing w:after="0" w:line="282" w:lineRule="auto"/>
        <w:rPr>
          <w:sz w:val="20"/>
          <w:szCs w:val="20"/>
          <w:color w:val="auto"/>
        </w:rPr>
      </w:pPr>
      <w:r>
        <w:rPr>
          <w:rFonts w:ascii="Arial" w:cs="Arial" w:eastAsia="Arial" w:hAnsi="Arial"/>
          <w:sz w:val="20"/>
          <w:szCs w:val="20"/>
          <w:color w:val="auto"/>
        </w:rPr>
        <w:t>require additional clinical trials, including bridging studies and potential confirmatory or Phase 3 registrational trials, to demonstrate consistent and continued safety and efficacy.</w:t>
      </w:r>
    </w:p>
    <w:p>
      <w:pPr>
        <w:spacing w:after="0" w:line="199"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We have not previously submitted an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relevant regulatory filing must also include significant information regarding the chemistry, manufacturing and controls for the drug product. We cannot be certain that our current or future drug candidates will be successful in clinical trials. Further, even if they are successful in clinical trials, our drug candidates or any future drug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Our development of fosgonimeton may never lead to a marketable product.</w:t>
      </w:r>
    </w:p>
    <w:p>
      <w:pPr>
        <w:spacing w:after="0" w:line="276"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We are developing fosgonimeton as a small molecule aimed at restoring neuronal health. We have not received regulatory approval for fosgonimeton and cannot be certain that our approach will lead to the development of an approvable or marketable product, alone or in combination with other therapies. The primary and all secondary endpoints of the ACT-AD and SHAPE trials were not met by protocoled analysis. While we are continuing with the LIFT-AD study, we may not succeed in demonstrating safety and efficacy of fosgonimeton in our LIFT-AD trial or in other clinical trials.</w:t>
      </w:r>
    </w:p>
    <w:p>
      <w:pPr>
        <w:spacing w:after="0" w:line="235"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Advancing fosgonimeton as a small molecule aimed at restoring neuronal health creates significant challenges for us, including:</w:t>
      </w:r>
    </w:p>
    <w:p>
      <w:pPr>
        <w:spacing w:after="0" w:line="52" w:lineRule="exact"/>
        <w:rPr>
          <w:sz w:val="20"/>
          <w:szCs w:val="20"/>
          <w:color w:val="auto"/>
        </w:rPr>
      </w:pPr>
    </w:p>
    <w:p>
      <w:pPr>
        <w:ind w:left="980" w:hanging="491"/>
        <w:spacing w:after="0"/>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obtaining marketing approval;</w:t>
      </w:r>
    </w:p>
    <w:p>
      <w:pPr>
        <w:spacing w:after="0" w:line="133" w:lineRule="exact"/>
        <w:rPr>
          <w:rFonts w:ascii="Arial" w:cs="Arial" w:eastAsia="Arial" w:hAnsi="Arial"/>
          <w:sz w:val="20"/>
          <w:szCs w:val="20"/>
          <w:color w:val="auto"/>
        </w:rPr>
      </w:pPr>
    </w:p>
    <w:p>
      <w:pPr>
        <w:jc w:val="both"/>
        <w:ind w:left="980" w:hanging="491"/>
        <w:spacing w:after="0" w:line="281" w:lineRule="auto"/>
        <w:tabs>
          <w:tab w:leader="none" w:pos="9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if fosgonimeton is approved, educating medical personnel regarding the potential efficacy and safety benefits, as well as the challenges, of incorporating fosgonimeton into existing treatment regimens, including in combination with other treatments for AD or as a monotherapy; and</w:t>
      </w:r>
    </w:p>
    <w:p>
      <w:pPr>
        <w:spacing w:after="0" w:line="36" w:lineRule="exact"/>
        <w:rPr>
          <w:rFonts w:ascii="Arial" w:cs="Arial" w:eastAsia="Arial" w:hAnsi="Arial"/>
          <w:sz w:val="19"/>
          <w:szCs w:val="19"/>
          <w:color w:val="auto"/>
        </w:rPr>
      </w:pPr>
    </w:p>
    <w:p>
      <w:pPr>
        <w:ind w:left="980" w:hanging="491"/>
        <w:spacing w:after="0" w:line="258" w:lineRule="auto"/>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establishing the sales and marketing capabilities upon obtaining any marketing approvals to gain market acceptance.</w:t>
      </w:r>
    </w:p>
    <w:p>
      <w:pPr>
        <w:spacing w:after="0" w:line="220"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Our prospects are highly dependent on the successful development of fosgonimeton. If we do not demonstrate the safety and efficacy of fosgonimeton in our LIFT-AD trial, we may explore strategic alternatives to maximize stockholder value, which could involve, without limitation, exploring the potential for a possible merger, business combination, investment, a purchase, license or other acquisition of assets or return of capital to stockholders.</w:t>
      </w:r>
    </w:p>
    <w:p>
      <w:pPr>
        <w:spacing w:after="0" w:line="216"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i w:val="1"/>
          <w:iCs w:val="1"/>
          <w:color w:val="auto"/>
        </w:rPr>
        <w:t>Our approach to targeting neurotrophic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drug candidates.</w:t>
      </w:r>
    </w:p>
    <w:p>
      <w:pPr>
        <w:spacing w:after="0" w:line="207"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19"/>
          <w:szCs w:val="19"/>
          <w:color w:val="auto"/>
        </w:rPr>
        <w:t>We have discovered and are developing a platform of small molecule drug candidates from which we have selected our lead drug candidate, fosgonimeton, which is under development to treat AD, PDD, and DLB. Our drug candidates target an endogenous neurotrophic factor which is expected to protect and repair neuronal networks, which we believe could ultimately result in improvements in clinical outcomes and disease-relevant biomarkers. The therapeutic promise of neurotrophic factors in neurodegenerative diseases had been hampered in earlier therapies by the lack of efficient and non- invasive delivery to the CNS. Our small molecule drug candidates are designed to penetrate the BBB and enhance the activity of a neurotrophic factor, but we cannot be certain of the safety and efficacy of our drug candidates in applicable</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880" w:h="15474" w:orient="portrait"/>
          <w:cols w:equalWidth="0" w:num="1">
            <w:col w:w="9360"/>
          </w:cols>
          <w:pgMar w:left="1240" w:top="1255" w:right="1274" w:bottom="0" w:gutter="0" w:footer="0" w:header="0"/>
          <w:type w:val="continuous"/>
        </w:sectPr>
      </w:pPr>
    </w:p>
    <w:bookmarkStart w:id="53" w:name="page54"/>
    <w:bookmarkEnd w:id="53"/>
    <w:p>
      <w:pPr>
        <w:jc w:val="both"/>
        <w:spacing w:after="0" w:line="258" w:lineRule="auto"/>
        <w:rPr>
          <w:sz w:val="20"/>
          <w:szCs w:val="20"/>
          <w:color w:val="auto"/>
        </w:rPr>
      </w:pPr>
      <w:r>
        <w:rPr>
          <w:rFonts w:ascii="Arial" w:cs="Arial" w:eastAsia="Arial" w:hAnsi="Arial"/>
          <w:sz w:val="20"/>
          <w:szCs w:val="20"/>
          <w:color w:val="auto"/>
        </w:rPr>
        <w:t>patients or that our clinical trials will provide sufficient evidence that our design approach results in the intended therapeutic effect.</w:t>
      </w:r>
    </w:p>
    <w:p>
      <w:pPr>
        <w:spacing w:after="0" w:line="200" w:lineRule="exact"/>
        <w:rPr>
          <w:sz w:val="20"/>
          <w:szCs w:val="20"/>
          <w:color w:val="auto"/>
        </w:rPr>
      </w:pPr>
    </w:p>
    <w:p>
      <w:pPr>
        <w:jc w:val="both"/>
        <w:ind w:firstLine="490"/>
        <w:spacing w:after="0" w:line="232" w:lineRule="auto"/>
        <w:rPr>
          <w:sz w:val="20"/>
          <w:szCs w:val="20"/>
          <w:color w:val="auto"/>
        </w:rPr>
      </w:pPr>
      <w:r>
        <w:rPr>
          <w:rFonts w:ascii="Arial" w:cs="Arial" w:eastAsia="Arial" w:hAnsi="Arial"/>
          <w:sz w:val="20"/>
          <w:szCs w:val="20"/>
          <w:color w:val="auto"/>
        </w:rPr>
        <w:t>Based on the results of our nonclinical and clinical studies to date, we believe fosgonimeton has the potential to rapidly improve cognition, function and restore the lives of patients suffering from AD. However, these ideas and this approach are novel, and we currently have limited data based on our Phase 1a/b and Phase 2 clinical trials to date.</w:t>
      </w:r>
    </w:p>
    <w:p>
      <w:pPr>
        <w:spacing w:after="0" w:line="218" w:lineRule="exact"/>
        <w:rPr>
          <w:sz w:val="20"/>
          <w:szCs w:val="20"/>
          <w:color w:val="auto"/>
        </w:rPr>
      </w:pPr>
    </w:p>
    <w:p>
      <w:pPr>
        <w:jc w:val="both"/>
        <w:ind w:firstLine="490"/>
        <w:spacing w:after="0" w:line="232" w:lineRule="auto"/>
        <w:rPr>
          <w:sz w:val="20"/>
          <w:szCs w:val="20"/>
          <w:color w:val="auto"/>
        </w:rPr>
      </w:pPr>
      <w:r>
        <w:rPr>
          <w:rFonts w:ascii="Arial" w:cs="Arial" w:eastAsia="Arial" w:hAnsi="Arial"/>
          <w:sz w:val="19"/>
          <w:szCs w:val="19"/>
          <w:color w:val="auto"/>
        </w:rPr>
        <w:t>The primary and all secondary endpoints of our Phase 2 ACT-AD clinical trial in AD were not met by protocoled analysis. A subsequent post hoc analysis of the data in a pre -specified subgroup from patients on fosgonimeton without background therapy, or AChEIs, showed a meaningful, but not statistically significant, improvement in both ERP P300 latency and cognitive performance compared to placebo at 26 weeks. Although post hoc analyses cannot be used to establish efficacy, these analyses can be helpful in informing the design of current and future clinical studies. Following an unblinded interim efficacy and futility analysis, an independent DMC recommended continuation of the LIFT-AD study of fosgonimeton in patients with mild-to-moderate AD. The committee also determined that, with the additional enrollment of fewer than 150 patients for a total enrollment of less than 300 patients without background therapy (AChEIs), the study will be well powered for the primary endpoint given the preliminary effect size observed. There is no assurance that the amendments to our ongoing LIFT-AD trial based on our findings from the ACT-AD trial and our interim analyses will ultimately result in a successful trial. For example, our biomarker data may not translate into a statistically significant clinical benefit, the FDA may not agree with our statistical plan or analyses, or the trial may not be sufficiently powered for our endpoint measures.</w:t>
      </w:r>
    </w:p>
    <w:p>
      <w:pPr>
        <w:spacing w:after="0" w:line="221" w:lineRule="exact"/>
        <w:rPr>
          <w:sz w:val="20"/>
          <w:szCs w:val="20"/>
          <w:color w:val="auto"/>
        </w:rPr>
      </w:pPr>
    </w:p>
    <w:p>
      <w:pPr>
        <w:jc w:val="both"/>
        <w:ind w:firstLine="490"/>
        <w:spacing w:after="0" w:line="227" w:lineRule="auto"/>
        <w:rPr>
          <w:sz w:val="20"/>
          <w:szCs w:val="20"/>
          <w:color w:val="auto"/>
        </w:rPr>
      </w:pPr>
      <w:r>
        <w:rPr>
          <w:rFonts w:ascii="Arial" w:cs="Arial" w:eastAsia="Arial" w:hAnsi="Arial"/>
          <w:sz w:val="20"/>
          <w:szCs w:val="20"/>
          <w:color w:val="auto"/>
        </w:rPr>
        <w:t>In addition, the primary endpoint of our Phase 2 SHAPE clinical trial in PDD and DLB was not met by protocoled analysis. Directionally positive results were observed for the 40 mg fosgonimeton dose group with improvements in cognitive, functional and biomarker measurements. In particular, the five patients in the mITT population treated with fosgonimeton 40 mg once daily saw improvement in ADAS-Cog13 individually, and collectively improved compared with placebo (n=7 mITT, one-sided p=0.0321). Results for patients in the 70 mg dose group were inconsistent.</w:t>
      </w:r>
    </w:p>
    <w:p>
      <w:pPr>
        <w:spacing w:after="0" w:line="216" w:lineRule="exact"/>
        <w:rPr>
          <w:sz w:val="20"/>
          <w:szCs w:val="20"/>
          <w:color w:val="auto"/>
        </w:rPr>
      </w:pPr>
    </w:p>
    <w:p>
      <w:pPr>
        <w:jc w:val="both"/>
        <w:ind w:firstLine="490"/>
        <w:spacing w:after="0" w:line="225" w:lineRule="auto"/>
        <w:rPr>
          <w:sz w:val="20"/>
          <w:szCs w:val="20"/>
          <w:color w:val="auto"/>
        </w:rPr>
      </w:pPr>
      <w:r>
        <w:rPr>
          <w:rFonts w:ascii="Arial" w:cs="Arial" w:eastAsia="Arial" w:hAnsi="Arial"/>
          <w:sz w:val="20"/>
          <w:szCs w:val="20"/>
          <w:color w:val="auto"/>
        </w:rPr>
        <w:t>Data from our Phase 1a/1b and Phase 2 clinical trials to date were obtained from a relatively small number of subjects and we cannot be certain that future trials involving a larger number of subjects and clinical sites will yield data in support of the safety, efficacy and tolerability of our drug candidates. We may ultimately discover that fosgonimeton, or any of our other small molecules, do not possess certain properties required for therapeutic effectiveness. We have limited evidence regarding the efficacy, safety and tolerability of fosgonimeton and other small molecules in our drug product platform. We may spend substantial funds attempting to develop these drug candidates and never succeed in doing so.</w:t>
      </w:r>
    </w:p>
    <w:p>
      <w:pPr>
        <w:spacing w:after="0" w:line="224" w:lineRule="exact"/>
        <w:rPr>
          <w:sz w:val="20"/>
          <w:szCs w:val="20"/>
          <w:color w:val="auto"/>
        </w:rPr>
      </w:pPr>
    </w:p>
    <w:p>
      <w:pPr>
        <w:jc w:val="both"/>
        <w:ind w:firstLine="490"/>
        <w:spacing w:after="0"/>
        <w:rPr>
          <w:sz w:val="20"/>
          <w:szCs w:val="20"/>
          <w:color w:val="auto"/>
        </w:rPr>
      </w:pPr>
      <w:r>
        <w:rPr>
          <w:rFonts w:ascii="Arial" w:cs="Arial" w:eastAsia="Arial" w:hAnsi="Arial"/>
          <w:sz w:val="20"/>
          <w:szCs w:val="20"/>
          <w:b w:val="1"/>
          <w:bCs w:val="1"/>
          <w:i w:val="1"/>
          <w:iCs w:val="1"/>
          <w:color w:val="auto"/>
        </w:rPr>
        <w:t>We have concentrated our research and development efforts on the treatment of central and peripheral nervous system degenerative disorders, a field that has seen very limited success in product development.</w:t>
      </w:r>
    </w:p>
    <w:p>
      <w:pPr>
        <w:spacing w:after="0" w:line="226"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9"/>
          <w:szCs w:val="19"/>
          <w:color w:val="auto"/>
        </w:rPr>
        <w:t>We have focused our research and development efforts on addressing CNS and PNS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drug candidates for treating CNS and peripheral disorders. Developing and, if approved, commercializing our drug candidates for treatment of CNS and peripheral disorders subjects us to a number of challenges, including ensuring that we have selected the optimal</w:t>
      </w:r>
    </w:p>
    <w:p>
      <w:pPr>
        <w:sectPr>
          <w:pgSz w:w="11880" w:h="15474" w:orient="portrait"/>
          <w:cols w:equalWidth="0" w:num="1">
            <w:col w:w="9360"/>
          </w:cols>
          <w:pgMar w:left="1240" w:top="123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880" w:h="15474" w:orient="portrait"/>
          <w:cols w:equalWidth="0" w:num="1">
            <w:col w:w="9360"/>
          </w:cols>
          <w:pgMar w:left="1240" w:top="1235" w:right="1274" w:bottom="0" w:gutter="0" w:footer="0" w:header="0"/>
          <w:type w:val="continuous"/>
        </w:sectPr>
      </w:pPr>
    </w:p>
    <w:bookmarkStart w:id="54" w:name="page55"/>
    <w:bookmarkEnd w:id="54"/>
    <w:p>
      <w:pPr>
        <w:jc w:val="both"/>
        <w:spacing w:after="0" w:line="282" w:lineRule="auto"/>
        <w:rPr>
          <w:sz w:val="20"/>
          <w:szCs w:val="20"/>
          <w:color w:val="auto"/>
        </w:rPr>
      </w:pPr>
      <w:r>
        <w:rPr>
          <w:rFonts w:ascii="Arial" w:cs="Arial" w:eastAsia="Arial" w:hAnsi="Arial"/>
          <w:sz w:val="20"/>
          <w:szCs w:val="20"/>
          <w:color w:val="auto"/>
        </w:rPr>
        <w:t>doses, executing an appropriate clinical trial to test for efficacy and obtaining regulatory approval from the FDA and other regulatory authorities.</w:t>
      </w:r>
    </w:p>
    <w:p>
      <w:pPr>
        <w:spacing w:after="0" w:line="203"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b w:val="1"/>
          <w:bCs w:val="1"/>
          <w:i w:val="1"/>
          <w:iCs w:val="1"/>
          <w:color w:val="auto"/>
        </w:rPr>
        <w:t>An independent special committee of our board of directors engaged in a review of papers co-authored by our former chief executive officer in connection with her doctoral research at WSU. The special committee’s findings included that (1) our former chief executive officer altered images in her 2011 doctoral dissertation and at least four research papers that she co-authored while a graduate student at WSU, and published from 2011 to 2014, (2) that we cited challenged research papers in certain communications and applications, and (3) that WSU’s dihexa patent, exclusively licensed to us, incorporated certain of these altered images. WSU has undertaken a review of claims of potential research misconduct involving our former chief executive officer’s doctoral research at WSU. We cannot predict when WSU’s investigation will be completed or what conclusions WSU will reach.</w:t>
      </w:r>
    </w:p>
    <w:p>
      <w:pPr>
        <w:spacing w:after="0" w:line="228"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An independent special committee of our board of directors engaged in a review of papers co-authored by our former chief executive officer, Dr. Leen Kawas, in connection with her doctoral research at WSU, including, among other things, an investigation of allegations that Dr. Kawas altered images used in research published by Dr. Kawas in connection with her doctoral studies.</w:t>
      </w:r>
    </w:p>
    <w:p>
      <w:pPr>
        <w:spacing w:after="0" w:line="227"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19"/>
          <w:szCs w:val="19"/>
          <w:color w:val="auto"/>
        </w:rPr>
        <w:t>The independent special committee’s primary finding was that our former chief executive officer altered images in her 2011 doctoral dissertation and at least four research papers that she co-authored while a graduate student at WSU, and published from 2011 to 2014. While the conduct that was the subject of the allegations is not related to any of our current drug candidates or ongoing clinical research, this finding could have a material adverse effect on our reputation, our in-licensed patents and pending patent applications, licenses and grants, and could lead to further investigation from government agencies, including the FDA, any of which could have a material adverse impact on our business and prospects.</w:t>
      </w:r>
    </w:p>
    <w:p>
      <w:pPr>
        <w:spacing w:after="0" w:line="220" w:lineRule="exact"/>
        <w:rPr>
          <w:sz w:val="20"/>
          <w:szCs w:val="20"/>
          <w:color w:val="auto"/>
        </w:rPr>
      </w:pPr>
    </w:p>
    <w:p>
      <w:pPr>
        <w:jc w:val="both"/>
        <w:ind w:firstLine="490"/>
        <w:spacing w:after="0" w:line="242" w:lineRule="auto"/>
        <w:rPr>
          <w:sz w:val="20"/>
          <w:szCs w:val="20"/>
          <w:color w:val="auto"/>
        </w:rPr>
      </w:pPr>
      <w:r>
        <w:rPr>
          <w:rFonts w:ascii="Arial" w:cs="Arial" w:eastAsia="Arial" w:hAnsi="Arial"/>
          <w:sz w:val="20"/>
          <w:szCs w:val="20"/>
          <w:color w:val="auto"/>
        </w:rPr>
        <w:t>As disclosed elsewhere in this report, including in this “Risk Factors” section under the heading “</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We and certain of our directors and executive officers have been, and may in the future be, named as defendants in lawsuits that could result in substantial costs and divert management’s attention</w:t>
      </w:r>
      <w:r>
        <w:rPr>
          <w:rFonts w:ascii="Arial" w:cs="Arial" w:eastAsia="Arial" w:hAnsi="Arial"/>
          <w:sz w:val="20"/>
          <w:szCs w:val="20"/>
          <w:color w:val="auto"/>
        </w:rPr>
        <w:t>,” and in “Part</w:t>
      </w:r>
      <w:r>
        <w:rPr>
          <w:rFonts w:ascii="Arial" w:cs="Arial" w:eastAsia="Arial" w:hAnsi="Arial"/>
          <w:sz w:val="20"/>
          <w:szCs w:val="20"/>
          <w:i w:val="1"/>
          <w:iCs w:val="1"/>
          <w:color w:val="auto"/>
        </w:rPr>
        <w:t xml:space="preserve"> </w:t>
      </w:r>
      <w:r>
        <w:rPr>
          <w:rFonts w:ascii="Arial" w:cs="Arial" w:eastAsia="Arial" w:hAnsi="Arial"/>
          <w:sz w:val="20"/>
          <w:szCs w:val="20"/>
          <w:color w:val="auto"/>
        </w:rPr>
        <w:t>I, Item 3—Legal Proceedings,” lawsuits have been filed against us and certain of our directors and officers, alleging violations of federal securities laws related to alleged false and misleading statements in connection with the alleged misconduct of Dr. Kawas and others associated with us. As a result of these allegations and the ongoing litigation against us and certain of our directors and officers and related matters, we have been the subject of negative publicity. This negative publicity may harm our credibility, reputation and relationships with current and future investors, government regulators, patent offices, courts, current and prospective employees, key opinion leaders, prospective collaborators, advocacy groups, current and future patients enrolled in our clinical trials, physicians and prospective patients and vendors. For example, this negative publicity may adversely affect our ability to recruit and hire talented employees, maintain existing business relationships with CROs, clinical trial sites and other parties, enter into new business relationships, enroll patients in our clinical trials, and maintain a viable business in the future. Also, it is possible that the negative publicity and its effect on our work environment could cause our employees to terminate their employment or, if they remain employed by us, result in reduced morale that could have a material adverse effect on our business. In addition, negative publicity has and may continue to adversely affect our stock price and, therefore, employees and prospective employees may be less inclined to seek or continue employment with us. As a result, our business, financial condition, results of operations and cash flows could be materially adversely affected.</w:t>
      </w:r>
    </w:p>
    <w:p>
      <w:pPr>
        <w:spacing w:after="0" w:line="245"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WSU has undertaken a review of claims of potential research misconduct involving our former chief executive officer’s doctoral research at WSU.</w:t>
      </w:r>
    </w:p>
    <w:p>
      <w:pPr>
        <w:spacing w:after="0" w:line="183" w:lineRule="exact"/>
        <w:rPr>
          <w:sz w:val="20"/>
          <w:szCs w:val="20"/>
          <w:color w:val="auto"/>
        </w:rPr>
      </w:pPr>
    </w:p>
    <w:p>
      <w:pPr>
        <w:jc w:val="both"/>
        <w:ind w:firstLine="490"/>
        <w:spacing w:after="0" w:line="272" w:lineRule="auto"/>
        <w:rPr>
          <w:sz w:val="20"/>
          <w:szCs w:val="20"/>
          <w:color w:val="auto"/>
        </w:rPr>
      </w:pPr>
      <w:r>
        <w:rPr>
          <w:rFonts w:ascii="Arial" w:cs="Arial" w:eastAsia="Arial" w:hAnsi="Arial"/>
          <w:sz w:val="19"/>
          <w:szCs w:val="19"/>
          <w:color w:val="auto"/>
        </w:rPr>
        <w:t>In addition to the investigation of the independent special committee of our board of directors noted above, WSU has also announced that it has undertaken a review of claims of potential research misconduct involving research conducted by Dr. Kawas during her doctoral studies at WSU. We understand this review is ongoing, and at this time we cannot predict what, if any, effect the investigation will ultimately have on</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880" w:h="15474" w:orient="portrait"/>
          <w:cols w:equalWidth="0" w:num="1">
            <w:col w:w="9360"/>
          </w:cols>
          <w:pgMar w:left="1240" w:top="1255" w:right="1274" w:bottom="0" w:gutter="0" w:footer="0" w:header="0"/>
          <w:type w:val="continuous"/>
        </w:sectPr>
      </w:pPr>
    </w:p>
    <w:bookmarkStart w:id="55" w:name="page56"/>
    <w:bookmarkEnd w:id="55"/>
    <w:p>
      <w:pPr>
        <w:jc w:val="both"/>
        <w:spacing w:after="0" w:line="256" w:lineRule="auto"/>
        <w:rPr>
          <w:sz w:val="20"/>
          <w:szCs w:val="20"/>
          <w:color w:val="auto"/>
        </w:rPr>
      </w:pPr>
      <w:r>
        <w:rPr>
          <w:rFonts w:ascii="Arial" w:cs="Arial" w:eastAsia="Arial" w:hAnsi="Arial"/>
          <w:sz w:val="19"/>
          <w:szCs w:val="19"/>
          <w:color w:val="auto"/>
        </w:rPr>
        <w:t>our business and reputation. We are also unable to predict with any certainty when WSU’s investigation will be completed. It is possible that the ongoing investigation by WSU will come to different conclusions, or uncover additional or different information, than the investigation of the independent special committee of our board of directors, the conclusions of which are discussed under “—</w:t>
      </w:r>
      <w:r>
        <w:rPr>
          <w:rFonts w:ascii="Arial" w:cs="Arial" w:eastAsia="Arial" w:hAnsi="Arial"/>
          <w:sz w:val="19"/>
          <w:szCs w:val="19"/>
          <w:i w:val="1"/>
          <w:iCs w:val="1"/>
          <w:color w:val="auto"/>
        </w:rPr>
        <w:t>An independent special</w:t>
      </w:r>
      <w:r>
        <w:rPr>
          <w:rFonts w:ascii="Arial" w:cs="Arial" w:eastAsia="Arial" w:hAnsi="Arial"/>
          <w:sz w:val="19"/>
          <w:szCs w:val="19"/>
          <w:color w:val="auto"/>
        </w:rPr>
        <w:t xml:space="preserve"> </w:t>
      </w:r>
      <w:r>
        <w:rPr>
          <w:rFonts w:ascii="Arial" w:cs="Arial" w:eastAsia="Arial" w:hAnsi="Arial"/>
          <w:sz w:val="19"/>
          <w:szCs w:val="19"/>
          <w:i w:val="1"/>
          <w:iCs w:val="1"/>
          <w:color w:val="auto"/>
        </w:rPr>
        <w:t>committee of our board of directors engaged in a review of papers co-authored by our former chief executive officer in connection with her doctoral research at WSU. The special committee’s findings included that (1) our former chief executive officer altered images in her 2011 doctoral dissertation and at least four research papers that she co-authored while a graduate student at WSU, and published from 2011 to 2014, (2) that we cited challenged research papers in certain communications and applications, and (3) that WSU’s dihexa patent, exclusively licensed to us, incorporated certain of these altered images. WSU has undertaken a review of claims of potential research misconduct involving our former chief executive officer’s doctoral research at WSU. We cannot predict when WSU’s investigation will be completed or what conclusions WSU will reach</w:t>
      </w:r>
      <w:r>
        <w:rPr>
          <w:rFonts w:ascii="Arial" w:cs="Arial" w:eastAsia="Arial" w:hAnsi="Arial"/>
          <w:sz w:val="19"/>
          <w:szCs w:val="19"/>
          <w:color w:val="auto"/>
        </w:rPr>
        <w:t>”. The conclusions from WSU’s investigation could have a material adverse</w:t>
      </w:r>
      <w:r>
        <w:rPr>
          <w:rFonts w:ascii="Arial" w:cs="Arial" w:eastAsia="Arial" w:hAnsi="Arial"/>
          <w:sz w:val="19"/>
          <w:szCs w:val="19"/>
          <w:i w:val="1"/>
          <w:iCs w:val="1"/>
          <w:color w:val="auto"/>
        </w:rPr>
        <w:t xml:space="preserve"> </w:t>
      </w:r>
      <w:r>
        <w:rPr>
          <w:rFonts w:ascii="Arial" w:cs="Arial" w:eastAsia="Arial" w:hAnsi="Arial"/>
          <w:sz w:val="19"/>
          <w:szCs w:val="19"/>
          <w:color w:val="auto"/>
        </w:rPr>
        <w:t>impact on our business, reputation, scientific credibility, and prospects, as well as our in-licensed patents and pending patent applications, current grants and pending grant applications, and our relationship with WSU, from whom we in-license patents and patent applications underlying certain of our drug candidates.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880" w:h="15474" w:orient="portrait"/>
          <w:cols w:equalWidth="0" w:num="1">
            <w:col w:w="9360"/>
          </w:cols>
          <w:pgMar w:left="1240" w:top="1255" w:right="1274" w:bottom="0" w:gutter="0" w:footer="0" w:header="0"/>
          <w:type w:val="continuous"/>
        </w:sectPr>
      </w:pPr>
    </w:p>
    <w:bookmarkStart w:id="56" w:name="page57"/>
    <w:bookmarkEnd w:id="56"/>
    <w:p>
      <w:pPr>
        <w:jc w:val="both"/>
        <w:ind w:firstLine="490"/>
        <w:spacing w:after="0" w:line="256" w:lineRule="auto"/>
        <w:rPr>
          <w:sz w:val="20"/>
          <w:szCs w:val="20"/>
          <w:color w:val="auto"/>
        </w:rPr>
      </w:pPr>
      <w:r>
        <w:rPr>
          <w:rFonts w:ascii="Arial" w:cs="Arial" w:eastAsia="Arial" w:hAnsi="Arial"/>
          <w:sz w:val="20"/>
          <w:szCs w:val="20"/>
          <w:b w:val="1"/>
          <w:bCs w:val="1"/>
          <w:i w:val="1"/>
          <w:iCs w:val="1"/>
          <w:color w:val="auto"/>
        </w:rPr>
        <w:t>We are and may in the future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spacing w:after="0" w:line="215"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We are and may in the future be subject to claims, lawsuits, arbitration proceedings, government investigations and other legal, regulatory and administrative proceedings. In November 2022, we received a Civil Investigative Demand from the Civil Division of the Department of Justice, or the Demand. The Demand seeks documents and information relating to our relationship with WSU, certain of our grant applications in 2016 and 2019 with the NIH, and our receipt of a NIH grant in 2020. We are cooperating with the Department of Justice with respect to the Demand. In February 2023, the Securities and Exchange Commission, or SEC, sent us a subpoena seeking documents and information relating to, among other things, our former chief executive officer’s alteration of images in certain research papers. We are cooperating with the SEC with respect to the subpoena.</w:t>
      </w:r>
    </w:p>
    <w:p>
      <w:pPr>
        <w:spacing w:after="0" w:line="237"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The outcome of these or any other investigations, claims,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spacing w:after="0" w:line="237"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Further, under certain circumstances we may have contractual or other legal obligations to indemnify and to incur legal expenses on behalf of investors, directors, officers employees, customers, vendors or other third-parties. For example, our amended and restated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spacing w:after="0" w:line="247"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9"/>
          <w:szCs w:val="19"/>
          <w:b w:val="1"/>
          <w:bCs w:val="1"/>
          <w:i w:val="1"/>
          <w:iCs w:val="1"/>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spacing w:after="0" w:line="205"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Our lead drug candidate, fosgonimeton, is in clinical development for the potential treatment of AD, PDD and DLB. Our additional early drug candidates, including ATH-1105 for ALS, are in preclinical development. It is impossible to predict when or if any of our drug candidates will prove to be effective and safe in humans or will receive regulatory approval.</w:t>
      </w:r>
    </w:p>
    <w:p>
      <w:pPr>
        <w:spacing w:after="0" w:line="227"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auto"/>
        </w:rPr>
        <w:t>Before obtaining regulatory approvals for the commercial sale of our drug candidates, we must demonstrate through lengthy, complex and expensive nonclinical studies and clinical trials that our drug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drug candidates are in an</w:t>
      </w:r>
    </w:p>
    <w:p>
      <w:pPr>
        <w:sectPr>
          <w:pgSz w:w="11880" w:h="15474" w:orient="portrait"/>
          <w:cols w:equalWidth="0" w:num="1">
            <w:col w:w="9360"/>
          </w:cols>
          <w:pgMar w:left="1240" w:top="1259" w:right="1274" w:bottom="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880" w:h="15474" w:orient="portrait"/>
          <w:cols w:equalWidth="0" w:num="1">
            <w:col w:w="9360"/>
          </w:cols>
          <w:pgMar w:left="1240" w:top="1259" w:right="1274" w:bottom="0" w:gutter="0" w:footer="0" w:header="0"/>
          <w:type w:val="continuous"/>
        </w:sectPr>
      </w:pPr>
    </w:p>
    <w:bookmarkStart w:id="57" w:name="page58"/>
    <w:bookmarkEnd w:id="57"/>
    <w:p>
      <w:pPr>
        <w:jc w:val="both"/>
        <w:ind w:firstLine="1"/>
        <w:spacing w:after="0" w:line="241" w:lineRule="auto"/>
        <w:rPr>
          <w:sz w:val="20"/>
          <w:szCs w:val="20"/>
          <w:color w:val="auto"/>
        </w:rPr>
      </w:pPr>
      <w:r>
        <w:rPr>
          <w:rFonts w:ascii="Arial" w:cs="Arial" w:eastAsia="Arial" w:hAnsi="Arial"/>
          <w:sz w:val="20"/>
          <w:szCs w:val="20"/>
          <w:color w:val="auto"/>
        </w:rPr>
        <w:t>early stage of development, there is a high risk of failure and we may never succeed in developing marketable products. The results of nonclinical studies and early clinical trials of our drug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our Phase 1a/b clinical trial, which enrolled 88 patients, including only 11 patients with mild-to-moderate AD, of whom seven patients were treated with fosgonimeton and the other four patients were randomized to the control, suggested improvements in brain network activity including potentially positive effects on brain function. However, our Phase 2 ACT-AD clinical trial in AD, which included a larger patient population, approximately 60% of which were receiving standard-of-care AChEIs, did not meet its primary endpoint of a change in ERP P300 latency for the full study population nor did it meet the secondary endpoints. Although a post hoc analysis of results from ACT-AD in a pre-specified subgroup suggested positive effects on measures of cognition, function and neurodegeneration in patients taking fosgonimeton alone without background AChEIs, we cannot be sure that data from future trials will support our earlier findings or demonstrate the safety and effectiveness of fosgonimeton for treatment of AD to the satisfaction of the FDA and other regulatory authorities in order to support regulatory approval. Likewise, early,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(including potential confirmatory or Phase 3 registrational trials), which could materially delay our anticipated development timelines, require additional funding for such additional clinical trials, and adversely impact our business. Our ability to achieve regulatory approval for fosgonimeton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251"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For example, we believe the topline results of our Phase 2 ACT- AD clinical trial may have differed from the treatment data from our Phase 1a/b clinical trial at least in part due to differences in the patient population and treatment duration, and potential effects from background AChEI treatment. If future trials show that the effect of fosgonimeton when given in combination with add-on standard-of-care AChEIs is diminished, we may be required to seek a narrower indication or restrict our target population to those where fosgonimeton shows a greater effect, which could have a material adverse effect on our business and prospects.</w:t>
      </w:r>
    </w:p>
    <w:p>
      <w:pPr>
        <w:spacing w:after="0" w:line="238"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On July 6, 2021, we announced the initiation of an open-label extension for the LIFT-AD and ACT-AD trials and in May 2022 we announced the extension of the open label extension for an additional 12 months. In May 2023, we amended the open-label extension trial to further extend the trial by an additional 12 months. Upon completion of the 26-week treatment period during the LIFT-AD or ACT-AD trials, patients may continue on the open-label extension and receive treatment with fosgonimeton for up to an additional 30 months. Investigators and patients remain blinded to treatment group assignment in the original trials. Such open-label extension studies are, and some of the clinical trials we conduct in the future may be, open-label in study design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880" w:h="15474" w:orient="portrait"/>
          <w:cols w:equalWidth="0" w:num="1">
            <w:col w:w="9360"/>
          </w:cols>
          <w:pgMar w:left="1240" w:top="1255" w:right="1274" w:bottom="0" w:gutter="0" w:footer="0" w:header="0"/>
          <w:type w:val="continuous"/>
        </w:sectPr>
      </w:pPr>
    </w:p>
    <w:bookmarkStart w:id="58" w:name="page59"/>
    <w:bookmarkEnd w:id="58"/>
    <w:p>
      <w:pPr>
        <w:jc w:val="both"/>
        <w:spacing w:after="0" w:line="246" w:lineRule="auto"/>
        <w:rPr>
          <w:sz w:val="20"/>
          <w:szCs w:val="20"/>
          <w:color w:val="auto"/>
        </w:rPr>
      </w:pPr>
      <w:r>
        <w:rPr>
          <w:rFonts w:ascii="Arial" w:cs="Arial" w:eastAsia="Arial" w:hAnsi="Arial"/>
          <w:sz w:val="20"/>
          <w:szCs w:val="20"/>
          <w:color w:val="auto"/>
        </w:rPr>
        <w:t>typically, open-label clinical trials test only the investigational product candidate and sometimes may do so at different dose levels. Open- 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234"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We could also encounter delays if a clinical trial is suspended or terminated by us, by the IRBs of the institutions in which such clinical trials are being conducted, by a data safety monitoring board for such clinical trial or by the FDA or comparable foreign regulatory authorities. Clinical trials can be delayed or terminated or fail to meet endpoints for a variety of reasons, including delays or failures related to:</w:t>
      </w:r>
    </w:p>
    <w:p>
      <w:pPr>
        <w:spacing w:after="0" w:line="80" w:lineRule="exact"/>
        <w:rPr>
          <w:sz w:val="20"/>
          <w:szCs w:val="20"/>
          <w:color w:val="auto"/>
        </w:rPr>
      </w:pPr>
    </w:p>
    <w:p>
      <w:pPr>
        <w:ind w:left="980" w:hanging="491"/>
        <w:spacing w:after="0" w:line="283"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FDA or comparable foreign regulatory authorities disagreeing as to the design or implementation of our clinical trials;</w:t>
      </w:r>
    </w:p>
    <w:p>
      <w:pPr>
        <w:spacing w:after="0" w:line="51"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FDA or comparable foreign regulatory authorities disagreeing with our ATH clinical development strategy or statistical plan;</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changes in governmental regulations or administrative actions;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delays in our ability to commence a clinical trial;</w:t>
      </w:r>
    </w:p>
    <w:p>
      <w:pPr>
        <w:spacing w:after="0" w:line="13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72"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obtaining IRB approval at each clinical trial site;</w:t>
      </w:r>
    </w:p>
    <w:p>
      <w:pPr>
        <w:spacing w:after="0" w:line="133"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recruiting an adequate number of suitable patients to participate in a clinical trial on a timely basis;</w:t>
      </w:r>
    </w:p>
    <w:p>
      <w:pPr>
        <w:spacing w:after="0" w:line="50"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number of patients required for clinical trials of our drug candidates may be larger than we anticipate;</w:t>
      </w:r>
    </w:p>
    <w:p>
      <w:pPr>
        <w:spacing w:after="0" w:line="51"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having subjects complete a clinical trial or return for post-treatment follow-up;</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clinical trial sites deviating from clinical trial protocol or dropping out of a clinical trial;</w:t>
      </w:r>
    </w:p>
    <w:p>
      <w:pPr>
        <w:spacing w:after="0" w:line="13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protocol deviations or non-compliance with GCP requirements, or other data integrity reasons, that cause us or the FDA or other regulatory authorities to exclude data from non-compliant sites or investigators, which may cause the trial to be underpowered to meet the endpoints;</w:t>
      </w:r>
    </w:p>
    <w:p>
      <w:pPr>
        <w:spacing w:after="0" w:line="7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delays by us or our CROs in qualifying or analyzing patient data at the completion of clinical trials;</w:t>
      </w:r>
    </w:p>
    <w:p>
      <w:pPr>
        <w:spacing w:after="0" w:line="50"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failure to demonstrate a benefit from using a drug candidate;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addressing subject safety concerns that arise during the course of a clinical trial;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adding a sufficient number of clinical trial sites; or</w:t>
      </w:r>
    </w:p>
    <w:p>
      <w:pPr>
        <w:spacing w:after="0" w:line="133"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obtaining sufficient supply of drug candidate for use in nonclinical studies or clinical trials from third-party suppliers.</w:t>
      </w:r>
    </w:p>
    <w:p>
      <w:pPr>
        <w:spacing w:after="0" w:line="198"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Further, conducting clinical trials in foreign countries, as we intend to do for our drug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880" w:h="15474" w:orient="portrait"/>
          <w:cols w:equalWidth="0" w:num="1">
            <w:col w:w="9360"/>
          </w:cols>
          <w:pgMar w:left="1240" w:top="1255" w:right="1274" w:bottom="0" w:gutter="0" w:footer="0" w:header="0"/>
          <w:type w:val="continuous"/>
        </w:sectPr>
      </w:pPr>
    </w:p>
    <w:bookmarkStart w:id="59" w:name="page60"/>
    <w:bookmarkEnd w:id="59"/>
    <w:p>
      <w:pPr>
        <w:jc w:val="both"/>
        <w:ind w:firstLine="490"/>
        <w:spacing w:after="0" w:line="243" w:lineRule="auto"/>
        <w:rPr>
          <w:sz w:val="20"/>
          <w:szCs w:val="20"/>
          <w:color w:val="auto"/>
        </w:rPr>
      </w:pPr>
      <w:r>
        <w:rPr>
          <w:rFonts w:ascii="Arial" w:cs="Arial" w:eastAsia="Arial" w:hAnsi="Arial"/>
          <w:sz w:val="20"/>
          <w:szCs w:val="20"/>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drug candidates. If we experience delays in the completion of, or termination of, any clinical trial of our drug candidates, the commercial prospects of our drug candidates will be harmed, and our ability to generate product revenues from any of these drug candidates will be delayed. Moreover, any delays in completing our clinical trials will increase our costs, slow down our drug candidate development and approval process and jeopardize our ability to commence product sales and generate revenues.</w:t>
      </w:r>
    </w:p>
    <w:p>
      <w:pPr>
        <w:spacing w:after="0" w:line="238"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If the results of our current and future clinical trials are inconclusive with respect to the efficacy of our drug candidates, if we do not meet the clinical endpoints with statistical and clinically meaningful significance, or if there are safety concerns associated with our drug candidates, we may:</w:t>
      </w:r>
    </w:p>
    <w:p>
      <w:pPr>
        <w:spacing w:after="0" w:line="73" w:lineRule="exact"/>
        <w:rPr>
          <w:sz w:val="20"/>
          <w:szCs w:val="20"/>
          <w:color w:val="auto"/>
        </w:rPr>
      </w:pPr>
    </w:p>
    <w:p>
      <w:pPr>
        <w:ind w:left="980" w:hanging="491"/>
        <w:spacing w:after="0"/>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incur unplanned costs;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be delayed in or prevented from obtaining marketing approval for our drug candidates;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obtain approval for indications or patient populations that are not as broad as intended or desired;</w:t>
      </w:r>
    </w:p>
    <w:p>
      <w:pPr>
        <w:spacing w:after="0" w:line="5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obtain approval with labeling that includes significant use or distribution restrictions or safety warnings including boxed warnings;</w:t>
      </w:r>
    </w:p>
    <w:p>
      <w:pPr>
        <w:spacing w:after="0" w:line="51" w:lineRule="exact"/>
        <w:rPr>
          <w:rFonts w:ascii="Arial" w:cs="Arial" w:eastAsia="Arial" w:hAnsi="Arial"/>
          <w:sz w:val="20"/>
          <w:szCs w:val="20"/>
          <w:color w:val="auto"/>
        </w:rPr>
      </w:pPr>
    </w:p>
    <w:p>
      <w:pPr>
        <w:ind w:left="980" w:hanging="491"/>
        <w:spacing w:after="0"/>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be subject to changes in the way the drug candidate is administered;</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be required to perform additional clinical trials to support approval or be subject to additional post-marketing testing requirements;</w:t>
      </w:r>
    </w:p>
    <w:p>
      <w:pPr>
        <w:spacing w:after="0" w:line="5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have regulatory authorities withdraw their approval of the drug product or impose restrictions on its distribution in the form of a modified REMS;</w:t>
      </w:r>
    </w:p>
    <w:p>
      <w:pPr>
        <w:spacing w:after="0" w:line="51" w:lineRule="exact"/>
        <w:rPr>
          <w:rFonts w:ascii="Arial" w:cs="Arial" w:eastAsia="Arial" w:hAnsi="Arial"/>
          <w:sz w:val="20"/>
          <w:szCs w:val="20"/>
          <w:color w:val="auto"/>
        </w:rPr>
      </w:pPr>
    </w:p>
    <w:p>
      <w:pPr>
        <w:ind w:left="980" w:hanging="491"/>
        <w:spacing w:after="0"/>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be subject to the addition of labeling statements, such as warnings or contraindications;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be sued; or</w:t>
      </w:r>
    </w:p>
    <w:p>
      <w:pPr>
        <w:spacing w:after="0" w:line="132" w:lineRule="exact"/>
        <w:rPr>
          <w:rFonts w:ascii="Arial" w:cs="Arial" w:eastAsia="Arial" w:hAnsi="Arial"/>
          <w:sz w:val="20"/>
          <w:szCs w:val="20"/>
          <w:color w:val="auto"/>
        </w:rPr>
      </w:pPr>
    </w:p>
    <w:p>
      <w:pPr>
        <w:ind w:left="980" w:hanging="491"/>
        <w:spacing w:after="0"/>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experience damage to our reputation.</w:t>
      </w:r>
    </w:p>
    <w:p>
      <w:pPr>
        <w:spacing w:after="0" w:line="273"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07" w:lineRule="exact"/>
        <w:rPr>
          <w:sz w:val="20"/>
          <w:szCs w:val="20"/>
          <w:color w:val="auto"/>
        </w:rPr>
      </w:pPr>
    </w:p>
    <w:p>
      <w:pPr>
        <w:jc w:val="both"/>
        <w:ind w:firstLine="490"/>
        <w:spacing w:after="0" w:line="231" w:lineRule="auto"/>
        <w:rPr>
          <w:sz w:val="20"/>
          <w:szCs w:val="20"/>
          <w:color w:val="auto"/>
        </w:rPr>
      </w:pPr>
      <w:r>
        <w:rPr>
          <w:rFonts w:ascii="Arial" w:cs="Arial" w:eastAsia="Arial" w:hAnsi="Arial"/>
          <w:sz w:val="20"/>
          <w:szCs w:val="20"/>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880" w:h="15474" w:orient="portrait"/>
          <w:cols w:equalWidth="0" w:num="1">
            <w:col w:w="9360"/>
          </w:cols>
          <w:pgMar w:left="1240" w:top="1255" w:right="1274" w:bottom="0" w:gutter="0" w:footer="0" w:header="0"/>
          <w:type w:val="continuous"/>
        </w:sectPr>
      </w:pPr>
    </w:p>
    <w:bookmarkStart w:id="60" w:name="page61"/>
    <w:bookmarkEnd w:id="60"/>
    <w:p>
      <w:pPr>
        <w:jc w:val="both"/>
        <w:ind w:firstLine="496"/>
        <w:spacing w:after="0" w:line="246" w:lineRule="auto"/>
        <w:rPr>
          <w:sz w:val="20"/>
          <w:szCs w:val="20"/>
          <w:color w:val="auto"/>
        </w:rPr>
      </w:pPr>
      <w:r>
        <w:rPr>
          <w:rFonts w:ascii="Arial" w:cs="Arial" w:eastAsia="Arial" w:hAnsi="Arial"/>
          <w:sz w:val="19"/>
          <w:szCs w:val="19"/>
          <w:color w:val="auto"/>
        </w:rPr>
        <w:t>From time to time, we may also disclose interim data from our nonclinical studies and clinical trials. For example, in October 2022 we announced that an independent DMC had conducted an unblinded interim efficacy and futility analysis with respect to our Phase 2/3 LIFT-AD clinical trial.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227" w:lineRule="exact"/>
        <w:rPr>
          <w:sz w:val="20"/>
          <w:szCs w:val="20"/>
          <w:color w:val="auto"/>
        </w:rPr>
      </w:pPr>
    </w:p>
    <w:p>
      <w:pPr>
        <w:jc w:val="both"/>
        <w:ind w:firstLine="496"/>
        <w:spacing w:after="0" w:line="229" w:lineRule="auto"/>
        <w:rPr>
          <w:sz w:val="20"/>
          <w:szCs w:val="20"/>
          <w:color w:val="auto"/>
        </w:rPr>
      </w:pPr>
      <w:r>
        <w:rPr>
          <w:rFonts w:ascii="Arial" w:cs="Arial" w:eastAsia="Arial" w:hAnsi="Arial"/>
          <w:sz w:val="20"/>
          <w:szCs w:val="20"/>
          <w:color w:val="auto"/>
        </w:rPr>
        <w:t>Additionally, we rely on data received from clinical trials, whether preliminary or final, to inform decisions on future clinical trials, including trial design, trial size, and whether or not to initiate additional clinical trials (including any potential confirmatory or Phase 3 registrational trials). For example, in November 2020, we initiated ACT-AD, an exploratory Phase 2 clinical trial, to better understand the overall effects of fosgonimeton on working memory processing speed and cognitive measures. Topline results of ACT-AD were announced in June 2022. We used these data to help inform strategic decisions around LIFT-AD and expect to use these data to help inform strategic decisions in the future around current clinical trials and any additional trials that we may initiate. Topline results are based on a preliminary analysis of then-available data, and a more comprehensive and full review of the data may result in different conclusions, which could have a negative impact on our decisions regarding any additional trials for fosgonimeton. There is no assurance that the amendments to our ongoing LIFT-AD trial based on our findings from the ACT-AD trial and our interim analysis of the LIFT-AD trial will ultimately result in a successful trial. For example, our biomarker data may not translate into a statistically significant clinical benefit, the FDA may not agree with our statistical plan or analyses, or the trial may not be sufficiently powered for our endpoint measures.</w:t>
      </w:r>
    </w:p>
    <w:p>
      <w:pPr>
        <w:spacing w:after="0" w:line="241" w:lineRule="exact"/>
        <w:rPr>
          <w:sz w:val="20"/>
          <w:szCs w:val="20"/>
          <w:color w:val="auto"/>
        </w:rPr>
      </w:pPr>
    </w:p>
    <w:p>
      <w:pPr>
        <w:jc w:val="both"/>
        <w:ind w:firstLine="496"/>
        <w:spacing w:after="0" w:line="231" w:lineRule="auto"/>
        <w:rPr>
          <w:sz w:val="20"/>
          <w:szCs w:val="20"/>
          <w:color w:val="auto"/>
        </w:rPr>
      </w:pPr>
      <w:r>
        <w:rPr>
          <w:rFonts w:ascii="Arial" w:cs="Arial" w:eastAsia="Arial" w:hAnsi="Arial"/>
          <w:sz w:val="20"/>
          <w:szCs w:val="20"/>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drug candidates may be harmed, which could harm our business, operating results, prospects or financial condition.</w:t>
      </w:r>
    </w:p>
    <w:p>
      <w:pPr>
        <w:spacing w:after="0" w:line="236"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b w:val="1"/>
          <w:bCs w:val="1"/>
          <w:i w:val="1"/>
          <w:iCs w:val="1"/>
          <w:color w:val="auto"/>
        </w:rPr>
        <w:t>If we experience delays or difficulties in the enrollment or retention of patients in clinical trials, our regulatory submissions or receipt of necessary marketing approvals could be delayed or prevented.</w:t>
      </w:r>
    </w:p>
    <w:p>
      <w:pPr>
        <w:spacing w:after="0" w:line="207" w:lineRule="exact"/>
        <w:rPr>
          <w:sz w:val="20"/>
          <w:szCs w:val="20"/>
          <w:color w:val="auto"/>
        </w:rPr>
      </w:pPr>
    </w:p>
    <w:p>
      <w:pPr>
        <w:jc w:val="both"/>
        <w:ind w:firstLine="490"/>
        <w:spacing w:after="0" w:line="231" w:lineRule="auto"/>
        <w:rPr>
          <w:sz w:val="20"/>
          <w:szCs w:val="20"/>
          <w:color w:val="auto"/>
        </w:rPr>
      </w:pPr>
      <w:r>
        <w:rPr>
          <w:rFonts w:ascii="Arial" w:cs="Arial" w:eastAsia="Arial" w:hAnsi="Arial"/>
          <w:sz w:val="20"/>
          <w:szCs w:val="20"/>
          <w:color w:val="auto"/>
        </w:rPr>
        <w:t>We may not be able to initiate or continue clinical trials for our drug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drug candidates, and patients who would otherwise be eligible for our clinical trials instead enroll in clinical trials of our competitors’ programs. Additionally, publicly reported results of our completed clinical trials may impact enrollment of our trials in progress. If we are unable to locate a sufficient number of such patients, our clinical trial and development plans could be delayed.</w:t>
      </w:r>
    </w:p>
    <w:p>
      <w:pPr>
        <w:spacing w:after="0" w:line="232"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19"/>
          <w:szCs w:val="19"/>
          <w:color w:val="auto"/>
        </w:rPr>
        <w:t>If we are delayed or unsuccessful in enrolling the desired number of subjects in our trials, whether as a result of the outcomes of prior trials conducted by us, competing clinical trials, overly stringent eligibility requirements, or other factors, our clinical trial results could be delayed, the costs of our clinical trials could materially increase, and the overall development timeline for fosgonimeton could be negatively impacted. For example, enrollment in our ongoing clinical trials had slowed due to the effects of the COVID-19 pandemic, including governmental restrictions imposed in Australia, where certain of our clinical trial sites are located. In our ACT-AD clinical trial, this slowed recruitment resulted in a change in the timing of topline</w:t>
      </w:r>
    </w:p>
    <w:p>
      <w:pPr>
        <w:sectPr>
          <w:pgSz w:w="11880" w:h="15474" w:orient="portrait"/>
          <w:cols w:equalWidth="0" w:num="1">
            <w:col w:w="9360"/>
          </w:cols>
          <w:pgMar w:left="1240" w:top="1243" w:right="1274"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880" w:h="15474" w:orient="portrait"/>
          <w:cols w:equalWidth="0" w:num="1">
            <w:col w:w="9360"/>
          </w:cols>
          <w:pgMar w:left="1240" w:top="1243" w:right="1274" w:bottom="0" w:gutter="0" w:footer="0" w:header="0"/>
          <w:type w:val="continuous"/>
        </w:sectPr>
      </w:pPr>
    </w:p>
    <w:bookmarkStart w:id="61" w:name="page62"/>
    <w:bookmarkEnd w:id="61"/>
    <w:p>
      <w:pPr>
        <w:jc w:val="both"/>
        <w:spacing w:after="0" w:line="237" w:lineRule="auto"/>
        <w:rPr>
          <w:sz w:val="20"/>
          <w:szCs w:val="20"/>
          <w:color w:val="auto"/>
        </w:rPr>
      </w:pPr>
      <w:r>
        <w:rPr>
          <w:rFonts w:ascii="Arial" w:cs="Arial" w:eastAsia="Arial" w:hAnsi="Arial"/>
          <w:sz w:val="20"/>
          <w:szCs w:val="20"/>
          <w:color w:val="auto"/>
        </w:rPr>
        <w:t>results from our Phase 2 ACT-AD clinical trial, which were announced in June 2022. We cannot ensure that similar enrollment issues will not occur again in the future. Even if we are successful in enrolling the targeted number of subjects in our trials, the FDA and other regulators may request additional clinical trials with larger numbers of subjects (including potential confirmatory or Phase 3 registrational trials) as a condition to any regulatory approval.</w:t>
      </w:r>
    </w:p>
    <w:p>
      <w:pPr>
        <w:spacing w:after="0" w:line="239"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drug candidates and jeopardize our ability to obtain marketing approval for the sale of our drug candidates. Furthermore, even if we are able to enroll a sufficient number of patients for our clinical trials, we may have difficulty maintaining participation in our clinical trials through the treatment and any follow-up periods.</w:t>
      </w:r>
    </w:p>
    <w:p>
      <w:pPr>
        <w:spacing w:after="0" w:line="226"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p>
    <w:p>
      <w:pPr>
        <w:spacing w:after="0" w:line="207"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spacing w:after="0" w:line="242"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9"/>
          <w:szCs w:val="19"/>
          <w:color w:val="auto"/>
        </w:rPr>
        <w:t>Drug candidates that we may successfully develop and commercialize will compete with existing therapies and new therapies that may become available in the future. For example, the FDA recently granted traditional approval for lecanemab, a drug developed by Biogen Inc. and Eisai Co., Ltd., and Eli Lilly and Company is also developing drug candidates for AD. Key product features that would affect our ability to effectively compete with other therapeutics include the efficacy, safety and convenience of our drug products. Our competitors may obtain patent protection or other intellectual property rights that limit our ability to develop or commercialize our drug candidates. The availability of reimbursement from government and other third-party payors will also significantly affect the pricing and competitiveness of our drug products. For example, CMS announced a two-part National Coverage Determination, or NCD, under which Medicare will cover monoclonal antibodies that target amyloid (or plaque) for the treatment of AD that receive traditional approval from the FDA under coverage with evidence development. Additionally, for drugs that FDA has not determined to have shown a clinical benefit or that received an accelerated approval, Medicare will provide coverage in FDA or NIH approved clinical trials. In June 2023, CMS announced that Medicare will cover new Alzheimer’s drugs with traditional FDA approval when a physician and clinical team participate in CMS’ registry to collect evidence about how these drugs work in the real world. 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of this report titled “Part I, Item 1 – Business—Competition”.</w:t>
      </w:r>
    </w:p>
    <w:p>
      <w:pPr>
        <w:sectPr>
          <w:pgSz w:w="11880" w:h="15474" w:orient="portrait"/>
          <w:cols w:equalWidth="0" w:num="1">
            <w:col w:w="9360"/>
          </w:cols>
          <w:pgMar w:left="1240" w:top="1243"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880" w:h="15474" w:orient="portrait"/>
          <w:cols w:equalWidth="0" w:num="1">
            <w:col w:w="9360"/>
          </w:cols>
          <w:pgMar w:left="1240" w:top="1243" w:right="1274" w:bottom="0" w:gutter="0" w:footer="0" w:header="0"/>
          <w:type w:val="continuous"/>
        </w:sectPr>
      </w:pPr>
    </w:p>
    <w:bookmarkStart w:id="62" w:name="page63"/>
    <w:bookmarkEnd w:id="62"/>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207"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Because we have limited financial and managerial resources, we focus on research programs, therapeutic platforms and drug candidates that we identify for specific indications. As a result, we may forego or delay pursuit of opportunities with other therapeutic platforms or drug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w:t>
      </w:r>
    </w:p>
    <w:p>
      <w:pPr>
        <w:spacing w:after="0" w:line="241"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We may develop drug candidates in combination with other therapies, which exposes us to additional risks.</w:t>
      </w:r>
    </w:p>
    <w:p>
      <w:pPr>
        <w:spacing w:after="0" w:line="183"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We may develop drug candidates in combination with one or more other approved or unapproved therapies. Even if any drug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drug product or that safety, efficacy, manufacturing or supply issues could arise with any of those existing therapies. If the therapies we use in combination with our drug candidates are replaced as the standard of care for the indications we choose for any of our drug candidates, the FDA or comparable foreign regulatory authorities may require us to conduct additional clinical trials. The occurrence of any of these risks could result in our own drug products, if approved, being removed from the market or being less successful commercially.</w:t>
      </w:r>
    </w:p>
    <w:p>
      <w:pPr>
        <w:spacing w:after="0" w:line="242"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We also may choose to evaluate drug candidates in combination with one or more therapies that have not yet been approved for marketing by the FDA or comparable foreign regulatory authorities. We will not be able to market and sell any drug candidate we develop in combination with an unapproved therapy for a combination indication if that unapproved therapy does not ultimately obtain marketing approval either alone or in combination with our drug product. In addition, unapproved therapies face the same risks described with respect to our drug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drug candidate we develop, we may be unable to obtain approval of or market such combination therapy.</w:t>
      </w:r>
    </w:p>
    <w:p>
      <w:pPr>
        <w:spacing w:after="0" w:line="241" w:lineRule="exact"/>
        <w:rPr>
          <w:sz w:val="20"/>
          <w:szCs w:val="20"/>
          <w:color w:val="auto"/>
        </w:rPr>
      </w:pPr>
    </w:p>
    <w:p>
      <w:pPr>
        <w:jc w:val="both"/>
        <w:ind w:firstLine="490"/>
        <w:spacing w:after="0" w:line="265" w:lineRule="auto"/>
        <w:rPr>
          <w:sz w:val="20"/>
          <w:szCs w:val="20"/>
          <w:color w:val="auto"/>
        </w:rPr>
      </w:pPr>
      <w:r>
        <w:rPr>
          <w:rFonts w:ascii="Arial" w:cs="Arial" w:eastAsia="Arial" w:hAnsi="Arial"/>
          <w:sz w:val="20"/>
          <w:szCs w:val="20"/>
          <w:b w:val="1"/>
          <w:bCs w:val="1"/>
          <w:i w:val="1"/>
          <w:iCs w:val="1"/>
          <w:color w:val="auto"/>
        </w:rPr>
        <w:t>Our long-term prospects depend in part upon discovering, developing and commercializing additional drug candidates, which may fail in development or suffer delays that adversely affect their commercial viability.</w:t>
      </w:r>
    </w:p>
    <w:p>
      <w:pPr>
        <w:spacing w:after="0" w:line="205"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Our future operating results are dependent on our ability to successfully discover, develop, obtain regulatory approval for and commercialize drug candidates beyond those we currently have in clinical and nonclinical development. A drug candidate can unexpectedly fail at any stage of nonclinical and clinical development. The historical failure rate for drug candidates is high due to risks relating to safety, efficacy, clinical execution, changing standards of medical care and other unpredictable variables. The results from nonclinical testing or early clinical trials of a drug candidate may not be predictive of the results that will be obtained in later stage clinical trials of the drug candidate.</w:t>
      </w:r>
    </w:p>
    <w:p>
      <w:pPr>
        <w:sectPr>
          <w:pgSz w:w="11880" w:h="15474" w:orient="portrait"/>
          <w:cols w:equalWidth="0" w:num="1">
            <w:col w:w="9360"/>
          </w:cols>
          <w:pgMar w:left="1240" w:top="1259"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880" w:h="15474" w:orient="portrait"/>
          <w:cols w:equalWidth="0" w:num="1">
            <w:col w:w="9360"/>
          </w:cols>
          <w:pgMar w:left="1240" w:top="1259" w:right="1274" w:bottom="0" w:gutter="0" w:footer="0" w:header="0"/>
          <w:type w:val="continuous"/>
        </w:sectPr>
      </w:pPr>
    </w:p>
    <w:bookmarkStart w:id="63" w:name="page64"/>
    <w:bookmarkEnd w:id="63"/>
    <w:p>
      <w:pPr>
        <w:ind w:firstLine="490"/>
        <w:spacing w:after="0" w:line="282" w:lineRule="auto"/>
        <w:rPr>
          <w:sz w:val="20"/>
          <w:szCs w:val="20"/>
          <w:color w:val="auto"/>
        </w:rPr>
      </w:pPr>
      <w:r>
        <w:rPr>
          <w:rFonts w:ascii="Arial" w:cs="Arial" w:eastAsia="Arial" w:hAnsi="Arial"/>
          <w:sz w:val="20"/>
          <w:szCs w:val="20"/>
          <w:color w:val="auto"/>
        </w:rPr>
        <w:t>The success of other future drug candidates we may develop will depend on many factors, including the following:</w:t>
      </w:r>
    </w:p>
    <w:p>
      <w:pPr>
        <w:spacing w:after="0" w:line="52" w:lineRule="exact"/>
        <w:rPr>
          <w:sz w:val="20"/>
          <w:szCs w:val="20"/>
          <w:color w:val="auto"/>
        </w:rPr>
      </w:pPr>
    </w:p>
    <w:p>
      <w:pPr>
        <w:ind w:left="980" w:hanging="491"/>
        <w:spacing w:after="0"/>
        <w:tabs>
          <w:tab w:leader="none" w:pos="9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generating sufficient data to support the initiation or continuation of clinical trials;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obtaining regulatory permission to initiate clinical trials;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contracting with the necessary parties to conduct clinical trials;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successful enrollment of patients in, and the completion of, clinical trials on a timely basis;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timely manufacture of sufficient quantities of the drug candidate for use in clinical trials; and</w:t>
      </w:r>
    </w:p>
    <w:p>
      <w:pPr>
        <w:spacing w:after="0" w:line="145" w:lineRule="exact"/>
        <w:rPr>
          <w:rFonts w:ascii="Arial" w:cs="Arial" w:eastAsia="Arial" w:hAnsi="Arial"/>
          <w:sz w:val="19"/>
          <w:szCs w:val="19"/>
          <w:color w:val="auto"/>
        </w:rPr>
      </w:pPr>
    </w:p>
    <w:p>
      <w:pPr>
        <w:ind w:left="980" w:hanging="491"/>
        <w:spacing w:after="0"/>
        <w:tabs>
          <w:tab w:leader="none" w:pos="9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adverse events in the clinical trials.</w:t>
      </w:r>
    </w:p>
    <w:p>
      <w:pPr>
        <w:spacing w:after="0" w:line="280"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Even if we successfully advance any other future drug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drug candidates.</w:t>
      </w:r>
    </w:p>
    <w:p>
      <w:pPr>
        <w:spacing w:after="0" w:line="236"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20"/>
          <w:szCs w:val="20"/>
          <w:b w:val="1"/>
          <w:bCs w:val="1"/>
          <w:i w:val="1"/>
          <w:iCs w:val="1"/>
          <w:color w:val="auto"/>
        </w:rPr>
        <w:t>We have conducted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215"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19"/>
          <w:szCs w:val="19"/>
          <w:color w:val="auto"/>
        </w:rPr>
        <w:t>In July 2020, we formed a wholly owned Australian subsidiary to conduct various preclinical and clinical activities for our drug product and development candidates in Australia. Due to the geographical distance and lack of employees currently in Australia, as well as our lack of experience operating in Australia, we may not be able to efficiently or successfully monitor, develop and commercialize our drug product and development candidates in Australia, including conducting clinical trials. Furthermore, we have no assurance that the results of any clinical trials that we conduct for our drug candidates in Australia will be accepted by the FDA or foreign regulatory authorities for development and commercialization approvals.</w:t>
      </w:r>
    </w:p>
    <w:p>
      <w:pPr>
        <w:spacing w:after="0" w:line="221"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operations may be adversely affected.</w:t>
      </w:r>
    </w:p>
    <w:p>
      <w:pPr>
        <w:spacing w:after="0" w:line="236"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20"/>
          <w:szCs w:val="20"/>
          <w:b w:val="1"/>
          <w:bCs w:val="1"/>
          <w:i w:val="1"/>
          <w:iCs w:val="1"/>
          <w:color w:val="auto"/>
        </w:rPr>
        <w:t>The loss of any of our key personnel could significantly harm our business, results of operations and competitive position.</w:t>
      </w:r>
    </w:p>
    <w:p>
      <w:pPr>
        <w:spacing w:after="0" w:line="183"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high. The loss of one or more of these key employees, or our inability to hire additional key personnel when needed, could have a material adverse effect on our business and prospects.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880" w:h="15474" w:orient="portrait"/>
          <w:cols w:equalWidth="0" w:num="1">
            <w:col w:w="9360"/>
          </w:cols>
          <w:pgMar w:left="1240" w:top="1255" w:right="1274" w:bottom="0" w:gutter="0" w:footer="0" w:header="0"/>
          <w:type w:val="continuous"/>
        </w:sectPr>
      </w:pPr>
    </w:p>
    <w:bookmarkStart w:id="64" w:name="page65"/>
    <w:bookmarkEnd w:id="64"/>
    <w:p>
      <w:pPr>
        <w:spacing w:after="0"/>
        <w:rPr>
          <w:sz w:val="20"/>
          <w:szCs w:val="20"/>
          <w:color w:val="auto"/>
        </w:rPr>
      </w:pPr>
      <w:r>
        <w:rPr>
          <w:rFonts w:ascii="Arial" w:cs="Arial" w:eastAsia="Arial" w:hAnsi="Arial"/>
          <w:sz w:val="20"/>
          <w:szCs w:val="20"/>
          <w:b w:val="1"/>
          <w:bCs w:val="1"/>
          <w:color w:val="auto"/>
        </w:rPr>
        <w:t>Risks Relating to Health Epidemics</w:t>
      </w:r>
    </w:p>
    <w:p>
      <w:pPr>
        <w:spacing w:after="0" w:line="288"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20"/>
          <w:szCs w:val="20"/>
          <w:b w:val="1"/>
          <w:bCs w:val="1"/>
          <w:i w:val="1"/>
          <w:iCs w:val="1"/>
          <w:color w:val="auto"/>
        </w:rPr>
        <w:t>The potential effects of health epidemics could adversely impact our business, including our nonclinical studies and clinical trials.</w:t>
      </w:r>
    </w:p>
    <w:p>
      <w:pPr>
        <w:spacing w:after="0" w:line="183"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20"/>
          <w:szCs w:val="20"/>
          <w:color w:val="auto"/>
        </w:rPr>
        <w:t>Our business could in the future be adversely impacted by the effects of possible health epidemics and other outbreaks which could cause disruptions that could severely impact our business, nonclinical studies and clinical trials. Such disruptions may include:</w:t>
      </w:r>
    </w:p>
    <w:p>
      <w:pPr>
        <w:spacing w:after="0" w:line="70" w:lineRule="exact"/>
        <w:rPr>
          <w:sz w:val="20"/>
          <w:szCs w:val="20"/>
          <w:color w:val="auto"/>
        </w:rPr>
      </w:pPr>
    </w:p>
    <w:p>
      <w:pPr>
        <w:jc w:val="both"/>
        <w:ind w:left="980" w:hanging="491"/>
        <w:spacing w:after="0" w:line="262" w:lineRule="auto"/>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delays or difficulties in enrolling and retaining patients in our clinical trials, particularly elderly subjects, who may be at a higher risk of severe illness or death, which can be further complicated by the presence of comorbidities that are often present in AD subjects;</w:t>
      </w:r>
    </w:p>
    <w:p>
      <w:pPr>
        <w:spacing w:after="0" w:line="71"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difficulties interpreting data from our clinical trials due to the possible effects of such diseases on cognition of the subjects enrolled in our clinical trials;</w:t>
      </w:r>
    </w:p>
    <w:p>
      <w:pPr>
        <w:spacing w:after="0" w:line="5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delays or difficulties in clinical site initiation, including difficulties in recruiting clinical site investigators and clinical site staff;</w:t>
      </w:r>
    </w:p>
    <w:p>
      <w:pPr>
        <w:spacing w:after="0" w:line="51"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diversion of healthcare resources away from the conduct of clinical trials, including the diversion of hospitals serving as our clinical trial sites and hospital staff supporting the conduct of our clinical trials;</w:t>
      </w:r>
    </w:p>
    <w:p>
      <w:pPr>
        <w:spacing w:after="0" w:line="72" w:lineRule="exact"/>
        <w:rPr>
          <w:rFonts w:ascii="Arial" w:cs="Arial" w:eastAsia="Arial" w:hAnsi="Arial"/>
          <w:sz w:val="20"/>
          <w:szCs w:val="20"/>
          <w:color w:val="auto"/>
        </w:rPr>
      </w:pPr>
    </w:p>
    <w:p>
      <w:pPr>
        <w:jc w:val="both"/>
        <w:ind w:left="980" w:hanging="491"/>
        <w:spacing w:after="0" w:line="250" w:lineRule="auto"/>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85"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interruption or delays in the operations of the FDA or other regulatory authorities, which may impact review and approval timelines;</w:t>
      </w:r>
    </w:p>
    <w:p>
      <w:pPr>
        <w:spacing w:after="0" w:line="51"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interruption of, or delays in receiving, supplies of our drug candidates from our contract manufacturing organizations due to staffing shortages, production slowdowns or stoppages and disruptions in delivery systems;</w:t>
      </w:r>
    </w:p>
    <w:p>
      <w:pPr>
        <w:spacing w:after="0" w:line="72" w:lineRule="exact"/>
        <w:rPr>
          <w:rFonts w:ascii="Arial" w:cs="Arial" w:eastAsia="Arial" w:hAnsi="Arial"/>
          <w:sz w:val="20"/>
          <w:szCs w:val="20"/>
          <w:color w:val="auto"/>
        </w:rPr>
      </w:pPr>
    </w:p>
    <w:p>
      <w:pPr>
        <w:ind w:left="980" w:hanging="491"/>
        <w:spacing w:after="0"/>
        <w:tabs>
          <w:tab w:leader="none" w:pos="9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interruptions in nonclinical studies due to restricted or limited operations at our laboratory facility;</w:t>
      </w:r>
    </w:p>
    <w:p>
      <w:pPr>
        <w:spacing w:after="0" w:line="145" w:lineRule="exact"/>
        <w:rPr>
          <w:rFonts w:ascii="Arial" w:cs="Arial" w:eastAsia="Arial" w:hAnsi="Arial"/>
          <w:sz w:val="19"/>
          <w:szCs w:val="19"/>
          <w:color w:val="auto"/>
        </w:rPr>
      </w:pPr>
    </w:p>
    <w:p>
      <w:pPr>
        <w:jc w:val="both"/>
        <w:ind w:left="980" w:hanging="491"/>
        <w:spacing w:after="0" w:line="261" w:lineRule="auto"/>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7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interruptions, difficulties or delays arising in our existing operations and company culture as a result of some or all of our employees working remotely;</w:t>
      </w:r>
    </w:p>
    <w:p>
      <w:pPr>
        <w:spacing w:after="0" w:line="51" w:lineRule="exact"/>
        <w:rPr>
          <w:rFonts w:ascii="Arial" w:cs="Arial" w:eastAsia="Arial" w:hAnsi="Arial"/>
          <w:sz w:val="20"/>
          <w:szCs w:val="20"/>
          <w:color w:val="auto"/>
        </w:rPr>
      </w:pPr>
    </w:p>
    <w:p>
      <w:pPr>
        <w:ind w:left="980" w:hanging="491"/>
        <w:spacing w:after="0"/>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interruption or delays to our sourced discovery and clinical activities; and</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changes in clinical site procedures and requirements as well as regulatory requirements for conducting clinical trials during the pandemic.</w:t>
      </w:r>
    </w:p>
    <w:p>
      <w:pPr>
        <w:spacing w:after="0" w:line="199"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For example, in the event of a disease outbreak or resurgence of COVID-19, we could be required to develop and implement additional clinical trial policies and procedures designed to help protect subjects from such diseases. On May 11, 2023, the federal government ended the COVID-19 public health emergency, which ended a number of temporary changes made to federally funded programs while some continue to be in effect. Since March 2020, the FDA has issued various COVID-19 related guidance documents for sponsors and manufacturers, many of which have expired or were withdrawn with the expiration of the COVID-19 public health emergency declaration, although some COVID-19 related guidance documents continue in effect. The full impact of this termination of the national emergency and the wind-down of the public health emergency on FDA and other regulatory policies and operations is unclear.</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880" w:h="15474" w:orient="portrait"/>
          <w:cols w:equalWidth="0" w:num="1">
            <w:col w:w="9360"/>
          </w:cols>
          <w:pgMar w:left="1240" w:top="1251" w:right="1274" w:bottom="0" w:gutter="0" w:footer="0" w:header="0"/>
          <w:type w:val="continuous"/>
        </w:sectPr>
      </w:pPr>
    </w:p>
    <w:bookmarkStart w:id="65" w:name="page66"/>
    <w:bookmarkEnd w:id="65"/>
    <w:p>
      <w:pPr>
        <w:jc w:val="both"/>
        <w:ind w:firstLine="490"/>
        <w:spacing w:after="0" w:line="262" w:lineRule="auto"/>
        <w:rPr>
          <w:sz w:val="20"/>
          <w:szCs w:val="20"/>
          <w:color w:val="auto"/>
        </w:rPr>
      </w:pPr>
      <w:r>
        <w:rPr>
          <w:rFonts w:ascii="Arial" w:cs="Arial" w:eastAsia="Arial" w:hAnsi="Arial"/>
          <w:sz w:val="19"/>
          <w:szCs w:val="19"/>
          <w:color w:val="auto"/>
        </w:rPr>
        <w:t>The trading prices for shares of biopharmaceutical companies have in the past been and could in the future be highly volatile as a result of health epidemics, including the COVID-19 pandemic, and the trading prices for shares of our common stock could also experience high volatility. In the event of an emergence of new disease outbreaks or a resurgence of COVID-19, we could face difficulties raising capital through sales of our common stock or such sales may be on unfavorable terms. In addition, a recession, depression or other sustained adverse market event resulting from a health epidemic, including a resurgence of COVID-19, could materially and adversely affect our business and the value of our common stock.</w:t>
      </w:r>
    </w:p>
    <w:p>
      <w:pPr>
        <w:spacing w:after="0" w:line="221"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The ultimate impact of a possible health epidemic or other outbreak, including a resurgence of COVID-19, on our business operations is highly uncertain and subject to change and will depend on future developments, which cannot be accurately predicted. In addition, our business could be significantly adversely affected by other business disruptions to us or our third -party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 -made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drug candidates. Our ability to obtain clinical supplies of our drug candidates could be disrupted if the operations of these suppliers are affected by a man-made or natural disaster or other business interruption.</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Our Financial Position and Capital Needs</w:t>
      </w:r>
    </w:p>
    <w:p>
      <w:pPr>
        <w:spacing w:after="0" w:line="287"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We have incurred significant losses since our inception and anticipate that we will continue to incur significant losses for the foreseeable future.</w:t>
      </w:r>
    </w:p>
    <w:p>
      <w:pPr>
        <w:spacing w:after="0" w:line="183"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We have not generated any revenue from drug product sales and our drug candidates will require substantial additional investment before they may provide us with any revenue. We had net losses of $117.7 million and $95.6 million for the years ended December 31, 2023 and 2022</w:t>
      </w:r>
      <w:r>
        <w:rPr>
          <w:rFonts w:ascii="Arial" w:cs="Arial" w:eastAsia="Arial" w:hAnsi="Arial"/>
          <w:sz w:val="20"/>
          <w:szCs w:val="20"/>
          <w:color w:val="191919"/>
        </w:rPr>
        <w:t>, respectively, and an</w:t>
      </w:r>
      <w:r>
        <w:rPr>
          <w:rFonts w:ascii="Arial" w:cs="Arial" w:eastAsia="Arial" w:hAnsi="Arial"/>
          <w:sz w:val="20"/>
          <w:szCs w:val="20"/>
          <w:color w:val="auto"/>
        </w:rPr>
        <w:t xml:space="preserve"> </w:t>
      </w:r>
      <w:r>
        <w:rPr>
          <w:rFonts w:ascii="Arial" w:cs="Arial" w:eastAsia="Arial" w:hAnsi="Arial"/>
          <w:sz w:val="20"/>
          <w:szCs w:val="20"/>
          <w:color w:val="191919"/>
        </w:rPr>
        <w:t>accumulated deficit of $309.2 million as of December 31, 2023.</w:t>
      </w:r>
    </w:p>
    <w:p>
      <w:pPr>
        <w:spacing w:after="0" w:line="227"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191919"/>
        </w:rPr>
        <w:t xml:space="preserve">We have devoted most of our financial resources to research and development, including our clinical and nonclinical development </w:t>
      </w:r>
      <w:r>
        <w:rPr>
          <w:rFonts w:ascii="Arial" w:cs="Arial" w:eastAsia="Arial" w:hAnsi="Arial"/>
          <w:sz w:val="20"/>
          <w:szCs w:val="20"/>
          <w:color w:val="000000"/>
        </w:rPr>
        <w:t>activities. To date, we have financed our operations primarily with proceeds</w:t>
      </w:r>
      <w:r>
        <w:rPr>
          <w:rFonts w:ascii="Arial" w:cs="Arial" w:eastAsia="Arial" w:hAnsi="Arial"/>
          <w:sz w:val="20"/>
          <w:szCs w:val="20"/>
          <w:color w:val="191919"/>
        </w:rPr>
        <w:t xml:space="preserve"> </w:t>
      </w:r>
      <w:r>
        <w:rPr>
          <w:rFonts w:ascii="Arial" w:cs="Arial" w:eastAsia="Arial" w:hAnsi="Arial"/>
          <w:sz w:val="20"/>
          <w:szCs w:val="20"/>
          <w:color w:val="000000"/>
        </w:rPr>
        <w:t>from the sale and issuance of common stock, convertible preferred stock, common stock warrants, and convertible notes, and to a lesser extent from grant income and stock option exercises.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9"/>
          <w:szCs w:val="19"/>
          <w:color w:val="auto"/>
        </w:rPr>
        <w:t>We expect to incur significant expenses and increasing operating losses for the foreseeable future as</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we:</w:t>
      </w:r>
    </w:p>
    <w:p>
      <w:pPr>
        <w:spacing w:after="0" w:line="108" w:lineRule="exact"/>
        <w:rPr>
          <w:sz w:val="20"/>
          <w:szCs w:val="20"/>
          <w:color w:val="auto"/>
        </w:rPr>
      </w:pPr>
    </w:p>
    <w:p>
      <w:pPr>
        <w:ind w:left="980" w:hanging="491"/>
        <w:spacing w:after="0"/>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continue our research and nonclinical and clinical development of our drug candidates;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expand the scope of our clinical studies for our current and prospective drug candidates;</w:t>
      </w:r>
    </w:p>
    <w:p>
      <w:pPr>
        <w:spacing w:after="0" w:line="133" w:lineRule="exact"/>
        <w:rPr>
          <w:rFonts w:ascii="Arial" w:cs="Arial" w:eastAsia="Arial" w:hAnsi="Arial"/>
          <w:sz w:val="20"/>
          <w:szCs w:val="20"/>
          <w:color w:val="auto"/>
        </w:rPr>
      </w:pPr>
    </w:p>
    <w:p>
      <w:pPr>
        <w:jc w:val="both"/>
        <w:ind w:left="980" w:hanging="491"/>
        <w:spacing w:after="0" w:line="281" w:lineRule="auto"/>
        <w:tabs>
          <w:tab w:leader="none" w:pos="980" w:val="left"/>
        </w:tabs>
        <w:numPr>
          <w:ilvl w:val="0"/>
          <w:numId w:val="25"/>
        </w:numPr>
        <w:rPr>
          <w:rFonts w:ascii="Arial" w:cs="Arial" w:eastAsia="Arial" w:hAnsi="Arial"/>
          <w:sz w:val="19"/>
          <w:szCs w:val="19"/>
          <w:color w:val="auto"/>
        </w:rPr>
      </w:pPr>
      <w:r>
        <w:rPr>
          <w:rFonts w:ascii="Arial" w:cs="Arial" w:eastAsia="Arial" w:hAnsi="Arial"/>
          <w:sz w:val="19"/>
          <w:szCs w:val="19"/>
          <w:color w:val="auto"/>
        </w:rPr>
        <w:t>initiate additional nonclinical, clinical or other studies for our drug candidates, including any potentially pivotal trials with respect to fosgonimeton for the treatment of mild-to-moderate AD in addition to LIFT-AD, and continue the open label extension of the ACT-AD and LIFT-AD trials;</w:t>
      </w:r>
    </w:p>
    <w:p>
      <w:pPr>
        <w:spacing w:after="0" w:line="55" w:lineRule="exact"/>
        <w:rPr>
          <w:rFonts w:ascii="Arial" w:cs="Arial" w:eastAsia="Arial" w:hAnsi="Arial"/>
          <w:sz w:val="19"/>
          <w:szCs w:val="19"/>
          <w:color w:val="auto"/>
        </w:rPr>
      </w:pPr>
    </w:p>
    <w:p>
      <w:pPr>
        <w:ind w:left="980" w:hanging="491"/>
        <w:spacing w:after="0" w:line="283" w:lineRule="auto"/>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change or add additional manufacturers or suppliers and manufacture drug supply and drug product for clinical trials and commercialization;</w:t>
      </w:r>
    </w:p>
    <w:p>
      <w:pPr>
        <w:spacing w:after="0" w:line="50"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seek regulatory and marketing approvals for any of our drug candidates that successfully complete clinical trials;</w:t>
      </w:r>
    </w:p>
    <w:p>
      <w:pPr>
        <w:spacing w:after="0" w:line="51" w:lineRule="exact"/>
        <w:rPr>
          <w:rFonts w:ascii="Arial" w:cs="Arial" w:eastAsia="Arial" w:hAnsi="Arial"/>
          <w:sz w:val="20"/>
          <w:szCs w:val="20"/>
          <w:color w:val="auto"/>
        </w:rPr>
      </w:pPr>
    </w:p>
    <w:p>
      <w:pPr>
        <w:ind w:left="980" w:hanging="491"/>
        <w:spacing w:after="0"/>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attract, hire and retain additional personnel;</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880" w:h="15474" w:orient="portrait"/>
          <w:cols w:equalWidth="0" w:num="1">
            <w:col w:w="9360"/>
          </w:cols>
          <w:pgMar w:left="1240" w:top="1255" w:right="1274" w:bottom="0" w:gutter="0" w:footer="0" w:header="0"/>
          <w:type w:val="continuous"/>
        </w:sectPr>
      </w:pPr>
    </w:p>
    <w:bookmarkStart w:id="66" w:name="page67"/>
    <w:bookmarkEnd w:id="66"/>
    <w:p>
      <w:pPr>
        <w:ind w:left="980" w:hanging="491"/>
        <w:spacing w:after="0"/>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operate as a public company;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continue to expand our facilities and lab space;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seek to identify and validate additional drug candidates;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acquire or in-license other drug candidates and technologies or engage in other strategic transactions;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make milestone or other payments under our in-license or other agreements;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maintain, protect and expand our intellectual property portfolio;</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establish a sales, marketing and distribution infrastructure to commercialize any drug products for which we may obtain marketing approval;</w:t>
      </w:r>
    </w:p>
    <w:p>
      <w:pPr>
        <w:spacing w:after="0" w:line="5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create additional infrastructure to support our operations and our drug product development and planned future commercialization efforts;</w:t>
      </w:r>
    </w:p>
    <w:p>
      <w:pPr>
        <w:spacing w:after="0" w:line="51"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incur expenses in connection with legal proceedings, and addressing potential stockholder activism; and</w:t>
      </w:r>
    </w:p>
    <w:p>
      <w:pPr>
        <w:spacing w:after="0" w:line="50" w:lineRule="exact"/>
        <w:rPr>
          <w:rFonts w:ascii="Arial" w:cs="Arial" w:eastAsia="Arial" w:hAnsi="Arial"/>
          <w:sz w:val="20"/>
          <w:szCs w:val="20"/>
          <w:color w:val="auto"/>
        </w:rPr>
      </w:pPr>
    </w:p>
    <w:p>
      <w:pPr>
        <w:ind w:left="980" w:hanging="491"/>
        <w:spacing w:after="0"/>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experience any delays or encounter issues with any of the above.</w:t>
      </w:r>
    </w:p>
    <w:p>
      <w:pPr>
        <w:spacing w:after="0" w:line="280"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 xml:space="preserve">Our expenses could increase beyond expectations for a variety of reasons, including if we are required by the FDA, the European Medicines Agency, or EMA, or other regulatory agencies, domestic or foreign, to perform clinical and other </w:t>
      </w:r>
      <w:r>
        <w:rPr>
          <w:rFonts w:ascii="Arial" w:cs="Arial" w:eastAsia="Arial" w:hAnsi="Arial"/>
          <w:sz w:val="20"/>
          <w:szCs w:val="20"/>
          <w:color w:val="191919"/>
        </w:rPr>
        <w:t>studies</w:t>
      </w:r>
      <w:r>
        <w:rPr>
          <w:rFonts w:ascii="Arial" w:cs="Arial" w:eastAsia="Arial" w:hAnsi="Arial"/>
          <w:sz w:val="20"/>
          <w:szCs w:val="20"/>
          <w:color w:val="auto"/>
        </w:rPr>
        <w:t xml:space="preserve"> in addition to those that we currently anticipate. Our prior losses, combined with expected future losses, have had and will continue to have an adverse effect on our stockholders’ equity.</w:t>
      </w:r>
    </w:p>
    <w:p>
      <w:pPr>
        <w:spacing w:after="0" w:line="237"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20"/>
          <w:szCs w:val="20"/>
          <w:b w:val="1"/>
          <w:bCs w:val="1"/>
          <w:i w:val="1"/>
          <w:iCs w:val="1"/>
          <w:color w:val="auto"/>
        </w:rPr>
        <w:t>We will require substantial additional funding to finance our operations, complete the development and commercialization of fosgonimeton, and develop and commercialize other and future drug candidates. If we are unable to raise this funding when needed, we may be forced to delay, reduce, or eliminate our drug product development programs or other operations.</w:t>
      </w:r>
    </w:p>
    <w:p>
      <w:pPr>
        <w:spacing w:after="0" w:line="215"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 xml:space="preserve">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fosgonimeton. Developing fosgonimeton and conducting clinical trials for the treatment of AD, PDD, DLB, and any other indications that we may pursue in the future will require substantial amounts of capital. In addition, if we </w:t>
      </w:r>
      <w:r>
        <w:rPr>
          <w:rFonts w:ascii="Arial" w:cs="Arial" w:eastAsia="Arial" w:hAnsi="Arial"/>
          <w:sz w:val="20"/>
          <w:szCs w:val="20"/>
          <w:color w:val="191919"/>
        </w:rPr>
        <w:t>obtain marketing approval for fosgonimeton or any future drug candidates, we</w:t>
      </w:r>
      <w:r>
        <w:rPr>
          <w:rFonts w:ascii="Arial" w:cs="Arial" w:eastAsia="Arial" w:hAnsi="Arial"/>
          <w:sz w:val="20"/>
          <w:szCs w:val="20"/>
          <w:color w:val="auto"/>
        </w:rPr>
        <w:t xml:space="preserve"> </w:t>
      </w:r>
      <w:r>
        <w:rPr>
          <w:rFonts w:ascii="Arial" w:cs="Arial" w:eastAsia="Arial" w:hAnsi="Arial"/>
          <w:sz w:val="20"/>
          <w:szCs w:val="20"/>
          <w:color w:val="191919"/>
        </w:rPr>
        <w:t>expect to incur significant commercialization expenses related to sales, marketing, manufacturing, and distribution. Furthermore, we expect to continue to incur additional costs associated with operating as a public company.</w:t>
      </w:r>
    </w:p>
    <w:p>
      <w:pPr>
        <w:spacing w:after="0" w:line="237"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Accordingly, we will need to obtain substantial additional funding in connection with our continuing operations. As of December 31, 2023, we had cash, cash equivalents and investments of $147.4 million. Based upon our current operating plan, we estimate that our existing cash, cash equivalents and investments will be sufficient to fund our operating expenses and capital expenditure requirements through at least the next 12 months following the date of this report.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ectPr>
          <w:pgSz w:w="11880" w:h="15474" w:orient="portrait"/>
          <w:cols w:equalWidth="0" w:num="1">
            <w:col w:w="9360"/>
          </w:cols>
          <w:pgMar w:left="1240" w:top="1268"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880" w:h="15474" w:orient="portrait"/>
          <w:cols w:equalWidth="0" w:num="1">
            <w:col w:w="9360"/>
          </w:cols>
          <w:pgMar w:left="1240" w:top="1268" w:right="1274" w:bottom="0" w:gutter="0" w:footer="0" w:header="0"/>
          <w:type w:val="continuous"/>
        </w:sectPr>
      </w:pPr>
    </w:p>
    <w:bookmarkStart w:id="67" w:name="page68"/>
    <w:bookmarkEnd w:id="67"/>
    <w:p>
      <w:pPr>
        <w:ind w:firstLine="490"/>
        <w:spacing w:after="0" w:line="282" w:lineRule="auto"/>
        <w:rPr>
          <w:sz w:val="20"/>
          <w:szCs w:val="20"/>
          <w:color w:val="auto"/>
        </w:rPr>
      </w:pPr>
      <w:r>
        <w:rPr>
          <w:rFonts w:ascii="Arial" w:cs="Arial" w:eastAsia="Arial" w:hAnsi="Arial"/>
          <w:sz w:val="20"/>
          <w:szCs w:val="20"/>
          <w:color w:val="191919"/>
        </w:rPr>
        <w:t xml:space="preserve">The </w:t>
      </w:r>
      <w:r>
        <w:rPr>
          <w:rFonts w:ascii="Arial" w:cs="Arial" w:eastAsia="Arial" w:hAnsi="Arial"/>
          <w:sz w:val="20"/>
          <w:szCs w:val="20"/>
          <w:color w:val="000000"/>
        </w:rPr>
        <w:t>amount and timing of our future funding requirements depends on many factors, some of which</w:t>
      </w:r>
      <w:r>
        <w:rPr>
          <w:rFonts w:ascii="Arial" w:cs="Arial" w:eastAsia="Arial" w:hAnsi="Arial"/>
          <w:sz w:val="20"/>
          <w:szCs w:val="20"/>
          <w:color w:val="191919"/>
        </w:rPr>
        <w:t xml:space="preserve"> </w:t>
      </w:r>
      <w:r>
        <w:rPr>
          <w:rFonts w:ascii="Arial" w:cs="Arial" w:eastAsia="Arial" w:hAnsi="Arial"/>
          <w:sz w:val="20"/>
          <w:szCs w:val="20"/>
          <w:color w:val="000000"/>
        </w:rPr>
        <w:t>are outside of our control, including but not limited to:</w:t>
      </w:r>
    </w:p>
    <w:p>
      <w:pPr>
        <w:spacing w:after="0" w:line="52" w:lineRule="exact"/>
        <w:rPr>
          <w:sz w:val="20"/>
          <w:szCs w:val="20"/>
          <w:color w:val="auto"/>
        </w:rPr>
      </w:pPr>
    </w:p>
    <w:p>
      <w:pPr>
        <w:jc w:val="both"/>
        <w:ind w:left="980" w:hanging="491"/>
        <w:spacing w:after="0" w:line="254" w:lineRule="auto"/>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progress, costs, clinical trial design, results of and timing of our LIFT-AD trial and other clinical trials of fosgonimeton, including for potential additional indications that we are pursuing beyond AD, such as PDD, DLB, and the continuation of the open label extension of the ACT-AD and LIFT-AD trials;</w:t>
      </w:r>
    </w:p>
    <w:p>
      <w:pPr>
        <w:spacing w:after="0" w:line="80" w:lineRule="exact"/>
        <w:rPr>
          <w:rFonts w:ascii="Arial" w:cs="Arial" w:eastAsia="Arial" w:hAnsi="Arial"/>
          <w:sz w:val="20"/>
          <w:szCs w:val="20"/>
          <w:color w:val="auto"/>
        </w:rPr>
      </w:pPr>
    </w:p>
    <w:p>
      <w:pPr>
        <w:jc w:val="both"/>
        <w:ind w:left="980" w:hanging="491"/>
        <w:spacing w:after="0" w:line="254" w:lineRule="auto"/>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willingness of the FDA and EMA to accept our LIFT-AD trial, as well as data from our completed and planned clinical and nonclinical studies and other work, as the basis for review and approval of fosgonimeton for AD and the potential need for additional clinical trials (including potential confirmatory or Phase 3 registrational trials);</w:t>
      </w:r>
    </w:p>
    <w:p>
      <w:pPr>
        <w:spacing w:after="0" w:line="80"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outcome, costs and timing of seeking and obtaining FDA, EMA and any other regulatory approvals;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number and characteristics of drug candidates that we pursue;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manufacture sufficient quantities of our drug candidates;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need to expand our research and development activities;</w:t>
      </w:r>
    </w:p>
    <w:p>
      <w:pPr>
        <w:spacing w:after="0" w:line="133"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costs associated with securing and establishing commercialization and manufacturing capabilities;</w:t>
      </w:r>
    </w:p>
    <w:p>
      <w:pPr>
        <w:spacing w:after="0" w:line="51"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costs of acquiring, licensing or investing in businesses, drug candidates and technologies;</w:t>
      </w:r>
    </w:p>
    <w:p>
      <w:pPr>
        <w:spacing w:after="0" w:line="132" w:lineRule="exact"/>
        <w:rPr>
          <w:rFonts w:ascii="Arial" w:cs="Arial" w:eastAsia="Arial" w:hAnsi="Arial"/>
          <w:sz w:val="20"/>
          <w:szCs w:val="20"/>
          <w:color w:val="auto"/>
        </w:rPr>
      </w:pPr>
    </w:p>
    <w:p>
      <w:pPr>
        <w:jc w:val="both"/>
        <w:ind w:left="980" w:hanging="491"/>
        <w:spacing w:after="0" w:line="262" w:lineRule="auto"/>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cost, timing and outcomes of any litigation involving our company, including securities class actions and government investigations which we may be or may in the future become involved in;</w:t>
      </w:r>
    </w:p>
    <w:p>
      <w:pPr>
        <w:spacing w:after="0" w:line="71" w:lineRule="exact"/>
        <w:rPr>
          <w:rFonts w:ascii="Arial" w:cs="Arial" w:eastAsia="Arial" w:hAnsi="Arial"/>
          <w:sz w:val="20"/>
          <w:szCs w:val="20"/>
          <w:color w:val="auto"/>
        </w:rPr>
      </w:pPr>
    </w:p>
    <w:p>
      <w:pPr>
        <w:jc w:val="both"/>
        <w:ind w:left="980" w:hanging="491"/>
        <w:spacing w:after="0" w:line="254" w:lineRule="auto"/>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8"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need and ability to retain management and hire scientific, clinical and other personnel;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effect of competing drugs and drug candidates and other market developments;</w:t>
      </w:r>
    </w:p>
    <w:p>
      <w:pPr>
        <w:spacing w:after="0" w:line="133"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need to implement additional internal systems and infrastructure, including financial and reporting systems; and</w:t>
      </w:r>
    </w:p>
    <w:p>
      <w:pPr>
        <w:spacing w:after="0" w:line="51"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economic and other terms, timing of and success of any collaboration, licensing or other arrangements into which we may enter in the future.</w:t>
      </w:r>
    </w:p>
    <w:p>
      <w:pPr>
        <w:spacing w:after="0" w:line="199"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 xml:space="preserve">In January 2023, we entered into a sales agreement with Cantor Fitzgerald &amp; Co., or Cantor Fitzgerald, and BTIG, LLC, or BTIG, to sell shares of our common stock having aggregate sales proceeds of up to $75.0 million, from time to time, through an at-the-market, or ATM, equity offering program under which Cantor Fitzgerald and BTIG are acting as sales agents. We have not sold any securities pursuant to this ATM offering. However, 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cs="Arial" w:eastAsia="Arial" w:hAnsi="Arial"/>
          <w:sz w:val="20"/>
          <w:szCs w:val="20"/>
          <w:color w:val="191919"/>
        </w:rPr>
        <w:t>unable</w:t>
      </w:r>
      <w:r>
        <w:rPr>
          <w:rFonts w:ascii="Arial" w:cs="Arial" w:eastAsia="Arial" w:hAnsi="Arial"/>
          <w:sz w:val="20"/>
          <w:szCs w:val="20"/>
          <w:color w:val="auto"/>
        </w:rPr>
        <w:t xml:space="preserve"> to obtain funding on a timely basis, we may be required to significantly curtail or abandon one or more of our research or development programs. We also could be required to seek funds through arrangements with collaborative partners or otherwise that may require us to relinquish rights to some of our technologies or drug candidates or otherwise agree to terms unfavorable to us.</w:t>
      </w:r>
    </w:p>
    <w:p>
      <w:pPr>
        <w:spacing w:after="0" w:line="239"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9"/>
          <w:szCs w:val="19"/>
          <w:color w:val="auto"/>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880" w:h="15474" w:orient="portrait"/>
          <w:cols w:equalWidth="0" w:num="1">
            <w:col w:w="9360"/>
          </w:cols>
          <w:pgMar w:left="1240" w:top="1255" w:right="1274" w:bottom="0" w:gutter="0" w:footer="0" w:header="0"/>
          <w:type w:val="continuous"/>
        </w:sectPr>
      </w:pPr>
    </w:p>
    <w:bookmarkStart w:id="68" w:name="page69"/>
    <w:bookmarkEnd w:id="68"/>
    <w:p>
      <w:pPr>
        <w:jc w:val="both"/>
        <w:spacing w:after="0" w:line="250" w:lineRule="auto"/>
        <w:rPr>
          <w:sz w:val="20"/>
          <w:szCs w:val="20"/>
          <w:color w:val="auto"/>
        </w:rPr>
      </w:pPr>
      <w:r>
        <w:rPr>
          <w:rFonts w:ascii="Arial" w:cs="Arial" w:eastAsia="Arial" w:hAnsi="Arial"/>
          <w:sz w:val="20"/>
          <w:szCs w:val="20"/>
          <w:color w:val="auto"/>
        </w:rPr>
        <w:t>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w:t>
      </w:r>
    </w:p>
    <w:p>
      <w:pPr>
        <w:spacing w:after="0" w:line="232"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Our ability to raise additional funds will depend on financial, economic and other factors, many of which are beyond our control. For example, the current inflationary economic environment, health epidemics, and rising interest rates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 take steps that could adversely impact our business, including delaying, limiting, reducing or terminating nonclinical studies, clinical trials or other research and development activities or eliminating one or more of our development programs altogether, or delaying, limiting or reducing or terminating efforts to prepare for commercialization of any future approved drug products. We currently have a shelf registration statement effective and an existing ATM equity offering program, however, our ability to raise capital under this registration statement and through our ATM equity offering program may be limited by, among other things, SEC rules and regulations impacting the eligibility of smaller companies to use Form S-3 for primary offerings of securities.</w:t>
      </w:r>
    </w:p>
    <w:p>
      <w:pPr>
        <w:spacing w:after="0" w:line="244"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20"/>
          <w:szCs w:val="20"/>
          <w:b w:val="1"/>
          <w:bCs w:val="1"/>
          <w:i w:val="1"/>
          <w:iCs w:val="1"/>
          <w:color w:val="auto"/>
        </w:rPr>
        <w:t>Adverse events or perceptions affecting the financial services industry could adversely affect our operating results, liquidity, financial condition and prospects.</w:t>
      </w:r>
    </w:p>
    <w:p>
      <w:pPr>
        <w:spacing w:after="0" w:line="183"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in March 2023, Silicon Valley Bank, or SVB, was closed and placed in receivership and subsequently, additional financial institutions have been placed into receivership. We did not hold cash deposits or other accounts with SVB and did not, and as of the date of this report do not, otherwise have a direct business relationship with SVB or similarly situated financial institutions. However, companies that did have a business relationship with SVB faced:</w:t>
      </w:r>
    </w:p>
    <w:p>
      <w:pPr>
        <w:spacing w:after="0" w:line="88" w:lineRule="exact"/>
        <w:rPr>
          <w:sz w:val="20"/>
          <w:szCs w:val="20"/>
          <w:color w:val="auto"/>
        </w:rPr>
      </w:pPr>
    </w:p>
    <w:p>
      <w:pPr>
        <w:ind w:left="980" w:hanging="492"/>
        <w:spacing w:after="0" w:line="282" w:lineRule="auto"/>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delayed access to deposits or other financial assets or the uninsured loss of deposits or other financial assets;</w:t>
      </w:r>
    </w:p>
    <w:p>
      <w:pPr>
        <w:spacing w:after="0" w:line="282" w:lineRule="exact"/>
        <w:rPr>
          <w:rFonts w:ascii="Arial" w:cs="Arial" w:eastAsia="Arial" w:hAnsi="Arial"/>
          <w:sz w:val="20"/>
          <w:szCs w:val="20"/>
          <w:color w:val="auto"/>
        </w:rPr>
      </w:pPr>
    </w:p>
    <w:p>
      <w:pPr>
        <w:jc w:val="both"/>
        <w:ind w:left="980" w:hanging="492"/>
        <w:spacing w:after="0" w:line="261" w:lineRule="auto"/>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loss of access to revolving existing credit facilities or other working capital sources or the inability to refund, roll over or extend the maturity of, or enter into new credit facilities or other working capital resources;</w:t>
      </w:r>
    </w:p>
    <w:p>
      <w:pPr>
        <w:spacing w:after="0" w:line="303" w:lineRule="exact"/>
        <w:rPr>
          <w:rFonts w:ascii="Arial" w:cs="Arial" w:eastAsia="Arial" w:hAnsi="Arial"/>
          <w:sz w:val="20"/>
          <w:szCs w:val="20"/>
          <w:color w:val="auto"/>
        </w:rPr>
      </w:pPr>
    </w:p>
    <w:p>
      <w:pPr>
        <w:jc w:val="both"/>
        <w:ind w:left="980" w:hanging="492"/>
        <w:spacing w:after="0" w:line="261" w:lineRule="auto"/>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potential or actual breach of obligations, including U.S. federal and state wage laws and contracts that required them to maintain letters or credit or other credit support arrangements; and</w:t>
      </w:r>
    </w:p>
    <w:p>
      <w:pPr>
        <w:spacing w:after="0" w:line="303" w:lineRule="exact"/>
        <w:rPr>
          <w:rFonts w:ascii="Arial" w:cs="Arial" w:eastAsia="Arial" w:hAnsi="Arial"/>
          <w:sz w:val="20"/>
          <w:szCs w:val="20"/>
          <w:color w:val="auto"/>
        </w:rPr>
      </w:pPr>
    </w:p>
    <w:p>
      <w:pPr>
        <w:ind w:left="980" w:hanging="492"/>
        <w:spacing w:after="0" w:line="282" w:lineRule="auto"/>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termination of cash management arrangements or delays in accessing or actual loss of funds subject to cash management arrangements.</w:t>
      </w:r>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were unable to access to such sources of liquidity. There is no guarantee that the U.S. government will intervene to provide access to uninsured funds in the future in the event of the failure of other financial institutions, or that they would do so in a timely fashion. In such an event, parties with which</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880" w:h="15474" w:orient="portrait"/>
          <w:cols w:equalWidth="0" w:num="1">
            <w:col w:w="9360"/>
          </w:cols>
          <w:pgMar w:left="1240" w:top="1255" w:right="1274" w:bottom="0" w:gutter="0" w:footer="0" w:header="0"/>
          <w:type w:val="continuous"/>
        </w:sectPr>
      </w:pPr>
    </w:p>
    <w:bookmarkStart w:id="69" w:name="page70"/>
    <w:bookmarkEnd w:id="69"/>
    <w:p>
      <w:pPr>
        <w:jc w:val="both"/>
        <w:spacing w:after="0" w:line="282" w:lineRule="auto"/>
        <w:rPr>
          <w:sz w:val="20"/>
          <w:szCs w:val="20"/>
          <w:color w:val="auto"/>
        </w:rPr>
      </w:pPr>
      <w:r>
        <w:rPr>
          <w:rFonts w:ascii="Arial" w:cs="Arial" w:eastAsia="Arial" w:hAnsi="Arial"/>
          <w:sz w:val="20"/>
          <w:szCs w:val="20"/>
          <w:color w:val="auto"/>
        </w:rPr>
        <w:t>we have commercial agreements may be unable to satisfy their obligations to, or enter into new commercial arrangements with, us.</w:t>
      </w:r>
    </w:p>
    <w:p>
      <w:pPr>
        <w:spacing w:after="0" w:line="199"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color w:val="auto"/>
        </w:rPr>
        <w:t>Concerns regarding the U.S. or international financial systems could impact the availability and cost of financing, thereby making it more difficult for us to acquire financing on acceptable terms or at all.</w:t>
      </w:r>
    </w:p>
    <w:p>
      <w:pPr>
        <w:spacing w:after="0" w:line="198"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color w:val="auto"/>
        </w:rPr>
        <w:t>Any of these risks could materially impact our operating results, liquidity, financial condition and prospects.</w:t>
      </w:r>
    </w:p>
    <w:p>
      <w:pPr>
        <w:spacing w:after="0" w:line="202"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191919"/>
        </w:rPr>
        <w:t>The value of our investments is subject to significant capital markets risk related to changes in interest rates and credit spreads as well as other investment risks, which may adversely affect our operating results, liquidity, financial condition and prospects.</w:t>
      </w:r>
    </w:p>
    <w:p>
      <w:pPr>
        <w:spacing w:after="0" w:line="207"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Our results of operations are affected by the performance of our investment portfolio. Our excess cash is invested by an external investment management service provider, under the direction of our management in accordance with our investment policy. The investment policy defines constraints and guidelines that restrict the asset classes that we may invest in by type, duration, quality and value. Our investments are subject to market-wide risks, and fluctuations, as well as to risks inherent in particular securities. The failure of any of the investment risk strategies that we employ could have a material adverse effect on our operating results, liquidity, financial condition and prospects.</w:t>
      </w:r>
    </w:p>
    <w:p>
      <w:pPr>
        <w:spacing w:after="0" w:line="233"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The value of our investments is exposed to capital market risks, and our results of operations, liquidity, financial condition or cash flows could be adversely affected by realized losses, impairments and changes in unrealized positions as a result of: significant market volatility, changes in interest rates, changes in credit spreads and defaults, a lack of pricing transparency, a reduction in market liquidity, declines in equity prices, changes in national, state/provincial or local laws and the strengthening or weakening of foreign currencies against the U.S. dollar. Levels of write-down or impairment are impacted by our assessment of the intent to sell securities that have declined in value as well as actual losses as a result of defaults or deterioration in estimates of cash flows. If we reposition or realign portions of the investment portfolio and sell securities in an unrealized loss position, we will incur realized losses. Any such charge may have a material adverse effect on our results of operations and business.</w:t>
      </w:r>
    </w:p>
    <w:p>
      <w:pPr>
        <w:spacing w:after="0" w:line="246"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20"/>
          <w:szCs w:val="20"/>
          <w:b w:val="1"/>
          <w:bCs w:val="1"/>
          <w:i w:val="1"/>
          <w:iCs w:val="1"/>
          <w:color w:val="191919"/>
        </w:rPr>
        <w:t xml:space="preserve">Our ability to use net operating </w:t>
      </w:r>
      <w:r>
        <w:rPr>
          <w:rFonts w:ascii="Arial" w:cs="Arial" w:eastAsia="Arial" w:hAnsi="Arial"/>
          <w:sz w:val="20"/>
          <w:szCs w:val="20"/>
          <w:b w:val="1"/>
          <w:bCs w:val="1"/>
          <w:i w:val="1"/>
          <w:iCs w:val="1"/>
          <w:color w:val="000000"/>
        </w:rPr>
        <w:t>losses</w:t>
      </w:r>
      <w:r>
        <w:rPr>
          <w:rFonts w:ascii="Arial" w:cs="Arial" w:eastAsia="Arial" w:hAnsi="Arial"/>
          <w:sz w:val="20"/>
          <w:szCs w:val="20"/>
          <w:b w:val="1"/>
          <w:bCs w:val="1"/>
          <w:i w:val="1"/>
          <w:iCs w:val="1"/>
          <w:color w:val="191919"/>
        </w:rPr>
        <w:t xml:space="preserve"> to offset future taxable income may be subject to certain limitations.</w:t>
      </w:r>
    </w:p>
    <w:p>
      <w:pPr>
        <w:spacing w:after="0" w:line="183" w:lineRule="exact"/>
        <w:rPr>
          <w:sz w:val="20"/>
          <w:szCs w:val="20"/>
          <w:color w:val="auto"/>
        </w:rPr>
      </w:pPr>
    </w:p>
    <w:p>
      <w:pPr>
        <w:jc w:val="both"/>
        <w:ind w:firstLine="489"/>
        <w:spacing w:after="0" w:line="242" w:lineRule="auto"/>
        <w:rPr>
          <w:sz w:val="20"/>
          <w:szCs w:val="20"/>
          <w:color w:val="auto"/>
        </w:rPr>
      </w:pPr>
      <w:r>
        <w:rPr>
          <w:rFonts w:ascii="Arial" w:cs="Arial" w:eastAsia="Arial" w:hAnsi="Arial"/>
          <w:sz w:val="20"/>
          <w:szCs w:val="20"/>
          <w:color w:val="191919"/>
        </w:rPr>
        <w:t>As of December 31, 2023, we had federal net operating loss carryforwards, or NOLs, to offset future taxable income of approximately $ 9.5 million and federal tax credit carryforwards of approximately $12.4 million, which expire over a period of 8 to 14 years. Federal NOLs of $138.7 million were generated after 2017, and therefore do not expire. At December 31, 2023, we also had state NOLs of $3.3 million, which expire over a period of 18 to 20 years.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880" w:h="15474" w:orient="portrait"/>
          <w:cols w:equalWidth="0" w:num="1">
            <w:col w:w="9360"/>
          </w:cols>
          <w:pgMar w:left="1240" w:top="1255" w:right="1274" w:bottom="0" w:gutter="0" w:footer="0" w:header="0"/>
          <w:type w:val="continuous"/>
        </w:sectPr>
      </w:pPr>
    </w:p>
    <w:bookmarkStart w:id="70" w:name="page71"/>
    <w:bookmarkEnd w:id="70"/>
    <w:p>
      <w:pPr>
        <w:jc w:val="both"/>
        <w:ind w:firstLine="490"/>
        <w:spacing w:after="0" w:line="288" w:lineRule="auto"/>
        <w:rPr>
          <w:sz w:val="20"/>
          <w:szCs w:val="20"/>
          <w:color w:val="auto"/>
        </w:rPr>
      </w:pPr>
      <w:r>
        <w:rPr>
          <w:rFonts w:ascii="Arial" w:cs="Arial" w:eastAsia="Arial" w:hAnsi="Arial"/>
          <w:sz w:val="20"/>
          <w:szCs w:val="20"/>
          <w:b w:val="1"/>
          <w:bCs w:val="1"/>
          <w:i w:val="1"/>
          <w:iCs w:val="1"/>
          <w:color w:val="191919"/>
        </w:rPr>
        <w:t>Changes in tax laws could have a material adverse effect on our business, cash flows, results of operations or financial condition.</w:t>
      </w:r>
    </w:p>
    <w:p>
      <w:pPr>
        <w:spacing w:after="0" w:line="183"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191919"/>
        </w:rPr>
        <w:t xml:space="preserve">We </w:t>
      </w:r>
      <w:r>
        <w:rPr>
          <w:rFonts w:ascii="Arial" w:cs="Arial" w:eastAsia="Arial" w:hAnsi="Arial"/>
          <w:sz w:val="20"/>
          <w:szCs w:val="20"/>
          <w:color w:val="000000"/>
        </w:rPr>
        <w:t>are subject to the tax laws, regulations, and policies of several taxing jurisdictions. Changes in</w:t>
      </w:r>
      <w:r>
        <w:rPr>
          <w:rFonts w:ascii="Arial" w:cs="Arial" w:eastAsia="Arial" w:hAnsi="Arial"/>
          <w:sz w:val="20"/>
          <w:szCs w:val="20"/>
          <w:color w:val="191919"/>
        </w:rPr>
        <w:t xml:space="preserve"> </w:t>
      </w:r>
      <w:r>
        <w:rPr>
          <w:rFonts w:ascii="Arial" w:cs="Arial" w:eastAsia="Arial" w:hAnsi="Arial"/>
          <w:sz w:val="20"/>
          <w:szCs w:val="20"/>
          <w:color w:val="000000"/>
        </w:rPr>
        <w:t>tax laws, as well as other factors, could cause us to experience fluctuations in our tax obligations and effective tax rates and otherwise adversely affect our tax positions or our tax liabilities. For example, many countries and local jurisdictions and 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r>
        <w:rPr>
          <w:rFonts w:ascii="Arial" w:cs="Arial" w:eastAsia="Arial" w:hAnsi="Arial"/>
          <w:sz w:val="20"/>
          <w:szCs w:val="20"/>
          <w:color w:val="191919"/>
        </w:rPr>
        <w: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Regulatory Approval and Other Legal Compliance Matters</w:t>
      </w:r>
    </w:p>
    <w:p>
      <w:pPr>
        <w:spacing w:after="0" w:line="288"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20"/>
          <w:szCs w:val="20"/>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w:t>
      </w:r>
    </w:p>
    <w:p>
      <w:pPr>
        <w:spacing w:after="0" w:line="218"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Our drug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drug candidates, we must obtain marketing approval.</w:t>
      </w:r>
    </w:p>
    <w:p>
      <w:pPr>
        <w:spacing w:after="0" w:line="233" w:lineRule="exact"/>
        <w:rPr>
          <w:sz w:val="20"/>
          <w:szCs w:val="20"/>
          <w:color w:val="auto"/>
        </w:rPr>
      </w:pPr>
    </w:p>
    <w:p>
      <w:pPr>
        <w:jc w:val="both"/>
        <w:ind w:firstLine="490"/>
        <w:spacing w:after="0" w:line="242" w:lineRule="auto"/>
        <w:rPr>
          <w:sz w:val="20"/>
          <w:szCs w:val="20"/>
          <w:color w:val="auto"/>
        </w:rPr>
      </w:pPr>
      <w:r>
        <w:rPr>
          <w:rFonts w:ascii="Arial" w:cs="Arial" w:eastAsia="Arial" w:hAnsi="Arial"/>
          <w:sz w:val="20"/>
          <w:szCs w:val="20"/>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drug candidates, the FDA and other comparable foreign regulatory authorities may approve our drug candidates for a more limited indication or a narrower patient population than we originally requested or may impose other prescribing limitations or warnings that limit the drug product’s commercial potential. We have not submitted for, or obtained, regulatory approval for any drug candidate, and it is possible that none of our drug candidates will ever obtain regulatory approval. Further, development of our drug candidates or regulatory approval may be delayed for reasons beyond our control.</w:t>
      </w:r>
    </w:p>
    <w:p>
      <w:pPr>
        <w:spacing w:after="0" w:line="237"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20"/>
          <w:szCs w:val="20"/>
          <w:color w:val="auto"/>
        </w:rPr>
        <w:t>Applications for our drug candidates could fail to receive regulatory approval for many reasons, including the following:</w:t>
      </w:r>
    </w:p>
    <w:p>
      <w:pPr>
        <w:spacing w:after="0" w:line="53" w:lineRule="exact"/>
        <w:rPr>
          <w:sz w:val="20"/>
          <w:szCs w:val="20"/>
          <w:color w:val="auto"/>
        </w:rPr>
      </w:pPr>
    </w:p>
    <w:p>
      <w:pPr>
        <w:ind w:left="980" w:hanging="491"/>
        <w:spacing w:after="0" w:line="268" w:lineRule="auto"/>
        <w:tabs>
          <w:tab w:leader="none" w:pos="9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FDA or other comparable foreign regulatory authorities may disagree with the design, implementation or results of our clinical trials;</w:t>
      </w:r>
    </w:p>
    <w:p>
      <w:pPr>
        <w:spacing w:after="0" w:line="53" w:lineRule="exact"/>
        <w:rPr>
          <w:rFonts w:ascii="Arial" w:cs="Arial" w:eastAsia="Arial" w:hAnsi="Arial"/>
          <w:sz w:val="20"/>
          <w:szCs w:val="20"/>
          <w:color w:val="auto"/>
        </w:rPr>
      </w:pPr>
    </w:p>
    <w:p>
      <w:pPr>
        <w:jc w:val="both"/>
        <w:ind w:left="980" w:hanging="491"/>
        <w:spacing w:after="0" w:line="239" w:lineRule="auto"/>
        <w:tabs>
          <w:tab w:leader="none" w:pos="9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FDA or other comparable foreign regulatory authorities may determine that our drug candidates are not safe and effective or have undesirable or unintended side effects, toxicities or other characteristics that preclude our obtaining marketing approval or prevent or limit commercial use;</w:t>
      </w:r>
    </w:p>
    <w:p>
      <w:pPr>
        <w:sectPr>
          <w:pgSz w:w="11880" w:h="15474" w:orient="portrait"/>
          <w:cols w:equalWidth="0" w:num="1">
            <w:col w:w="9360"/>
          </w:cols>
          <w:pgMar w:left="1240" w:top="1259"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880" w:h="15474" w:orient="portrait"/>
          <w:cols w:equalWidth="0" w:num="1">
            <w:col w:w="9360"/>
          </w:cols>
          <w:pgMar w:left="1240" w:top="1259" w:right="1274" w:bottom="0" w:gutter="0" w:footer="0" w:header="0"/>
          <w:type w:val="continuous"/>
        </w:sectPr>
      </w:pPr>
    </w:p>
    <w:bookmarkStart w:id="71" w:name="page72"/>
    <w:bookmarkEnd w:id="71"/>
    <w:p>
      <w:pPr>
        <w:ind w:left="980" w:hanging="491"/>
        <w:spacing w:after="0" w:line="268" w:lineRule="auto"/>
        <w:tabs>
          <w:tab w:leader="none" w:pos="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population studied in the clinical trial may not be sufficiently broad or representative to assure efficacy and safety in the full population for which we seek approval;</w:t>
      </w:r>
    </w:p>
    <w:p>
      <w:pPr>
        <w:spacing w:after="0" w:line="52" w:lineRule="exact"/>
        <w:rPr>
          <w:rFonts w:ascii="Arial" w:cs="Arial" w:eastAsia="Arial" w:hAnsi="Arial"/>
          <w:sz w:val="20"/>
          <w:szCs w:val="20"/>
          <w:color w:val="auto"/>
        </w:rPr>
      </w:pPr>
    </w:p>
    <w:p>
      <w:pPr>
        <w:ind w:left="980" w:hanging="491"/>
        <w:spacing w:after="0" w:line="268" w:lineRule="auto"/>
        <w:tabs>
          <w:tab w:leader="none" w:pos="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FDA or other comparable foreign regulatory authorities may disagree with our interpretation of data from nonclinical studies or clinical trials;</w:t>
      </w:r>
    </w:p>
    <w:p>
      <w:pPr>
        <w:spacing w:after="0" w:line="52" w:lineRule="exact"/>
        <w:rPr>
          <w:rFonts w:ascii="Arial" w:cs="Arial" w:eastAsia="Arial" w:hAnsi="Arial"/>
          <w:sz w:val="20"/>
          <w:szCs w:val="20"/>
          <w:color w:val="auto"/>
        </w:rPr>
      </w:pPr>
    </w:p>
    <w:p>
      <w:pPr>
        <w:ind w:left="980" w:hanging="491"/>
        <w:spacing w:after="0" w:line="268" w:lineRule="auto"/>
        <w:tabs>
          <w:tab w:leader="none" w:pos="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we may be unable to demonstrate to the FDA or other comparable foreign regulatory authorities that our drug candidate’s risk-benefit ratio for its proposed indication is acceptable;</w:t>
      </w:r>
    </w:p>
    <w:p>
      <w:pPr>
        <w:spacing w:after="0" w:line="52" w:lineRule="exact"/>
        <w:rPr>
          <w:rFonts w:ascii="Arial" w:cs="Arial" w:eastAsia="Arial" w:hAnsi="Arial"/>
          <w:sz w:val="20"/>
          <w:szCs w:val="20"/>
          <w:color w:val="auto"/>
        </w:rPr>
      </w:pPr>
    </w:p>
    <w:p>
      <w:pPr>
        <w:jc w:val="both"/>
        <w:ind w:left="980" w:hanging="491"/>
        <w:spacing w:after="0" w:line="247" w:lineRule="auto"/>
        <w:tabs>
          <w:tab w:leader="none" w:pos="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73" w:lineRule="exact"/>
        <w:rPr>
          <w:rFonts w:ascii="Arial" w:cs="Arial" w:eastAsia="Arial" w:hAnsi="Arial"/>
          <w:sz w:val="20"/>
          <w:szCs w:val="20"/>
          <w:color w:val="auto"/>
        </w:rPr>
      </w:pPr>
    </w:p>
    <w:p>
      <w:pPr>
        <w:jc w:val="both"/>
        <w:ind w:left="980" w:hanging="491"/>
        <w:spacing w:after="0" w:line="235" w:lineRule="auto"/>
        <w:tabs>
          <w:tab w:leader="none" w:pos="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approval policies or regulations of the FDA or other comparable foreign regulatory authorities may significantly change in a manner rendering our clinical data insufficient for approval or resulting in delays in our regulatory approval, including, for example, legislation or agency policies that aim to reform the accelerated approval process and FDA’s increased scrutiny of post-approval confirmatory studies, which can result in withdrawal of accelerated approval if such studies fail to confirm a clinical benefit.</w:t>
      </w:r>
    </w:p>
    <w:p>
      <w:pPr>
        <w:spacing w:after="0" w:line="228" w:lineRule="exact"/>
        <w:rPr>
          <w:sz w:val="20"/>
          <w:szCs w:val="20"/>
          <w:color w:val="auto"/>
        </w:rPr>
      </w:pPr>
    </w:p>
    <w:p>
      <w:pPr>
        <w:jc w:val="both"/>
        <w:ind w:firstLine="490"/>
        <w:spacing w:after="0" w:line="231" w:lineRule="auto"/>
        <w:rPr>
          <w:sz w:val="20"/>
          <w:szCs w:val="20"/>
          <w:color w:val="auto"/>
        </w:rPr>
      </w:pPr>
      <w:r>
        <w:rPr>
          <w:rFonts w:ascii="Arial" w:cs="Arial" w:eastAsia="Arial" w:hAnsi="Arial"/>
          <w:sz w:val="20"/>
          <w:szCs w:val="20"/>
          <w:color w:val="auto"/>
        </w:rPr>
        <w:t>This lengthy approval process, as well as the unpredictability of the results of clinical trials, may result in our failing to obtain regulatory approval to market any of our drug candidates, which would significantly harm our business, results of operations and prospects. In addition, even if we obtain approval of our drug candidates, regulatory authorities may approve any of our drug candidates for fewer or more limited indications than we request, may impose significant limitations in the form of narrow indications, warnings, or a REMS. Regulatory authorities may not approve the price we intend to charge for drug products we may develop,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seriously harm our business.</w:t>
      </w:r>
    </w:p>
    <w:p>
      <w:pPr>
        <w:spacing w:after="0" w:line="232"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drug candidates, which would significantly harm our business, results of operations and prospects.</w:t>
      </w:r>
    </w:p>
    <w:p>
      <w:pPr>
        <w:spacing w:after="0" w:line="231" w:lineRule="exact"/>
        <w:rPr>
          <w:sz w:val="20"/>
          <w:szCs w:val="20"/>
          <w:color w:val="auto"/>
        </w:rPr>
      </w:pPr>
    </w:p>
    <w:p>
      <w:pPr>
        <w:jc w:val="both"/>
        <w:ind w:firstLine="490"/>
        <w:spacing w:after="0" w:line="238" w:lineRule="auto"/>
        <w:rPr>
          <w:sz w:val="20"/>
          <w:szCs w:val="20"/>
          <w:color w:val="auto"/>
        </w:rPr>
      </w:pPr>
      <w:r>
        <w:rPr>
          <w:rFonts w:ascii="Arial" w:cs="Arial" w:eastAsia="Arial" w:hAnsi="Arial"/>
          <w:sz w:val="20"/>
          <w:szCs w:val="20"/>
          <w:b w:val="1"/>
          <w:bCs w:val="1"/>
          <w:i w:val="1"/>
          <w:iCs w:val="1"/>
          <w:color w:val="auto"/>
        </w:rPr>
        <w:t>Our current or future drug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224" w:lineRule="exact"/>
        <w:rPr>
          <w:sz w:val="20"/>
          <w:szCs w:val="20"/>
          <w:color w:val="auto"/>
        </w:rPr>
      </w:pPr>
    </w:p>
    <w:p>
      <w:pPr>
        <w:jc w:val="both"/>
        <w:ind w:firstLine="496"/>
        <w:spacing w:after="0" w:line="246" w:lineRule="auto"/>
        <w:rPr>
          <w:sz w:val="20"/>
          <w:szCs w:val="20"/>
          <w:color w:val="auto"/>
        </w:rPr>
      </w:pPr>
      <w:r>
        <w:rPr>
          <w:rFonts w:ascii="Arial" w:cs="Arial" w:eastAsia="Arial" w:hAnsi="Arial"/>
          <w:sz w:val="19"/>
          <w:szCs w:val="19"/>
          <w:color w:val="auto"/>
        </w:rPr>
        <w:t>As is the case with pharmaceuticals generally, it is likely that there may be side effects and adverse events associated with our drug candidates’ use. Results of our clinical trials could reveal a high and unacceptable severity and prevalence of side effects or unexpected characteristics. Undesirable side effects caused by our drug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226" w:lineRule="exact"/>
        <w:rPr>
          <w:sz w:val="20"/>
          <w:szCs w:val="20"/>
          <w:color w:val="auto"/>
        </w:rPr>
      </w:pPr>
    </w:p>
    <w:p>
      <w:pPr>
        <w:jc w:val="both"/>
        <w:ind w:firstLine="496"/>
        <w:spacing w:after="0" w:line="247" w:lineRule="auto"/>
        <w:rPr>
          <w:sz w:val="20"/>
          <w:szCs w:val="20"/>
          <w:color w:val="auto"/>
        </w:rPr>
      </w:pPr>
      <w:r>
        <w:rPr>
          <w:rFonts w:ascii="Arial" w:cs="Arial" w:eastAsia="Arial" w:hAnsi="Arial"/>
          <w:sz w:val="19"/>
          <w:szCs w:val="19"/>
          <w:color w:val="auto"/>
        </w:rPr>
        <w:t>If our drug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w:t>
      </w:r>
    </w:p>
    <w:p>
      <w:pPr>
        <w:sectPr>
          <w:pgSz w:w="11880" w:h="15474" w:orient="portrait"/>
          <w:cols w:equalWidth="0" w:num="1">
            <w:col w:w="9360"/>
          </w:cols>
          <w:pgMar w:left="1240" w:top="1258"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880" w:h="15474" w:orient="portrait"/>
          <w:cols w:equalWidth="0" w:num="1">
            <w:col w:w="9360"/>
          </w:cols>
          <w:pgMar w:left="1240" w:top="1258" w:right="1274" w:bottom="0" w:gutter="0" w:footer="0" w:header="0"/>
          <w:type w:val="continuous"/>
        </w:sectPr>
      </w:pPr>
    </w:p>
    <w:bookmarkStart w:id="72" w:name="page73"/>
    <w:bookmarkEnd w:id="72"/>
    <w:p>
      <w:pPr>
        <w:jc w:val="both"/>
        <w:spacing w:after="0" w:line="268" w:lineRule="auto"/>
        <w:rPr>
          <w:sz w:val="20"/>
          <w:szCs w:val="20"/>
          <w:color w:val="auto"/>
        </w:rPr>
      </w:pPr>
      <w:r>
        <w:rPr>
          <w:rFonts w:ascii="Arial" w:cs="Arial" w:eastAsia="Arial" w:hAnsi="Arial"/>
          <w:sz w:val="20"/>
          <w:szCs w:val="20"/>
          <w:color w:val="auto"/>
        </w:rPr>
        <w:t>us from achieving or maintaining market acceptance of the affected drug candidate and may harm our business, financial condition and prospects significantly.</w:t>
      </w:r>
    </w:p>
    <w:p>
      <w:pPr>
        <w:spacing w:after="0" w:line="197" w:lineRule="exact"/>
        <w:rPr>
          <w:sz w:val="20"/>
          <w:szCs w:val="20"/>
          <w:color w:val="auto"/>
        </w:rPr>
      </w:pPr>
    </w:p>
    <w:p>
      <w:pPr>
        <w:jc w:val="both"/>
        <w:ind w:firstLine="496"/>
        <w:spacing w:after="0" w:line="220" w:lineRule="auto"/>
        <w:rPr>
          <w:sz w:val="20"/>
          <w:szCs w:val="20"/>
          <w:color w:val="auto"/>
        </w:rPr>
      </w:pPr>
      <w:r>
        <w:rPr>
          <w:rFonts w:ascii="Arial" w:cs="Arial" w:eastAsia="Arial" w:hAnsi="Arial"/>
          <w:sz w:val="20"/>
          <w:szCs w:val="20"/>
          <w:color w:val="auto"/>
        </w:rPr>
        <w:t>Patients in our clinical trials may in the future suffer significant adverse events or other side effects not observed in our nonclinical studies or previous clinical trials. Some of our drug candidates may be used as chronic therapies or be used in populations for which safety concerns may be particularly scrutinized by regulatory agencies. In addition, if our drug candidates are used in combination with other therapies, our drug candidates may exacerbate adverse events associated with the therapy. Patients treated with our drug candidates may also be undergoing separate treatments which can cause side effects or adverse events that are unrelated to our drug candidate, but may still impact the success of our clinical trials, including, for example, by interfering with the effects of our drug candidates. A pre-specified group analysis of patients in our ACT-AD clinical trial identified a potential diminished effect of the combination of standard-of-care (AChEIs) and fosgonimeton. While more clinical studies are needed to determine the safety and efficacy of fosgonimeton, to the extent standard-of-care AChEIs impact the effects of fosgonimeton and if a significant portion of the patient population has already been treated with AChEIs, the potential target patient population or the indication we seek for fosgonimeton may be significantly smaller than we had anticipated, which could materially harm our business and prospects.</w:t>
      </w:r>
    </w:p>
    <w:p>
      <w:pPr>
        <w:spacing w:after="0" w:line="231" w:lineRule="exact"/>
        <w:rPr>
          <w:sz w:val="20"/>
          <w:szCs w:val="20"/>
          <w:color w:val="auto"/>
        </w:rPr>
      </w:pPr>
    </w:p>
    <w:p>
      <w:pPr>
        <w:jc w:val="both"/>
        <w:ind w:firstLine="496"/>
        <w:spacing w:after="0" w:line="221" w:lineRule="auto"/>
        <w:rPr>
          <w:sz w:val="20"/>
          <w:szCs w:val="20"/>
          <w:color w:val="auto"/>
        </w:rPr>
      </w:pPr>
      <w:r>
        <w:rPr>
          <w:rFonts w:ascii="Arial" w:cs="Arial" w:eastAsia="Arial" w:hAnsi="Arial"/>
          <w:sz w:val="20"/>
          <w:szCs w:val="20"/>
          <w:color w:val="auto"/>
        </w:rPr>
        <w:t>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drug candidate altogether. We, the FDA other comparable regulatory authorities or an IRB may suspend clinical trials of a drug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drug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223" w:lineRule="exact"/>
        <w:rPr>
          <w:sz w:val="20"/>
          <w:szCs w:val="20"/>
          <w:color w:val="auto"/>
        </w:rPr>
      </w:pPr>
    </w:p>
    <w:p>
      <w:pPr>
        <w:jc w:val="both"/>
        <w:ind w:firstLine="496"/>
        <w:spacing w:after="0" w:line="225" w:lineRule="auto"/>
        <w:rPr>
          <w:sz w:val="20"/>
          <w:szCs w:val="20"/>
          <w:color w:val="auto"/>
        </w:rPr>
      </w:pPr>
      <w:r>
        <w:rPr>
          <w:rFonts w:ascii="Arial" w:cs="Arial" w:eastAsia="Arial" w:hAnsi="Arial"/>
          <w:sz w:val="20"/>
          <w:szCs w:val="20"/>
          <w:color w:val="auto"/>
        </w:rPr>
        <w:t>Further, if any of our drug candidates obtains marketing approval, toxicities associated with such drug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drug product or the withdrawal of the drug product from the market. We cannot predict whether our drug candidates will cause toxicities in humans that would preclude or lead to the revocation of regulatory approval based on nonclinical studies or early-stage clinical trials.</w:t>
      </w:r>
    </w:p>
    <w:p>
      <w:pPr>
        <w:spacing w:after="0" w:line="243"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207"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Obtaining and maintaining regulatory approval of our drug candidates in one jurisdiction does not guarantee that we will be able to obtain or maintain regulatory approval in any other jurisdiction. For example, even if the FDA grants marketing approval of a drug candidate, comparable regulatory authorities in foreign jurisdictions must also approve the manufacturing, marketing and promotion and reimbursement of the drug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drug products is also subject to approval.</w:t>
      </w:r>
    </w:p>
    <w:p>
      <w:pPr>
        <w:sectPr>
          <w:pgSz w:w="11880" w:h="15474" w:orient="portrait"/>
          <w:cols w:equalWidth="0" w:num="1">
            <w:col w:w="9360"/>
          </w:cols>
          <w:pgMar w:left="1240" w:top="1243"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880" w:h="15474" w:orient="portrait"/>
          <w:cols w:equalWidth="0" w:num="1">
            <w:col w:w="9360"/>
          </w:cols>
          <w:pgMar w:left="1240" w:top="1243" w:right="1274" w:bottom="0" w:gutter="0" w:footer="0" w:header="0"/>
          <w:type w:val="continuous"/>
        </w:sectPr>
      </w:pPr>
    </w:p>
    <w:bookmarkStart w:id="73" w:name="page74"/>
    <w:bookmarkEnd w:id="73"/>
    <w:p>
      <w:pPr>
        <w:jc w:val="both"/>
        <w:ind w:firstLine="490"/>
        <w:spacing w:after="0" w:line="246" w:lineRule="auto"/>
        <w:rPr>
          <w:sz w:val="20"/>
          <w:szCs w:val="20"/>
          <w:color w:val="auto"/>
        </w:rPr>
      </w:pPr>
      <w:r>
        <w:rPr>
          <w:rFonts w:ascii="Arial" w:cs="Arial" w:eastAsia="Arial" w:hAnsi="Arial"/>
          <w:sz w:val="20"/>
          <w:szCs w:val="20"/>
          <w:color w:val="auto"/>
        </w:rPr>
        <w:t>We may also submit marketing applications in other countries. Regulatory authorities in jurisdictions outside of the United States have requirements for approval of drug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drug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drug candidates will be harmed.</w:t>
      </w:r>
    </w:p>
    <w:p>
      <w:pPr>
        <w:spacing w:after="0" w:line="237"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20"/>
          <w:szCs w:val="20"/>
          <w:b w:val="1"/>
          <w:bCs w:val="1"/>
          <w:i w:val="1"/>
          <w:iCs w:val="1"/>
          <w:color w:val="auto"/>
        </w:rPr>
        <w:t>Even if we receive regulatory approval of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p>
    <w:p>
      <w:pPr>
        <w:spacing w:after="0" w:line="215"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Any regulatory approvals that we receive for our drug candidates will require surveillance to monitor the safety and efficacy of the drug candidate. The FDA may also require a REMS in order to approve our drug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continued compliance with cGMP regulations, GLP regulations and GCP regulations for any clinical trials that we conduct post-approval. Later discovery of previously unknown problems with our drug candidates, including adverse events of unanticipated severity or frequency, or with our third-party manufacturers or manufacturing processes, or failure to comply with regulatory requirements, may result in, among other things:</w:t>
      </w:r>
    </w:p>
    <w:p>
      <w:pPr>
        <w:spacing w:after="0" w:line="97" w:lineRule="exact"/>
        <w:rPr>
          <w:sz w:val="20"/>
          <w:szCs w:val="20"/>
          <w:color w:val="auto"/>
        </w:rPr>
      </w:pPr>
    </w:p>
    <w:p>
      <w:pPr>
        <w:ind w:left="980" w:hanging="491"/>
        <w:spacing w:after="0" w:line="282"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restrictions on the marketing or manufacturing of our drug candidates, withdrawal of the drug product from the market or voluntary or mandatory product recalls;</w:t>
      </w:r>
    </w:p>
    <w:p>
      <w:pPr>
        <w:spacing w:after="0" w:line="5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manufacturing delays and supply disruptions where regulatory inspections identify observations of noncompliance requiring remediation;</w:t>
      </w:r>
    </w:p>
    <w:p>
      <w:pPr>
        <w:spacing w:after="0" w:line="51"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revisions to the labeling, including limitation on approved uses or the addition of additional warnings, contraindications or other safety information, including boxed warnings;</w:t>
      </w:r>
    </w:p>
    <w:p>
      <w:pPr>
        <w:spacing w:after="0" w:line="50" w:lineRule="exact"/>
        <w:rPr>
          <w:rFonts w:ascii="Arial" w:cs="Arial" w:eastAsia="Arial" w:hAnsi="Arial"/>
          <w:sz w:val="20"/>
          <w:szCs w:val="20"/>
          <w:color w:val="auto"/>
        </w:rPr>
      </w:pPr>
    </w:p>
    <w:p>
      <w:pPr>
        <w:ind w:left="980" w:hanging="491"/>
        <w:spacing w:after="0"/>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imposition of a REMS, which may include distribution or use restrictions;</w:t>
      </w:r>
    </w:p>
    <w:p>
      <w:pPr>
        <w:spacing w:after="0" w:line="133"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requirements to conduct additional post-market clinical trials to assess the safety of the drug product;</w:t>
      </w:r>
    </w:p>
    <w:p>
      <w:pPr>
        <w:spacing w:after="0" w:line="51" w:lineRule="exact"/>
        <w:rPr>
          <w:rFonts w:ascii="Arial" w:cs="Arial" w:eastAsia="Arial" w:hAnsi="Arial"/>
          <w:sz w:val="20"/>
          <w:szCs w:val="20"/>
          <w:color w:val="auto"/>
        </w:rPr>
      </w:pPr>
    </w:p>
    <w:p>
      <w:pPr>
        <w:ind w:left="980" w:hanging="492"/>
        <w:spacing w:after="0"/>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fines, warning letters or holds on clinical trials;</w:t>
      </w:r>
    </w:p>
    <w:p>
      <w:pPr>
        <w:spacing w:after="0" w:line="133" w:lineRule="exact"/>
        <w:rPr>
          <w:rFonts w:ascii="Arial" w:cs="Arial" w:eastAsia="Arial" w:hAnsi="Arial"/>
          <w:sz w:val="20"/>
          <w:szCs w:val="20"/>
          <w:color w:val="auto"/>
        </w:rPr>
      </w:pPr>
    </w:p>
    <w:p>
      <w:pPr>
        <w:ind w:left="980" w:hanging="492"/>
        <w:spacing w:after="0" w:line="282"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refusal by the FDA to approve pending applications or supplements to approved applications filed by us or suspension or revocation of approvals;</w:t>
      </w:r>
    </w:p>
    <w:p>
      <w:pPr>
        <w:spacing w:after="0" w:line="52" w:lineRule="exact"/>
        <w:rPr>
          <w:rFonts w:ascii="Arial" w:cs="Arial" w:eastAsia="Arial" w:hAnsi="Arial"/>
          <w:sz w:val="20"/>
          <w:szCs w:val="20"/>
          <w:color w:val="auto"/>
        </w:rPr>
      </w:pPr>
    </w:p>
    <w:p>
      <w:pPr>
        <w:ind w:left="980" w:hanging="492"/>
        <w:spacing w:after="0" w:line="283"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product seizure or detention, or refusal to permit the import or export of our drug candidates; and</w:t>
      </w:r>
    </w:p>
    <w:p>
      <w:pPr>
        <w:spacing w:after="0" w:line="51" w:lineRule="exact"/>
        <w:rPr>
          <w:rFonts w:ascii="Arial" w:cs="Arial" w:eastAsia="Arial" w:hAnsi="Arial"/>
          <w:sz w:val="20"/>
          <w:szCs w:val="20"/>
          <w:color w:val="auto"/>
        </w:rPr>
      </w:pPr>
    </w:p>
    <w:p>
      <w:pPr>
        <w:ind w:left="980" w:hanging="492"/>
        <w:spacing w:after="0"/>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injunctions or the imposition of civil or criminal penalties.</w:t>
      </w:r>
    </w:p>
    <w:p>
      <w:pPr>
        <w:spacing w:after="0" w:line="280"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19"/>
          <w:szCs w:val="19"/>
          <w:color w:val="auto"/>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880" w:h="15474" w:orient="portrait"/>
          <w:cols w:equalWidth="0" w:num="1">
            <w:col w:w="9360"/>
          </w:cols>
          <w:pgMar w:left="1240" w:top="1255" w:right="1274" w:bottom="0" w:gutter="0" w:footer="0" w:header="0"/>
          <w:type w:val="continuous"/>
        </w:sectPr>
      </w:pPr>
    </w:p>
    <w:bookmarkStart w:id="74" w:name="page75"/>
    <w:bookmarkEnd w:id="74"/>
    <w:p>
      <w:pPr>
        <w:jc w:val="both"/>
        <w:spacing w:after="0" w:line="244" w:lineRule="auto"/>
        <w:rPr>
          <w:sz w:val="20"/>
          <w:szCs w:val="20"/>
          <w:color w:val="auto"/>
        </w:rPr>
      </w:pPr>
      <w:r>
        <w:rPr>
          <w:rFonts w:ascii="Arial" w:cs="Arial" w:eastAsia="Arial" w:hAnsi="Arial"/>
          <w:sz w:val="20"/>
          <w:szCs w:val="20"/>
          <w:color w:val="auto"/>
        </w:rPr>
        <w:t>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 In addition, if the Supreme Court reverses or curtails the Chevron doctrine, which gives deference to regulatory agencies in litigation against FDA and other agencies, more companies may bring lawsuits against FDA to challenge longstanding decisions and policies of FDA, which could undermine FDA’s authority, lead to uncertainties in the industry, and disrupt FDA’s normal operations, which could delay FDA’s review of our marketing applications.</w:t>
      </w:r>
    </w:p>
    <w:p>
      <w:pPr>
        <w:spacing w:after="0" w:line="241"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drug candidates and generate revenue and could require us to expend significant time and resources in response and could generate negative publicity.</w:t>
      </w:r>
    </w:p>
    <w:p>
      <w:pPr>
        <w:spacing w:after="0" w:line="238" w:lineRule="exact"/>
        <w:rPr>
          <w:sz w:val="20"/>
          <w:szCs w:val="20"/>
          <w:color w:val="auto"/>
        </w:rPr>
      </w:pPr>
    </w:p>
    <w:p>
      <w:pPr>
        <w:jc w:val="both"/>
        <w:ind w:firstLine="490"/>
        <w:spacing w:after="0" w:line="249" w:lineRule="auto"/>
        <w:rPr>
          <w:sz w:val="20"/>
          <w:szCs w:val="20"/>
          <w:color w:val="auto"/>
        </w:rPr>
      </w:pPr>
      <w:r>
        <w:rPr>
          <w:rFonts w:ascii="Arial" w:cs="Arial" w:eastAsia="Arial" w:hAnsi="Arial"/>
          <w:sz w:val="20"/>
          <w:szCs w:val="20"/>
          <w:b w:val="1"/>
          <w:bCs w:val="1"/>
          <w:i w:val="1"/>
          <w:iCs w:val="1"/>
          <w:color w:val="auto"/>
        </w:rPr>
        <w:t>Disruptions at the FDA,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224"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19" w:lineRule="exact"/>
        <w:rPr>
          <w:sz w:val="20"/>
          <w:szCs w:val="20"/>
          <w:color w:val="auto"/>
        </w:rPr>
      </w:pPr>
    </w:p>
    <w:p>
      <w:pPr>
        <w:jc w:val="both"/>
        <w:ind w:firstLine="496"/>
        <w:spacing w:after="0" w:line="224" w:lineRule="auto"/>
        <w:rPr>
          <w:sz w:val="20"/>
          <w:szCs w:val="20"/>
          <w:color w:val="auto"/>
        </w:rPr>
      </w:pPr>
      <w:r>
        <w:rPr>
          <w:rFonts w:ascii="Arial" w:cs="Arial" w:eastAsia="Arial" w:hAnsi="Arial"/>
          <w:sz w:val="20"/>
          <w:szCs w:val="20"/>
          <w:color w:val="auto"/>
        </w:rPr>
        <w:t>To the extent the FDA’s normal operations are disrupted or delayed, for example due to travel restrictions, public health or geopolitical issues, staffing shortages, or lack of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28" w:lineRule="exact"/>
        <w:rPr>
          <w:sz w:val="20"/>
          <w:szCs w:val="20"/>
          <w:color w:val="auto"/>
        </w:rPr>
      </w:pPr>
    </w:p>
    <w:p>
      <w:pPr>
        <w:jc w:val="both"/>
        <w:ind w:firstLine="496"/>
        <w:spacing w:after="0" w:line="226" w:lineRule="auto"/>
        <w:rPr>
          <w:sz w:val="20"/>
          <w:szCs w:val="20"/>
          <w:color w:val="auto"/>
        </w:rPr>
      </w:pPr>
      <w:r>
        <w:rPr>
          <w:rFonts w:ascii="Arial" w:cs="Arial" w:eastAsia="Arial" w:hAnsi="Arial"/>
          <w:sz w:val="20"/>
          <w:szCs w:val="20"/>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213" w:lineRule="exact"/>
        <w:rPr>
          <w:sz w:val="20"/>
          <w:szCs w:val="20"/>
          <w:color w:val="auto"/>
        </w:rPr>
      </w:pPr>
    </w:p>
    <w:p>
      <w:pPr>
        <w:jc w:val="both"/>
        <w:ind w:firstLine="496"/>
        <w:spacing w:after="0" w:line="246" w:lineRule="auto"/>
        <w:rPr>
          <w:sz w:val="20"/>
          <w:szCs w:val="20"/>
          <w:color w:val="auto"/>
        </w:rPr>
      </w:pPr>
      <w:r>
        <w:rPr>
          <w:rFonts w:ascii="Arial" w:cs="Arial" w:eastAsia="Arial" w:hAnsi="Arial"/>
          <w:sz w:val="19"/>
          <w:szCs w:val="19"/>
          <w:color w:val="auto"/>
        </w:rPr>
        <w:t>We may seek an accelerated approval for one or more of our drug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880" w:h="15474" w:orient="portrait"/>
          <w:cols w:equalWidth="0" w:num="1">
            <w:col w:w="9360"/>
          </w:cols>
          <w:pgMar w:left="1240" w:top="1255" w:right="1274" w:bottom="0" w:gutter="0" w:footer="0" w:header="0"/>
          <w:type w:val="continuous"/>
        </w:sectPr>
      </w:pPr>
    </w:p>
    <w:bookmarkStart w:id="75" w:name="page76"/>
    <w:bookmarkEnd w:id="75"/>
    <w:p>
      <w:pPr>
        <w:jc w:val="both"/>
        <w:spacing w:after="0" w:line="221" w:lineRule="auto"/>
        <w:rPr>
          <w:sz w:val="20"/>
          <w:szCs w:val="20"/>
          <w:color w:val="auto"/>
        </w:rPr>
      </w:pPr>
      <w:r>
        <w:rPr>
          <w:rFonts w:ascii="Arial" w:cs="Arial" w:eastAsia="Arial" w:hAnsi="Arial"/>
          <w:sz w:val="20"/>
          <w:szCs w:val="20"/>
          <w:color w:val="auto"/>
        </w:rPr>
        <w:t>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237"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Prior to seeking accelerated approval for any of our drug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drug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drug candidate would result in a longer time period to commercialization of such drug candidate, could increase the cost of development of such drug candidate and could harm our competitive position in the marketplace.</w:t>
      </w:r>
    </w:p>
    <w:p>
      <w:pPr>
        <w:spacing w:after="0" w:line="238"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On December 29, 2022, the Consolidated Appropriations Act, 2023, including the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It is unclear how these proposals, future policy changes, and changes in FDA regulation will impact new drug applications in the treatment of AD and our clinical development programs.</w:t>
      </w:r>
    </w:p>
    <w:p>
      <w:pPr>
        <w:spacing w:after="0" w:line="245" w:lineRule="exact"/>
        <w:rPr>
          <w:sz w:val="20"/>
          <w:szCs w:val="20"/>
          <w:color w:val="auto"/>
        </w:rPr>
      </w:pPr>
    </w:p>
    <w:p>
      <w:pPr>
        <w:jc w:val="both"/>
        <w:ind w:firstLine="490"/>
        <w:spacing w:after="0" w:line="265" w:lineRule="auto"/>
        <w:rPr>
          <w:sz w:val="20"/>
          <w:szCs w:val="20"/>
          <w:color w:val="auto"/>
        </w:rPr>
      </w:pPr>
      <w:r>
        <w:rPr>
          <w:rFonts w:ascii="Arial" w:cs="Arial" w:eastAsia="Arial" w:hAnsi="Arial"/>
          <w:sz w:val="20"/>
          <w:szCs w:val="20"/>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205"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auto"/>
        </w:rPr>
        <w:t>The United States and many foreign jurisdictions have enacted or proposed legislative and regulatory changes affecting the healthcare system that could prevent or delay marketing approval of our drug candidates or any future drug candidates, restrict or regulate post-approval activities and affect our ability to profitably sell a drug product for which we obtain marketing approval. Changes in regulations, statutes or the interpretation of existing regulations could impact our business in the future by requiring, for example:</w:t>
      </w:r>
    </w:p>
    <w:p>
      <w:pPr>
        <w:spacing w:after="0" w:line="68" w:lineRule="exact"/>
        <w:rPr>
          <w:sz w:val="20"/>
          <w:szCs w:val="20"/>
          <w:color w:val="auto"/>
        </w:rPr>
      </w:pPr>
    </w:p>
    <w:p>
      <w:pPr>
        <w:ind w:left="980" w:hanging="491"/>
        <w:spacing w:after="0"/>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changes to our manufacturing arrangements;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additions or modifications to drug product labeling;</w:t>
      </w:r>
    </w:p>
    <w:p>
      <w:pPr>
        <w:sectPr>
          <w:pgSz w:w="11880" w:h="15474" w:orient="portrait"/>
          <w:cols w:equalWidth="0" w:num="1">
            <w:col w:w="9360"/>
          </w:cols>
          <w:pgMar w:left="1240" w:top="123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880" w:h="15474" w:orient="portrait"/>
          <w:cols w:equalWidth="0" w:num="1">
            <w:col w:w="9360"/>
          </w:cols>
          <w:pgMar w:left="1240" w:top="1235" w:right="1274" w:bottom="0" w:gutter="0" w:footer="0" w:header="0"/>
          <w:type w:val="continuous"/>
        </w:sectPr>
      </w:pPr>
    </w:p>
    <w:bookmarkStart w:id="76" w:name="page77"/>
    <w:bookmarkEnd w:id="76"/>
    <w:p>
      <w:pPr>
        <w:ind w:left="980" w:hanging="491"/>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recall or discontinuation of our drug products; or</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additional record-keeping requirements. If any such changes were to be imposed, they could adversely affect the operation of our business.</w:t>
      </w:r>
    </w:p>
    <w:p>
      <w:pPr>
        <w:spacing w:after="0" w:line="188" w:lineRule="exact"/>
        <w:rPr>
          <w:sz w:val="20"/>
          <w:szCs w:val="20"/>
          <w:color w:val="auto"/>
        </w:rPr>
      </w:pPr>
    </w:p>
    <w:p>
      <w:pPr>
        <w:jc w:val="both"/>
        <w:ind w:firstLine="496"/>
        <w:spacing w:after="0" w:line="235" w:lineRule="auto"/>
        <w:rPr>
          <w:sz w:val="20"/>
          <w:szCs w:val="20"/>
          <w:color w:val="auto"/>
        </w:rPr>
      </w:pPr>
      <w:r>
        <w:rPr>
          <w:rFonts w:ascii="Arial" w:cs="Arial" w:eastAsia="Arial" w:hAnsi="Arial"/>
          <w:sz w:val="19"/>
          <w:szCs w:val="19"/>
          <w:color w:val="auto"/>
        </w:rPr>
        <w:t>In the United States, there have been and continue to be a number of legislative initiatives to contain healthcare costs. For example, in March 2010, the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 sale discounts off negotiated prices of applicable brand drugs to eligible beneficiaries during their coverage gap period, as a condition for the manufacturer’s outpatient drugs to be covered under Medicare Part D. In December 2020, the U.S. Centers for Medicare &amp; Medicaid Services, or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spacing w:after="0" w:line="201"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Further,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additional challenges and healthcare reform measures of the Biden administration will impact the ACA. Complying with any new legislation and regulatory requirements could be time-intensive and expensive, resulting in a material adverse effect on our business.</w:t>
      </w:r>
    </w:p>
    <w:p>
      <w:pPr>
        <w:spacing w:after="0" w:line="238"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w:t>
      </w:r>
    </w:p>
    <w:p>
      <w:pPr>
        <w:sectPr>
          <w:pgSz w:w="11880" w:h="15474" w:orient="portrait"/>
          <w:cols w:equalWidth="0" w:num="1">
            <w:col w:w="9360"/>
          </w:cols>
          <w:pgMar w:left="1240" w:top="1268" w:right="1274"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880" w:h="15474" w:orient="portrait"/>
          <w:cols w:equalWidth="0" w:num="1">
            <w:col w:w="9360"/>
          </w:cols>
          <w:pgMar w:left="1240" w:top="1268" w:right="1274" w:bottom="0" w:gutter="0" w:footer="0" w:header="0"/>
          <w:type w:val="continuous"/>
        </w:sectPr>
      </w:pPr>
    </w:p>
    <w:bookmarkStart w:id="77" w:name="page78"/>
    <w:bookmarkEnd w:id="77"/>
    <w:p>
      <w:pPr>
        <w:jc w:val="both"/>
        <w:spacing w:after="0" w:line="250" w:lineRule="auto"/>
        <w:rPr>
          <w:sz w:val="20"/>
          <w:szCs w:val="20"/>
          <w:color w:val="auto"/>
        </w:rPr>
      </w:pPr>
      <w:r>
        <w:rPr>
          <w:rFonts w:ascii="Arial" w:cs="Arial" w:eastAsia="Arial" w:hAnsi="Arial"/>
          <w:sz w:val="20"/>
          <w:szCs w:val="20"/>
          <w:color w:val="auto"/>
        </w:rPr>
        <w:t>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2032 with the exception of a temporary suspension implemented under various COVID-19 relief legislation.</w:t>
      </w:r>
    </w:p>
    <w:p>
      <w:pPr>
        <w:spacing w:after="0" w:line="232" w:lineRule="exact"/>
        <w:rPr>
          <w:sz w:val="20"/>
          <w:szCs w:val="20"/>
          <w:color w:val="auto"/>
        </w:rPr>
      </w:pPr>
    </w:p>
    <w:p>
      <w:pPr>
        <w:jc w:val="both"/>
        <w:ind w:firstLine="490"/>
        <w:spacing w:after="0" w:line="241" w:lineRule="auto"/>
        <w:rPr>
          <w:sz w:val="20"/>
          <w:szCs w:val="20"/>
          <w:color w:val="auto"/>
        </w:rPr>
      </w:pPr>
      <w:r>
        <w:rPr>
          <w:rFonts w:ascii="Arial" w:cs="Arial" w:eastAsia="Arial" w:hAnsi="Arial"/>
          <w:sz w:val="20"/>
          <w:szCs w:val="20"/>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directing the U.S. Department of Health and Human Services, or HHS, to submit a report within ninety (90) days on how the Center for Medicare and Medicaid Innovation can be further leveraged to test new models for lowering drug costs for Medicare and Medicaid beneficiaries.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IRA are unconstitutional. The impact of these judicial challenges as well as other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drug candidates if approved.</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880" w:h="15474" w:orient="portrait"/>
          <w:cols w:equalWidth="0" w:num="1">
            <w:col w:w="9360"/>
          </w:cols>
          <w:pgMar w:left="1240" w:top="1255" w:right="1274" w:bottom="0" w:gutter="0" w:footer="0" w:header="0"/>
          <w:type w:val="continuous"/>
        </w:sectPr>
      </w:pPr>
    </w:p>
    <w:bookmarkStart w:id="78" w:name="page79"/>
    <w:bookmarkEnd w:id="78"/>
    <w:p>
      <w:pPr>
        <w:jc w:val="both"/>
        <w:ind w:firstLine="490"/>
        <w:spacing w:after="0" w:line="257" w:lineRule="auto"/>
        <w:rPr>
          <w:sz w:val="20"/>
          <w:szCs w:val="20"/>
          <w:color w:val="auto"/>
        </w:rPr>
      </w:pPr>
      <w:r>
        <w:rPr>
          <w:rFonts w:ascii="Arial" w:cs="Arial" w:eastAsia="Arial" w:hAnsi="Arial"/>
          <w:sz w:val="19"/>
          <w:szCs w:val="19"/>
          <w:color w:val="auto"/>
        </w:rPr>
        <w:t>In April 2022, CMS released a finalized national policy for coverage of aducanumab, or Aduhelm, and any future monoclonal antibodies directed against amyloid approved by the FDA with an indication for use in treating AD. According to the two-part NCD, Medicare will cover monoclonal antibodies that target amyloid (or plaque) for the treatment of AD that receive traditional approval from the FDA when furnished in accordance with the coverage criteria specified under coverage with evidence development. CMS will also provide enhanced access and coverage for Medicare patients participating in CMS-approved studies, such as data collection through routine clinical practice or registries. Additionally, for drugs that FDA has not determined to have shown a clinical benefit or that received an accelerated approval, Medicare will provide coverage in FDA or NIH approved clinical trials. In June 2023, CMS announced that Medicare will cover new Alzheimer’s drugs with traditional FDA approval when a physician and clinical team participate in CMS’ registry to collect evidence about how these drugs work in the real world. 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w:t>
      </w:r>
    </w:p>
    <w:p>
      <w:pPr>
        <w:spacing w:after="0" w:line="224"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9"/>
          <w:szCs w:val="19"/>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drug products, once approved, or put pressure on our drug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drug products. Further, FDA recently authorized the state of Florida to import certain prescription drugs from Canada for a period of two years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spacing w:after="0" w:line="228"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233"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or impose price controls may adversely affect:</w:t>
      </w:r>
    </w:p>
    <w:p>
      <w:pPr>
        <w:spacing w:after="0" w:line="88" w:lineRule="exact"/>
        <w:rPr>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demand for our drug candidates, if we obtain regulatory approval;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our ability to set a price that we believe is fair for our drug products;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our ability to obtain coverage and reimbursement approval for a drug product;</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our ability to generate revenue and achieve or maintain profitability;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level of taxes that we are required to pay;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availability of capital.</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880" w:h="15474" w:orient="portrait"/>
          <w:cols w:equalWidth="0" w:num="1">
            <w:col w:w="9360"/>
          </w:cols>
          <w:pgMar w:left="1240" w:top="1255" w:right="1274" w:bottom="0" w:gutter="0" w:footer="0" w:header="0"/>
          <w:type w:val="continuous"/>
        </w:sectPr>
      </w:pPr>
    </w:p>
    <w:bookmarkStart w:id="79" w:name="page80"/>
    <w:bookmarkEnd w:id="79"/>
    <w:p>
      <w:pPr>
        <w:jc w:val="both"/>
        <w:ind w:firstLine="490"/>
        <w:spacing w:after="0" w:line="282" w:lineRule="auto"/>
        <w:rPr>
          <w:sz w:val="20"/>
          <w:szCs w:val="20"/>
          <w:color w:val="auto"/>
        </w:rPr>
      </w:pPr>
      <w:r>
        <w:rPr>
          <w:rFonts w:ascii="Arial" w:cs="Arial" w:eastAsia="Arial" w:hAnsi="Arial"/>
          <w:sz w:val="20"/>
          <w:szCs w:val="20"/>
          <w:color w:val="auto"/>
        </w:rPr>
        <w:t>Any reduction in reimbursement from Medicare or other government programs may result in a similar reduction in payments from private payors, which may adversely affect our future profitability.</w:t>
      </w:r>
    </w:p>
    <w:p>
      <w:pPr>
        <w:spacing w:after="0" w:line="199"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9"/>
          <w:szCs w:val="19"/>
          <w:color w:val="auto"/>
        </w:rPr>
        <w:t>We expect that other healthcare reform measures that may be adopted in the future, may result in more rigorous coverage criteria and in additional downward pressure on the price that we receive for any approved drug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drug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32"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b w:val="1"/>
          <w:bCs w:val="1"/>
          <w:i w:val="1"/>
          <w:iCs w:val="1"/>
          <w:color w:val="auto"/>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NIH,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223"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Healthcare providers and third-party payors play a primary role in the recommendation and prescription of any drug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drug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laws that may affect our ability to operate include, but are not limited to:</w:t>
      </w:r>
    </w:p>
    <w:p>
      <w:pPr>
        <w:spacing w:after="0" w:line="134" w:lineRule="exact"/>
        <w:rPr>
          <w:sz w:val="20"/>
          <w:szCs w:val="20"/>
          <w:color w:val="auto"/>
        </w:rPr>
      </w:pPr>
    </w:p>
    <w:p>
      <w:pPr>
        <w:jc w:val="both"/>
        <w:ind w:left="980" w:hanging="491"/>
        <w:spacing w:after="0" w:line="243" w:lineRule="auto"/>
        <w:tabs>
          <w:tab w:leader="none" w:pos="9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91" w:lineRule="exact"/>
        <w:rPr>
          <w:rFonts w:ascii="Arial" w:cs="Arial" w:eastAsia="Arial" w:hAnsi="Arial"/>
          <w:sz w:val="20"/>
          <w:szCs w:val="20"/>
          <w:color w:val="auto"/>
        </w:rPr>
      </w:pPr>
    </w:p>
    <w:p>
      <w:pPr>
        <w:jc w:val="both"/>
        <w:ind w:left="980" w:hanging="491"/>
        <w:spacing w:after="0" w:line="282" w:lineRule="auto"/>
        <w:tabs>
          <w:tab w:leader="none" w:pos="9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federal civil and criminal false claims laws, including the FCA, which can be enforced through civil “qui tam” or “whistleblower” actions, and civil monetary penalty laws, impose criminal and</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880" w:h="15474" w:orient="portrait"/>
          <w:cols w:equalWidth="0" w:num="1">
            <w:col w:w="9360"/>
          </w:cols>
          <w:pgMar w:left="1240" w:top="1255" w:right="1274" w:bottom="0" w:gutter="0" w:footer="0" w:header="0"/>
          <w:type w:val="continuous"/>
        </w:sectPr>
      </w:pPr>
    </w:p>
    <w:bookmarkStart w:id="80" w:name="page81"/>
    <w:bookmarkEnd w:id="80"/>
    <w:p>
      <w:pPr>
        <w:jc w:val="both"/>
        <w:ind w:left="780"/>
        <w:spacing w:after="0" w:line="242" w:lineRule="auto"/>
        <w:rPr>
          <w:sz w:val="20"/>
          <w:szCs w:val="20"/>
          <w:color w:val="auto"/>
        </w:rPr>
      </w:pPr>
      <w:r>
        <w:rPr>
          <w:rFonts w:ascii="Arial" w:cs="Arial" w:eastAsia="Arial" w:hAnsi="Arial"/>
          <w:sz w:val="20"/>
          <w:szCs w:val="20"/>
          <w:color w:val="auto"/>
        </w:rPr>
        <w:t>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spacing w:after="0" w:line="97" w:lineRule="exact"/>
        <w:rPr>
          <w:sz w:val="20"/>
          <w:szCs w:val="20"/>
          <w:color w:val="auto"/>
        </w:rPr>
      </w:pPr>
    </w:p>
    <w:p>
      <w:pPr>
        <w:jc w:val="both"/>
        <w:ind w:left="780" w:hanging="491"/>
        <w:spacing w:after="0" w:line="244" w:lineRule="auto"/>
        <w:tabs>
          <w:tab w:leader="none" w:pos="7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95" w:lineRule="exact"/>
        <w:rPr>
          <w:rFonts w:ascii="Arial" w:cs="Arial" w:eastAsia="Arial" w:hAnsi="Arial"/>
          <w:sz w:val="20"/>
          <w:szCs w:val="20"/>
          <w:color w:val="auto"/>
        </w:rPr>
      </w:pPr>
    </w:p>
    <w:p>
      <w:pPr>
        <w:jc w:val="both"/>
        <w:ind w:left="780" w:hanging="491"/>
        <w:spacing w:after="0" w:line="244" w:lineRule="auto"/>
        <w:tabs>
          <w:tab w:leader="none" w:pos="7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91" w:lineRule="exact"/>
        <w:rPr>
          <w:rFonts w:ascii="Arial" w:cs="Arial" w:eastAsia="Arial" w:hAnsi="Arial"/>
          <w:sz w:val="20"/>
          <w:szCs w:val="20"/>
          <w:color w:val="auto"/>
        </w:rPr>
      </w:pPr>
    </w:p>
    <w:p>
      <w:pPr>
        <w:jc w:val="both"/>
        <w:ind w:left="780" w:hanging="491"/>
        <w:spacing w:after="0" w:line="245" w:lineRule="auto"/>
        <w:tabs>
          <w:tab w:leader="none" w:pos="7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90" w:lineRule="exact"/>
        <w:rPr>
          <w:rFonts w:ascii="Arial" w:cs="Arial" w:eastAsia="Arial" w:hAnsi="Arial"/>
          <w:sz w:val="20"/>
          <w:szCs w:val="20"/>
          <w:color w:val="auto"/>
        </w:rPr>
      </w:pPr>
    </w:p>
    <w:p>
      <w:pPr>
        <w:ind w:left="780" w:hanging="491"/>
        <w:spacing w:after="0" w:line="283" w:lineRule="auto"/>
        <w:tabs>
          <w:tab w:leader="none" w:pos="7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federal consumer protection and unfair competition laws, which broadly regulate marketplace activities and activities that potentially harm consumers.</w:t>
      </w:r>
    </w:p>
    <w:p>
      <w:pPr>
        <w:spacing w:after="0" w:line="51" w:lineRule="exact"/>
        <w:rPr>
          <w:rFonts w:ascii="Arial" w:cs="Arial" w:eastAsia="Arial" w:hAnsi="Arial"/>
          <w:sz w:val="20"/>
          <w:szCs w:val="20"/>
          <w:color w:val="auto"/>
        </w:rPr>
      </w:pPr>
    </w:p>
    <w:p>
      <w:pPr>
        <w:jc w:val="both"/>
        <w:ind w:left="780" w:hanging="491"/>
        <w:spacing w:after="0" w:line="311" w:lineRule="auto"/>
        <w:tabs>
          <w:tab w:leader="none" w:pos="78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analogous state and foreign laws and regulations, such as state and foreign anti-kickback, false claims, consumer protection and unfair competition laws which may apply to pharmaceutical</w:t>
      </w:r>
    </w:p>
    <w:p>
      <w:pPr>
        <w:sectPr>
          <w:pgSz w:w="11880" w:h="15474" w:orient="portrait"/>
          <w:cols w:equalWidth="0" w:num="1">
            <w:col w:w="9160"/>
          </w:cols>
          <w:pgMar w:left="1440" w:top="1255" w:right="1274"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75</w:t>
      </w:r>
    </w:p>
    <w:p>
      <w:pPr>
        <w:sectPr>
          <w:pgSz w:w="11880" w:h="15474" w:orient="portrait"/>
          <w:cols w:equalWidth="0" w:num="1">
            <w:col w:w="9160"/>
          </w:cols>
          <w:pgMar w:left="1440" w:top="1255" w:right="1274" w:bottom="0" w:gutter="0" w:footer="0" w:header="0"/>
          <w:type w:val="continuous"/>
        </w:sectPr>
      </w:pPr>
    </w:p>
    <w:bookmarkStart w:id="81" w:name="page82"/>
    <w:bookmarkEnd w:id="81"/>
    <w:p>
      <w:pPr>
        <w:jc w:val="both"/>
        <w:ind w:left="980"/>
        <w:spacing w:after="0" w:line="243" w:lineRule="auto"/>
        <w:rPr>
          <w:sz w:val="20"/>
          <w:szCs w:val="20"/>
          <w:color w:val="auto"/>
        </w:rPr>
      </w:pPr>
      <w:r>
        <w:rPr>
          <w:rFonts w:ascii="Arial" w:cs="Arial" w:eastAsia="Arial" w:hAnsi="Arial"/>
          <w:sz w:val="20"/>
          <w:szCs w:val="20"/>
          <w:color w:val="auto"/>
        </w:rPr>
        <w:t>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242"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drug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disgorgement,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30"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207" w:lineRule="exact"/>
        <w:rPr>
          <w:sz w:val="20"/>
          <w:szCs w:val="20"/>
          <w:color w:val="auto"/>
        </w:rPr>
      </w:pPr>
    </w:p>
    <w:p>
      <w:pPr>
        <w:jc w:val="both"/>
        <w:ind w:firstLine="490"/>
        <w:spacing w:after="0" w:line="232" w:lineRule="auto"/>
        <w:rPr>
          <w:sz w:val="20"/>
          <w:szCs w:val="20"/>
          <w:color w:val="auto"/>
        </w:rPr>
      </w:pPr>
      <w:r>
        <w:rPr>
          <w:rFonts w:ascii="Arial" w:cs="Arial" w:eastAsia="Arial" w:hAnsi="Arial"/>
          <w:sz w:val="20"/>
          <w:szCs w:val="20"/>
          <w:color w:val="auto"/>
        </w:rPr>
        <w:t>In addition to the risks relating to the outcome of the independent special committee’s investigation noted above, 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880" w:h="15474" w:orient="portrait"/>
          <w:cols w:equalWidth="0" w:num="1">
            <w:col w:w="9360"/>
          </w:cols>
          <w:pgMar w:left="1240" w:top="1255" w:right="1274" w:bottom="0" w:gutter="0" w:footer="0" w:header="0"/>
          <w:type w:val="continuous"/>
        </w:sectPr>
      </w:pPr>
    </w:p>
    <w:bookmarkStart w:id="82" w:name="page83"/>
    <w:bookmarkEnd w:id="82"/>
    <w:p>
      <w:pPr>
        <w:jc w:val="both"/>
        <w:ind w:firstLine="490"/>
        <w:spacing w:after="0" w:line="254" w:lineRule="auto"/>
        <w:rPr>
          <w:sz w:val="20"/>
          <w:szCs w:val="20"/>
          <w:color w:val="auto"/>
        </w:rPr>
      </w:pPr>
      <w:r>
        <w:rPr>
          <w:rFonts w:ascii="Arial" w:cs="Arial" w:eastAsia="Arial" w:hAnsi="Arial"/>
          <w:sz w:val="20"/>
          <w:szCs w:val="20"/>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07"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30"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30"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07"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Our Reliance on Third Parties</w:t>
      </w:r>
    </w:p>
    <w:p>
      <w:pPr>
        <w:spacing w:after="0" w:line="288"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20"/>
          <w:szCs w:val="20"/>
          <w:b w:val="1"/>
          <w:bCs w:val="1"/>
          <w:i w:val="1"/>
          <w:iCs w:val="1"/>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p>
    <w:p>
      <w:pPr>
        <w:spacing w:after="0" w:line="215"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20"/>
          <w:szCs w:val="20"/>
          <w:color w:val="auto"/>
        </w:rPr>
        <w:t>We utilize and depend upon independent investigators and collaborators, such as medical institutions, CROs, CMOs, and strategic partners to conduct and support our nonclinical studies and clinical trials under agreements with us.</w:t>
      </w:r>
    </w:p>
    <w:p>
      <w:pPr>
        <w:spacing w:after="0" w:line="218"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9"/>
          <w:szCs w:val="19"/>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880" w:h="15474" w:orient="portrait"/>
          <w:cols w:equalWidth="0" w:num="1">
            <w:col w:w="9360"/>
          </w:cols>
          <w:pgMar w:left="1240" w:top="1251" w:right="1274" w:bottom="0" w:gutter="0" w:footer="0" w:header="0"/>
          <w:type w:val="continuous"/>
        </w:sectPr>
      </w:pPr>
    </w:p>
    <w:bookmarkStart w:id="83" w:name="page84"/>
    <w:bookmarkEnd w:id="83"/>
    <w:p>
      <w:pPr>
        <w:jc w:val="both"/>
        <w:spacing w:after="0" w:line="242" w:lineRule="auto"/>
        <w:rPr>
          <w:sz w:val="20"/>
          <w:szCs w:val="20"/>
          <w:color w:val="auto"/>
        </w:rPr>
      </w:pPr>
      <w:r>
        <w:rPr>
          <w:rFonts w:ascii="Arial" w:cs="Arial" w:eastAsia="Arial" w:hAnsi="Arial"/>
          <w:sz w:val="20"/>
          <w:szCs w:val="20"/>
          <w:color w:val="auto"/>
        </w:rPr>
        <w:t>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drug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In particular, protocol deviations or non-compliance with GCP requirements, or other data integrity reasons, can cause us or the FDA or other regulatory authorities to exclude data from non-compliant sites or investigators, which may cause the trial to be underpowered to meet the endpoints. We cannot assure you that, upon inspection, such regulatory authorities will determine that any of our clinical trials comply with the GCP regulations. In addition, our clinical trials must be conducted with pharmaceutical drug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37"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drug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drug candidates. As a result, our financial results and the commercial prospects for our drug candidates would be harmed, our costs could increase and our ability to generate revenue could be delayed.</w:t>
      </w:r>
    </w:p>
    <w:p>
      <w:pPr>
        <w:spacing w:after="0" w:line="245"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30"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20"/>
          <w:szCs w:val="20"/>
          <w:b w:val="1"/>
          <w:bCs w:val="1"/>
          <w:i w:val="1"/>
          <w:iCs w:val="1"/>
          <w:color w:val="auto"/>
        </w:rPr>
        <w:t>We contract with third parties for the manufacture of our drug candidates for nonclinical studies and our clinical trials, and expect to continue to do so for additional clinical trials and ultimately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219"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19"/>
          <w:szCs w:val="19"/>
          <w:color w:val="auto"/>
        </w:rPr>
        <w:t>We do not currently have the infrastructure or internal capability to manufacture supplies of our drug candidates for use in development and commercialization. We rely, and expect to continue to rely, on third-party manufacturers for the production of our drug candidates for nonclinical studies and clinical trials under the guidance of members of our organization. We do not have long-term supply agreements. Furthermore, the raw materials for our drug candidates are sourced, in some cases, from a single-source supplier and sometimes involve long lead times from order to receipt of the materials. If we were to experience an unexpected loss of supply of any of our drug candidates or any of our future drug candidates for any reason, whether as a result of manufacturing, supply or storage issues or otherwise, we could experience delays,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880" w:h="15474" w:orient="portrait"/>
          <w:cols w:equalWidth="0" w:num="1">
            <w:col w:w="9360"/>
          </w:cols>
          <w:pgMar w:left="1240" w:top="1255" w:right="1274" w:bottom="0" w:gutter="0" w:footer="0" w:header="0"/>
          <w:type w:val="continuous"/>
        </w:sectPr>
      </w:pPr>
    </w:p>
    <w:bookmarkStart w:id="84" w:name="page85"/>
    <w:bookmarkEnd w:id="84"/>
    <w:p>
      <w:pPr>
        <w:jc w:val="both"/>
        <w:spacing w:after="0" w:line="248" w:lineRule="auto"/>
        <w:rPr>
          <w:sz w:val="20"/>
          <w:szCs w:val="20"/>
          <w:color w:val="auto"/>
        </w:rPr>
      </w:pPr>
      <w:r>
        <w:rPr>
          <w:rFonts w:ascii="Arial" w:cs="Arial" w:eastAsia="Arial" w:hAnsi="Arial"/>
          <w:sz w:val="20"/>
          <w:szCs w:val="20"/>
          <w:color w:val="auto"/>
        </w:rPr>
        <w:t>disruptions, suspensions or terminations of, or be required to restart or repeat, any pending or ongoing clinical trials. We expect to continue to rely on third-party manufacturers for the commercial supply of any of our drug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87" w:lineRule="exact"/>
        <w:rPr>
          <w:sz w:val="20"/>
          <w:szCs w:val="20"/>
          <w:color w:val="auto"/>
        </w:rPr>
      </w:pPr>
    </w:p>
    <w:p>
      <w:pPr>
        <w:jc w:val="both"/>
        <w:ind w:left="980" w:hanging="491"/>
        <w:spacing w:after="0" w:line="254"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failure of the third party to manufacture our drug candidates according to our schedule, or at all, including if our third-party contractors give greater priority to the supply of other products over our drug candidates or otherwise do not satisfactorily perform according to the terms of the agreements between us and them;</w:t>
      </w:r>
    </w:p>
    <w:p>
      <w:pPr>
        <w:spacing w:after="0" w:line="80"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reduction or termination of production or deliveries by suppliers, or the raising of prices or renegotiation of terms;</w:t>
      </w:r>
    </w:p>
    <w:p>
      <w:pPr>
        <w:spacing w:after="0" w:line="5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termination or nonrenewal of arrangements or agreements by our third-party contractors at a time that is costly or inconvenient for us;</w:t>
      </w:r>
    </w:p>
    <w:p>
      <w:pPr>
        <w:spacing w:after="0" w:line="51"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breach by the third-party contractors of our agreements with them;</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failure of third-party contractors to comply with applicable regulatory requirements;</w:t>
      </w:r>
    </w:p>
    <w:p>
      <w:pPr>
        <w:spacing w:after="0" w:line="132"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failure of the third party to manufacture our drug candidates according to our specifications;</w:t>
      </w:r>
    </w:p>
    <w:p>
      <w:pPr>
        <w:spacing w:after="0" w:line="145" w:lineRule="exact"/>
        <w:rPr>
          <w:rFonts w:ascii="Arial" w:cs="Arial" w:eastAsia="Arial" w:hAnsi="Arial"/>
          <w:sz w:val="19"/>
          <w:szCs w:val="19"/>
          <w:color w:val="auto"/>
        </w:rPr>
      </w:pPr>
    </w:p>
    <w:p>
      <w:pPr>
        <w:ind w:left="980" w:hanging="491"/>
        <w:spacing w:after="0" w:line="283"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mislabeling of clinical supplies, potentially resulting in the wrong dose amounts being supplied or active drug or placebo not being properly identified;</w:t>
      </w:r>
    </w:p>
    <w:p>
      <w:pPr>
        <w:spacing w:after="0" w:line="51"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clinical supplies not being delivered to clinical sites on time, leading to clinical trial interruptions, or of drug supplies not being distributed to commercial vendors in a timely manner, resulting in lost sales; and</w:t>
      </w:r>
    </w:p>
    <w:p>
      <w:pPr>
        <w:spacing w:after="0" w:line="72"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misappropriation of our proprietary information, including our trade secrets and know-how.</w:t>
      </w:r>
    </w:p>
    <w:p>
      <w:pPr>
        <w:spacing w:after="0" w:line="275"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19"/>
          <w:szCs w:val="19"/>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drug candidates or drugs, operating restrictions and criminal prosecutions, any of which could significantly and adversely affect supplies of our drug candidates or drugs and harm our business and results of operations. Our current and anticipated future dependence upon others for the manufacture of our drug candidates or drugs may adversely affect our future profit margins and our ability to commercialize any drug candidates that receive marketing approval on a timely and competitive basis.</w:t>
      </w:r>
    </w:p>
    <w:p>
      <w:pPr>
        <w:spacing w:after="0" w:line="239"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20"/>
          <w:szCs w:val="20"/>
          <w:b w:val="1"/>
          <w:bCs w:val="1"/>
          <w:i w:val="1"/>
          <w:iCs w:val="1"/>
          <w:color w:val="auto"/>
        </w:rPr>
        <w:t>Our manufacturing process needs to comply with FDA regulations relating to the quality and reliability of such processes. Any failure to comply with relevant regulations could result in delays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880" w:h="15474" w:orient="portrait"/>
          <w:cols w:equalWidth="0" w:num="1">
            <w:col w:w="9360"/>
          </w:cols>
          <w:pgMar w:left="1240" w:top="1255" w:right="1274" w:bottom="0" w:gutter="0" w:footer="0" w:header="0"/>
          <w:type w:val="continuous"/>
        </w:sectPr>
      </w:pPr>
    </w:p>
    <w:bookmarkStart w:id="85" w:name="page86"/>
    <w:bookmarkEnd w:id="85"/>
    <w:p>
      <w:pPr>
        <w:jc w:val="both"/>
        <w:spacing w:after="0" w:line="283" w:lineRule="auto"/>
        <w:rPr>
          <w:sz w:val="20"/>
          <w:szCs w:val="20"/>
          <w:color w:val="auto"/>
        </w:rPr>
      </w:pPr>
      <w:r>
        <w:rPr>
          <w:rFonts w:ascii="Arial" w:cs="Arial" w:eastAsia="Arial" w:hAnsi="Arial"/>
          <w:sz w:val="20"/>
          <w:szCs w:val="20"/>
          <w:b w:val="1"/>
          <w:bCs w:val="1"/>
          <w:i w:val="1"/>
          <w:iCs w:val="1"/>
          <w:color w:val="auto"/>
        </w:rPr>
        <w:t>in or termination of our clinical programs and suspension or withdrawal of any regulatory approvals.</w:t>
      </w:r>
    </w:p>
    <w:p>
      <w:pPr>
        <w:spacing w:after="0" w:line="183" w:lineRule="exact"/>
        <w:rPr>
          <w:sz w:val="20"/>
          <w:szCs w:val="20"/>
          <w:color w:val="auto"/>
        </w:rPr>
      </w:pPr>
    </w:p>
    <w:p>
      <w:pPr>
        <w:jc w:val="both"/>
        <w:ind w:firstLine="490"/>
        <w:spacing w:after="0" w:line="238" w:lineRule="auto"/>
        <w:rPr>
          <w:sz w:val="20"/>
          <w:szCs w:val="20"/>
          <w:color w:val="auto"/>
        </w:rPr>
      </w:pPr>
      <w:r>
        <w:rPr>
          <w:rFonts w:ascii="Arial" w:cs="Arial" w:eastAsia="Arial" w:hAnsi="Arial"/>
          <w:sz w:val="20"/>
          <w:szCs w:val="20"/>
          <w:color w:val="auto"/>
        </w:rPr>
        <w:t>In order to commercially produce our drug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drug candidates, including leading to significant delays in the availability of our precision medicines for our clinical trials or the termination of or suspension of a clinical trial, or the delay or prevention of a filing or approval of marketing applications for our drug candidates. Significant non-compliance could also result in the imposition of sanctions, including warning or untitled letters, fines, injunctions, civil penalties, failure of regulatory authorities to grant marketing approvals for our drug candidates, delays, suspension or withdrawal of approvals, license revocation, seizures or recalls of products, operating restrictions and criminal prosecutions, any of which could damage our reputation and our business.</w:t>
      </w:r>
    </w:p>
    <w:p>
      <w:pPr>
        <w:spacing w:after="0" w:line="238"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20"/>
          <w:szCs w:val="20"/>
          <w:b w:val="1"/>
          <w:bCs w:val="1"/>
          <w:i w:val="1"/>
          <w:iCs w:val="1"/>
          <w:color w:val="auto"/>
        </w:rPr>
        <w:t>If our third-party manufacturers use hazardous materials in a manner that causes injury or violates applicable law, we may be liable for damages.</w:t>
      </w:r>
    </w:p>
    <w:p>
      <w:pPr>
        <w:spacing w:after="0" w:line="183" w:lineRule="exact"/>
        <w:rPr>
          <w:sz w:val="20"/>
          <w:szCs w:val="20"/>
          <w:color w:val="auto"/>
        </w:rPr>
      </w:pPr>
    </w:p>
    <w:p>
      <w:pPr>
        <w:jc w:val="both"/>
        <w:ind w:firstLine="490"/>
        <w:spacing w:after="0" w:line="238" w:lineRule="auto"/>
        <w:rPr>
          <w:sz w:val="20"/>
          <w:szCs w:val="20"/>
          <w:color w:val="auto"/>
        </w:rPr>
      </w:pPr>
      <w:r>
        <w:rPr>
          <w:rFonts w:ascii="Arial" w:cs="Arial" w:eastAsia="Arial" w:hAnsi="Arial"/>
          <w:sz w:val="20"/>
          <w:szCs w:val="20"/>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52"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207"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auto"/>
        </w:rPr>
        <w:t>We own worldwide rights to fosgonimeton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215" w:lineRule="exact"/>
        <w:rPr>
          <w:sz w:val="20"/>
          <w:szCs w:val="20"/>
          <w:color w:val="auto"/>
        </w:rPr>
      </w:pPr>
    </w:p>
    <w:p>
      <w:pPr>
        <w:jc w:val="both"/>
        <w:ind w:firstLine="490"/>
        <w:spacing w:after="0" w:line="260" w:lineRule="auto"/>
        <w:rPr>
          <w:sz w:val="20"/>
          <w:szCs w:val="20"/>
          <w:color w:val="auto"/>
        </w:rPr>
      </w:pPr>
      <w:r>
        <w:rPr>
          <w:rFonts w:ascii="Arial" w:cs="Arial" w:eastAsia="Arial" w:hAnsi="Arial"/>
          <w:sz w:val="19"/>
          <w:szCs w:val="19"/>
          <w:color w:val="auto"/>
        </w:rPr>
        <w:t>We face significant competition in seeking appropriate strategic partners and the negotiation process is time-consuming and complex. Moreover, we may not be successful in our efforts to establish a strategic partnership or other alternative arrangements for our drug candidates because they may be deemed to be at too early of a stage of development for collaborative effort and third parties may not view our drug candidates as having the requisite potential to demonstrate safety and efficacy and obtain marketing approval. In addition, the effects to our business and reputation discussed in “—</w:t>
      </w:r>
      <w:r>
        <w:rPr>
          <w:rFonts w:ascii="Arial" w:cs="Arial" w:eastAsia="Arial" w:hAnsi="Arial"/>
          <w:sz w:val="19"/>
          <w:szCs w:val="19"/>
          <w:i w:val="1"/>
          <w:iCs w:val="1"/>
          <w:color w:val="auto"/>
        </w:rPr>
        <w:t>An independent special</w:t>
      </w:r>
      <w:r>
        <w:rPr>
          <w:rFonts w:ascii="Arial" w:cs="Arial" w:eastAsia="Arial" w:hAnsi="Arial"/>
          <w:sz w:val="19"/>
          <w:szCs w:val="19"/>
          <w:color w:val="auto"/>
        </w:rPr>
        <w:t xml:space="preserve"> </w:t>
      </w:r>
      <w:r>
        <w:rPr>
          <w:rFonts w:ascii="Arial" w:cs="Arial" w:eastAsia="Arial" w:hAnsi="Arial"/>
          <w:sz w:val="19"/>
          <w:szCs w:val="19"/>
          <w:i w:val="1"/>
          <w:iCs w:val="1"/>
          <w:color w:val="auto"/>
        </w:rPr>
        <w:t>committee of our board of directors engaged in a review of papers co-authored by our former chief executive officer in connection with her doctoral research at WSU. The special committee’s findings included that (1)</w:t>
      </w:r>
    </w:p>
    <w:p>
      <w:pPr>
        <w:sectPr>
          <w:pgSz w:w="11880" w:h="15474" w:orient="portrait"/>
          <w:cols w:equalWidth="0" w:num="1">
            <w:col w:w="9360"/>
          </w:cols>
          <w:pgMar w:left="1240" w:top="1254"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1880" w:h="15474" w:orient="portrait"/>
          <w:cols w:equalWidth="0" w:num="1">
            <w:col w:w="9360"/>
          </w:cols>
          <w:pgMar w:left="1240" w:top="1254" w:right="1274" w:bottom="0" w:gutter="0" w:footer="0" w:header="0"/>
          <w:type w:val="continuous"/>
        </w:sectPr>
      </w:pPr>
    </w:p>
    <w:bookmarkStart w:id="86" w:name="page87"/>
    <w:bookmarkEnd w:id="86"/>
    <w:p>
      <w:pPr>
        <w:jc w:val="both"/>
        <w:spacing w:after="0" w:line="244" w:lineRule="auto"/>
        <w:rPr>
          <w:sz w:val="20"/>
          <w:szCs w:val="20"/>
          <w:color w:val="auto"/>
        </w:rPr>
      </w:pPr>
      <w:r>
        <w:rPr>
          <w:rFonts w:ascii="Arial" w:cs="Arial" w:eastAsia="Arial" w:hAnsi="Arial"/>
          <w:sz w:val="20"/>
          <w:szCs w:val="20"/>
          <w:i w:val="1"/>
          <w:iCs w:val="1"/>
          <w:color w:val="auto"/>
        </w:rPr>
        <w:t>our former chief executive officer altered images in her 2011 doctoral dissertation and at least four research papers that she co-authored while a graduate student at WSU, and published from 2011 to 2014, (2) that we cited challenged research papers in certain communications and applications, and (3) that WSU’s dihexa patent, exclusively licensed to us, incorporated certain of these altered images. WSU has undertaken a review of claims of potential research misconduct involving our former chief executive officer’s doctoral research at WSU. We cannot predict when WSU’s investigation will be completed or what conclusions WSU will reach</w:t>
      </w:r>
      <w:r>
        <w:rPr>
          <w:rFonts w:ascii="Arial" w:cs="Arial" w:eastAsia="Arial" w:hAnsi="Arial"/>
          <w:sz w:val="20"/>
          <w:szCs w:val="20"/>
          <w:color w:val="auto"/>
        </w:rPr>
        <w:t>,” may discourage potential counterparties from entering into relationships with</w:t>
      </w:r>
      <w:r>
        <w:rPr>
          <w:rFonts w:ascii="Arial" w:cs="Arial" w:eastAsia="Arial" w:hAnsi="Arial"/>
          <w:sz w:val="20"/>
          <w:szCs w:val="20"/>
          <w:i w:val="1"/>
          <w:iCs w:val="1"/>
          <w:color w:val="auto"/>
        </w:rPr>
        <w:t xml:space="preserve"> </w:t>
      </w:r>
      <w:r>
        <w:rPr>
          <w:rFonts w:ascii="Arial" w:cs="Arial" w:eastAsia="Arial" w:hAnsi="Arial"/>
          <w:sz w:val="20"/>
          <w:szCs w:val="20"/>
          <w:color w:val="auto"/>
        </w:rPr>
        <w:t>us.</w:t>
      </w:r>
    </w:p>
    <w:p>
      <w:pPr>
        <w:spacing w:after="0" w:line="241"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If and when we seek to enter into collaborations, we may not be able to negotiate collaborations on a timely basis, on acceptable terms, or at all. If we are unable to do so, we may have to curtail the development of a drug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237"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color w:val="auto"/>
        </w:rPr>
        <w:t>Even if we are successful in entering into collaborations involving our drug candidates, these relationships are subject to numerous risks, which may include the following:</w:t>
      </w:r>
    </w:p>
    <w:p>
      <w:pPr>
        <w:spacing w:after="0" w:line="52" w:lineRule="exact"/>
        <w:rPr>
          <w:sz w:val="20"/>
          <w:szCs w:val="20"/>
          <w:color w:val="auto"/>
        </w:rPr>
      </w:pPr>
    </w:p>
    <w:p>
      <w:pPr>
        <w:ind w:left="980" w:hanging="491"/>
        <w:spacing w:after="0" w:line="283"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collaborators have significant discretion in determining the efforts and resources that they will apply to a collaboration;</w:t>
      </w:r>
    </w:p>
    <w:p>
      <w:pPr>
        <w:spacing w:after="0" w:line="50" w:lineRule="exact"/>
        <w:rPr>
          <w:rFonts w:ascii="Arial" w:cs="Arial" w:eastAsia="Arial" w:hAnsi="Arial"/>
          <w:sz w:val="20"/>
          <w:szCs w:val="20"/>
          <w:color w:val="auto"/>
        </w:rPr>
      </w:pPr>
    </w:p>
    <w:p>
      <w:pPr>
        <w:jc w:val="both"/>
        <w:ind w:left="980" w:hanging="491"/>
        <w:spacing w:after="0" w:line="250"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collaborators may not pursue development and commercialization of our drug candidates or may elect not to continue or renew development or commercialization of our drug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86"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collaborators may delay clinical trials, provide insufficient funding for a clinical trial, stop a clinical trial, abandon a drug candidate, repeat or conduct new clinical trials or require a new formulation of a drug candidate for clinical testing;</w:t>
      </w:r>
    </w:p>
    <w:p>
      <w:pPr>
        <w:spacing w:after="0" w:line="7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collaborators could independently develop, or develop with third parties, products that compete directly or indirectly with our drug candidates;</w:t>
      </w:r>
    </w:p>
    <w:p>
      <w:pPr>
        <w:spacing w:after="0" w:line="51"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collaborator with marketing and distribution rights to one or more drug products may not commit sufficient resources to their marketing and distribution;</w:t>
      </w:r>
    </w:p>
    <w:p>
      <w:pPr>
        <w:spacing w:after="0" w:line="52" w:lineRule="exact"/>
        <w:rPr>
          <w:rFonts w:ascii="Arial" w:cs="Arial" w:eastAsia="Arial" w:hAnsi="Arial"/>
          <w:sz w:val="20"/>
          <w:szCs w:val="20"/>
          <w:color w:val="auto"/>
        </w:rPr>
      </w:pPr>
    </w:p>
    <w:p>
      <w:pPr>
        <w:jc w:val="both"/>
        <w:ind w:left="980" w:hanging="491"/>
        <w:spacing w:after="0" w:line="254"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0"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disputes may arise between us and a collaborator that cause the delay or termination of the research, development or commercialization of our drug candidates, or that result in costly litigation or arbitration that diverts management attention and resources;</w:t>
      </w:r>
    </w:p>
    <w:p>
      <w:pPr>
        <w:spacing w:after="0" w:line="7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collaborations may be terminated and, if terminated, may result in a need for additional capital to pursue further development or commercialization of the applicable drug candidates; and</w:t>
      </w:r>
    </w:p>
    <w:p>
      <w:pPr>
        <w:spacing w:after="0" w:line="51"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collaborators may own or co-own intellectual property covering our drug products that results from our collaborating with them, and in such cases, we would not have the exclusive right to commercialize such intellectual property.</w:t>
      </w:r>
    </w:p>
    <w:p>
      <w:pPr>
        <w:spacing w:after="0" w:line="219" w:lineRule="exact"/>
        <w:rPr>
          <w:sz w:val="20"/>
          <w:szCs w:val="20"/>
          <w:color w:val="auto"/>
        </w:rPr>
      </w:pPr>
    </w:p>
    <w:p>
      <w:pPr>
        <w:ind w:firstLine="490"/>
        <w:spacing w:after="0" w:line="311" w:lineRule="auto"/>
        <w:rPr>
          <w:sz w:val="20"/>
          <w:szCs w:val="20"/>
          <w:color w:val="auto"/>
        </w:rPr>
      </w:pPr>
      <w:r>
        <w:rPr>
          <w:rFonts w:ascii="Arial" w:cs="Arial" w:eastAsia="Arial" w:hAnsi="Arial"/>
          <w:sz w:val="19"/>
          <w:szCs w:val="19"/>
          <w:color w:val="auto"/>
        </w:rPr>
        <w:t>As a result, if we enter into additional strategic collaborations, licensing arrangements or partnerships, we may not be able to realize the benefit of such transactions if we are unable to successfully integrate</w:t>
      </w:r>
    </w:p>
    <w:p>
      <w:pPr>
        <w:sectPr>
          <w:pgSz w:w="11880" w:h="15474" w:orient="portrait"/>
          <w:cols w:equalWidth="0" w:num="1">
            <w:col w:w="9360"/>
          </w:cols>
          <w:pgMar w:left="1240" w:top="1263" w:right="1274"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880" w:h="15474" w:orient="portrait"/>
          <w:cols w:equalWidth="0" w:num="1">
            <w:col w:w="9360"/>
          </w:cols>
          <w:pgMar w:left="1240" w:top="1263" w:right="1274" w:bottom="0" w:gutter="0" w:footer="0" w:header="0"/>
          <w:type w:val="continuous"/>
        </w:sectPr>
      </w:pPr>
    </w:p>
    <w:bookmarkStart w:id="87" w:name="page88"/>
    <w:bookmarkEnd w:id="87"/>
    <w:p>
      <w:pPr>
        <w:jc w:val="both"/>
        <w:spacing w:after="0" w:line="247" w:lineRule="auto"/>
        <w:rPr>
          <w:sz w:val="20"/>
          <w:szCs w:val="20"/>
          <w:color w:val="auto"/>
        </w:rPr>
      </w:pPr>
      <w:r>
        <w:rPr>
          <w:rFonts w:ascii="Arial" w:cs="Arial" w:eastAsia="Arial" w:hAnsi="Arial"/>
          <w:sz w:val="20"/>
          <w:szCs w:val="20"/>
          <w:color w:val="auto"/>
        </w:rPr>
        <w:t>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drug candidates could delay the development and commercialization of our drug candidates in certain geographies for certain indications, which would harm our business prospects, financial condition and results of operations.</w:t>
      </w:r>
    </w:p>
    <w:p>
      <w:pPr>
        <w:spacing w:after="0" w:line="237"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207"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From time to time, we evaluate various acquisition opportunities and strategic transactions and partnerships, including licensing or acquiring complementary products, intellectual property rights, technologies or businesses. Any potential acquisition or strategic partnership may entail numerous risks, including:</w:t>
      </w:r>
    </w:p>
    <w:p>
      <w:pPr>
        <w:spacing w:after="0" w:line="80" w:lineRule="exact"/>
        <w:rPr>
          <w:sz w:val="20"/>
          <w:szCs w:val="20"/>
          <w:color w:val="auto"/>
        </w:rPr>
      </w:pPr>
    </w:p>
    <w:p>
      <w:pPr>
        <w:ind w:left="980" w:hanging="491"/>
        <w:spacing w:after="0"/>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increased operating expenses and cash requirements;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assumption of additional indebtedness or contingent liabilities;</w:t>
      </w:r>
    </w:p>
    <w:p>
      <w:pPr>
        <w:spacing w:after="0" w:line="132" w:lineRule="exact"/>
        <w:rPr>
          <w:rFonts w:ascii="Arial" w:cs="Arial" w:eastAsia="Arial" w:hAnsi="Arial"/>
          <w:sz w:val="20"/>
          <w:szCs w:val="20"/>
          <w:color w:val="auto"/>
        </w:rPr>
      </w:pPr>
    </w:p>
    <w:p>
      <w:pPr>
        <w:ind w:left="980" w:hanging="491"/>
        <w:spacing w:after="0"/>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issuance of our equity securities;</w:t>
      </w:r>
    </w:p>
    <w:p>
      <w:pPr>
        <w:spacing w:after="0" w:line="133"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assimilation of operations, intellectual property and products of an acquired company, including difficulties associated with integrating new personnel;</w:t>
      </w:r>
    </w:p>
    <w:p>
      <w:pPr>
        <w:spacing w:after="0" w:line="51"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diversion of our management’s attention from our existing programs and initiatives in pursuing such a strategic merger or acquisition;</w:t>
      </w:r>
    </w:p>
    <w:p>
      <w:pPr>
        <w:spacing w:after="0" w:line="5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retention of key employees, the loss of key personnel and uncertainties in our ability to maintain key business relationships;</w:t>
      </w:r>
    </w:p>
    <w:p>
      <w:pPr>
        <w:spacing w:after="0" w:line="51"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risks and uncertainties associated with the other party to such a transaction, including the prospects of that party and their existing products or product candidates and marketing approvals; and</w:t>
      </w:r>
    </w:p>
    <w:p>
      <w:pPr>
        <w:spacing w:after="0" w:line="7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our inability to generate revenue from acquired technology or products sufficient to meet our objectives in undertaking the acquisition or even to offset the associated acquisition and maintenance costs.</w:t>
      </w:r>
    </w:p>
    <w:p>
      <w:pPr>
        <w:spacing w:after="0" w:line="219"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20"/>
          <w:szCs w:val="20"/>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Our Ability to Commercialize our Drug Product</w:t>
      </w:r>
    </w:p>
    <w:p>
      <w:pPr>
        <w:spacing w:after="0" w:line="288"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Even if approved, our drug candidates may not achieve adequate market acceptance among physicians, patients, healthcare payors and others in the medical community necessary for commercial success.</w:t>
      </w:r>
    </w:p>
    <w:p>
      <w:pPr>
        <w:spacing w:after="0" w:line="207"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Even if our drug candidates receive regulatory approval, they may not gain adequate market acceptance among physicians, patients, healthcare payors and others in the medical community. The degree of market acceptance or reimbursement of any of our approved drug candidates will depend on a number of factors, including:</w:t>
      </w:r>
    </w:p>
    <w:p>
      <w:pPr>
        <w:spacing w:after="0" w:line="80" w:lineRule="exact"/>
        <w:rPr>
          <w:sz w:val="20"/>
          <w:szCs w:val="20"/>
          <w:color w:val="auto"/>
        </w:rPr>
      </w:pPr>
    </w:p>
    <w:p>
      <w:pPr>
        <w:ind w:left="980" w:hanging="491"/>
        <w:spacing w:after="0" w:line="282" w:lineRule="auto"/>
        <w:tabs>
          <w:tab w:leader="none" w:pos="9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efficacy and safety profile as demonstrated in clinical trials compared to alternative treatments;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timing of market introduction of the drug candidate as well as competitive products;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880" w:h="15474" w:orient="portrait"/>
          <w:cols w:equalWidth="0" w:num="1">
            <w:col w:w="9360"/>
          </w:cols>
          <w:pgMar w:left="1240" w:top="1255" w:right="1274" w:bottom="0" w:gutter="0" w:footer="0" w:header="0"/>
          <w:type w:val="continuous"/>
        </w:sectPr>
      </w:pPr>
    </w:p>
    <w:bookmarkStart w:id="88" w:name="page89"/>
    <w:bookmarkEnd w:id="88"/>
    <w:p>
      <w:pPr>
        <w:ind w:left="980" w:hanging="491"/>
        <w:spacing w:after="0"/>
        <w:tabs>
          <w:tab w:leader="none" w:pos="9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clinical indications for which the drug candidate is approved;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extent of physician acceptance of FDA-approved therapies for AD or other target indications;</w:t>
      </w:r>
    </w:p>
    <w:p>
      <w:pPr>
        <w:spacing w:after="0" w:line="145" w:lineRule="exact"/>
        <w:rPr>
          <w:rFonts w:ascii="Arial" w:cs="Arial" w:eastAsia="Arial" w:hAnsi="Arial"/>
          <w:sz w:val="19"/>
          <w:szCs w:val="19"/>
          <w:color w:val="auto"/>
        </w:rPr>
      </w:pPr>
    </w:p>
    <w:p>
      <w:pPr>
        <w:jc w:val="both"/>
        <w:ind w:left="980" w:hanging="491"/>
        <w:spacing w:after="0" w:line="261" w:lineRule="auto"/>
        <w:tabs>
          <w:tab w:leader="none" w:pos="9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restrictions on the use of our drug candidates, such as boxed warnings or contraindications in labeling, or a REMS, if any, which may not be required of alternative treatments and competitor products;</w:t>
      </w:r>
    </w:p>
    <w:p>
      <w:pPr>
        <w:spacing w:after="0" w:line="72" w:lineRule="exact"/>
        <w:rPr>
          <w:rFonts w:ascii="Arial" w:cs="Arial" w:eastAsia="Arial" w:hAnsi="Arial"/>
          <w:sz w:val="20"/>
          <w:szCs w:val="20"/>
          <w:color w:val="auto"/>
        </w:rPr>
      </w:pPr>
    </w:p>
    <w:p>
      <w:pPr>
        <w:ind w:left="980" w:hanging="491"/>
        <w:spacing w:after="0"/>
        <w:tabs>
          <w:tab w:leader="none" w:pos="9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potential and perceived advantages of our drug candidates over alternative treatments;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cost of treatment in relation to alternative treatments;</w:t>
      </w:r>
    </w:p>
    <w:p>
      <w:pPr>
        <w:spacing w:after="0" w:line="113" w:lineRule="exact"/>
        <w:rPr>
          <w:rFonts w:ascii="Arial" w:cs="Arial" w:eastAsia="Arial" w:hAnsi="Arial"/>
          <w:sz w:val="20"/>
          <w:szCs w:val="20"/>
          <w:color w:val="auto"/>
        </w:rPr>
      </w:pPr>
    </w:p>
    <w:p>
      <w:pPr>
        <w:ind w:left="980" w:hanging="491"/>
        <w:spacing w:after="0" w:line="258" w:lineRule="auto"/>
        <w:tabs>
          <w:tab w:leader="none" w:pos="9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pricing and the availability of coverage and adequate reimbursement by third-party payors, including government authorities;</w:t>
      </w:r>
    </w:p>
    <w:p>
      <w:pPr>
        <w:spacing w:after="0" w:line="54" w:lineRule="exact"/>
        <w:rPr>
          <w:rFonts w:ascii="Arial" w:cs="Arial" w:eastAsia="Arial" w:hAnsi="Arial"/>
          <w:sz w:val="20"/>
          <w:szCs w:val="20"/>
          <w:color w:val="auto"/>
        </w:rPr>
      </w:pPr>
    </w:p>
    <w:p>
      <w:pPr>
        <w:ind w:left="980" w:hanging="491"/>
        <w:spacing w:after="0"/>
        <w:tabs>
          <w:tab w:leader="none" w:pos="9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availability of the approved drug candidate for use as a combination therapy;</w:t>
      </w:r>
    </w:p>
    <w:p>
      <w:pPr>
        <w:spacing w:after="0" w:line="109" w:lineRule="exact"/>
        <w:rPr>
          <w:rFonts w:ascii="Arial" w:cs="Arial" w:eastAsia="Arial" w:hAnsi="Arial"/>
          <w:sz w:val="20"/>
          <w:szCs w:val="20"/>
          <w:color w:val="auto"/>
        </w:rPr>
      </w:pPr>
    </w:p>
    <w:p>
      <w:pPr>
        <w:ind w:left="980" w:hanging="491"/>
        <w:spacing w:after="0"/>
        <w:tabs>
          <w:tab w:leader="none" w:pos="9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relative convenience and ease of administration;</w:t>
      </w:r>
    </w:p>
    <w:p>
      <w:pPr>
        <w:spacing w:after="0" w:line="110" w:lineRule="exact"/>
        <w:rPr>
          <w:rFonts w:ascii="Arial" w:cs="Arial" w:eastAsia="Arial" w:hAnsi="Arial"/>
          <w:sz w:val="20"/>
          <w:szCs w:val="20"/>
          <w:color w:val="auto"/>
        </w:rPr>
      </w:pPr>
    </w:p>
    <w:p>
      <w:pPr>
        <w:ind w:left="980" w:hanging="491"/>
        <w:spacing w:after="0" w:line="258" w:lineRule="auto"/>
        <w:tabs>
          <w:tab w:leader="none" w:pos="9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willingness of the target patient population to try new therapies and of physicians to prescribe these therapies;</w:t>
      </w:r>
    </w:p>
    <w:p>
      <w:pPr>
        <w:spacing w:after="0" w:line="52" w:lineRule="exact"/>
        <w:rPr>
          <w:rFonts w:ascii="Arial" w:cs="Arial" w:eastAsia="Arial" w:hAnsi="Arial"/>
          <w:sz w:val="20"/>
          <w:szCs w:val="20"/>
          <w:color w:val="auto"/>
        </w:rPr>
      </w:pPr>
    </w:p>
    <w:p>
      <w:pPr>
        <w:ind w:left="980" w:hanging="492"/>
        <w:spacing w:after="0"/>
        <w:tabs>
          <w:tab w:leader="none" w:pos="9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effectiveness of sales and marketing efforts;</w:t>
      </w:r>
    </w:p>
    <w:p>
      <w:pPr>
        <w:spacing w:after="0" w:line="110" w:lineRule="exact"/>
        <w:rPr>
          <w:rFonts w:ascii="Arial" w:cs="Arial" w:eastAsia="Arial" w:hAnsi="Arial"/>
          <w:sz w:val="20"/>
          <w:szCs w:val="20"/>
          <w:color w:val="auto"/>
        </w:rPr>
      </w:pPr>
    </w:p>
    <w:p>
      <w:pPr>
        <w:ind w:left="980" w:hanging="492"/>
        <w:spacing w:after="0" w:line="258" w:lineRule="auto"/>
        <w:tabs>
          <w:tab w:leader="none" w:pos="9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unfavorable publicity relating to our drug products or drug candidates or similar approved products or product candidates in development by third parties; and</w:t>
      </w:r>
    </w:p>
    <w:p>
      <w:pPr>
        <w:spacing w:after="0" w:line="52" w:lineRule="exact"/>
        <w:rPr>
          <w:rFonts w:ascii="Arial" w:cs="Arial" w:eastAsia="Arial" w:hAnsi="Arial"/>
          <w:sz w:val="20"/>
          <w:szCs w:val="20"/>
          <w:color w:val="auto"/>
        </w:rPr>
      </w:pPr>
    </w:p>
    <w:p>
      <w:pPr>
        <w:ind w:left="980" w:hanging="492"/>
        <w:spacing w:after="0"/>
        <w:tabs>
          <w:tab w:leader="none" w:pos="9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approval of other new therapies for the same indications.</w:t>
      </w:r>
    </w:p>
    <w:p>
      <w:pPr>
        <w:spacing w:after="0" w:line="257"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color w:val="auto"/>
        </w:rPr>
        <w:t xml:space="preserve">If any of our drug candidates are approved but do not achieve an adequate level of acceptance by physicians, hospitals, healthcare payors and patients, we may not generate or derive sufficient revenue from such drug candidates and our financial </w:t>
      </w:r>
      <w:r>
        <w:rPr>
          <w:rFonts w:ascii="Arial" w:cs="Arial" w:eastAsia="Arial" w:hAnsi="Arial"/>
          <w:sz w:val="20"/>
          <w:szCs w:val="20"/>
          <w:color w:val="191919"/>
        </w:rPr>
        <w:t>results</w:t>
      </w:r>
      <w:r>
        <w:rPr>
          <w:rFonts w:ascii="Arial" w:cs="Arial" w:eastAsia="Arial" w:hAnsi="Arial"/>
          <w:sz w:val="20"/>
          <w:szCs w:val="20"/>
          <w:color w:val="auto"/>
        </w:rPr>
        <w:t xml:space="preserve"> could be negatively impacted.</w:t>
      </w:r>
    </w:p>
    <w:p>
      <w:pPr>
        <w:spacing w:after="0" w:line="224" w:lineRule="exact"/>
        <w:rPr>
          <w:sz w:val="20"/>
          <w:szCs w:val="20"/>
          <w:color w:val="auto"/>
        </w:rPr>
      </w:pPr>
    </w:p>
    <w:p>
      <w:pPr>
        <w:jc w:val="both"/>
        <w:ind w:firstLine="490"/>
        <w:spacing w:after="0"/>
        <w:rPr>
          <w:sz w:val="20"/>
          <w:szCs w:val="20"/>
          <w:color w:val="auto"/>
        </w:rPr>
      </w:pPr>
      <w:r>
        <w:rPr>
          <w:rFonts w:ascii="Arial" w:cs="Arial" w:eastAsia="Arial" w:hAnsi="Arial"/>
          <w:sz w:val="20"/>
          <w:szCs w:val="20"/>
          <w:b w:val="1"/>
          <w:bCs w:val="1"/>
          <w:i w:val="1"/>
          <w:iCs w:val="1"/>
          <w:color w:val="auto"/>
        </w:rPr>
        <w:t>We have never commercialized a drug candidate before and may lack the necessary expertise, personnel and resources to successfully commercialize any drug products on our own or together with suitable collaborators.</w:t>
      </w:r>
    </w:p>
    <w:p>
      <w:pPr>
        <w:spacing w:after="0" w:line="207" w:lineRule="exact"/>
        <w:rPr>
          <w:sz w:val="20"/>
          <w:szCs w:val="20"/>
          <w:color w:val="auto"/>
        </w:rPr>
      </w:pPr>
    </w:p>
    <w:p>
      <w:pPr>
        <w:jc w:val="both"/>
        <w:ind w:firstLine="490"/>
        <w:spacing w:after="0" w:line="229" w:lineRule="auto"/>
        <w:rPr>
          <w:sz w:val="20"/>
          <w:szCs w:val="20"/>
          <w:color w:val="auto"/>
        </w:rPr>
      </w:pPr>
      <w:r>
        <w:rPr>
          <w:rFonts w:ascii="Arial" w:cs="Arial" w:eastAsia="Arial" w:hAnsi="Arial"/>
          <w:sz w:val="20"/>
          <w:szCs w:val="20"/>
          <w:color w:val="auto"/>
        </w:rPr>
        <w:t xml:space="preserve">We have never commercialized a drug candidate. We may license certain rights with respect to our drug candidates to collaborators, and, if so, we will rely on the assistance and guidance of those collaborators. For drug candidates for </w:t>
      </w:r>
      <w:r>
        <w:rPr>
          <w:rFonts w:ascii="Arial" w:cs="Arial" w:eastAsia="Arial" w:hAnsi="Arial"/>
          <w:sz w:val="20"/>
          <w:szCs w:val="20"/>
          <w:color w:val="191919"/>
        </w:rPr>
        <w:t>which we retain commercialization rights and marketing approval,</w:t>
      </w:r>
      <w:r>
        <w:rPr>
          <w:rFonts w:ascii="Arial" w:cs="Arial" w:eastAsia="Arial" w:hAnsi="Arial"/>
          <w:sz w:val="20"/>
          <w:szCs w:val="20"/>
          <w:color w:val="auto"/>
        </w:rPr>
        <w:t xml:space="preserve"> </w:t>
      </w:r>
      <w:r>
        <w:rPr>
          <w:rFonts w:ascii="Arial" w:cs="Arial" w:eastAsia="Arial" w:hAnsi="Arial"/>
          <w:sz w:val="20"/>
          <w:szCs w:val="20"/>
          <w:color w:val="191919"/>
        </w:rPr>
        <w:t>we will have to develop our own sales, marketing and supply organization or outsource these activities to a third party.</w:t>
      </w:r>
    </w:p>
    <w:p>
      <w:pPr>
        <w:spacing w:after="0" w:line="217" w:lineRule="exact"/>
        <w:rPr>
          <w:sz w:val="20"/>
          <w:szCs w:val="20"/>
          <w:color w:val="auto"/>
        </w:rPr>
      </w:pPr>
    </w:p>
    <w:p>
      <w:pPr>
        <w:jc w:val="both"/>
        <w:ind w:firstLine="490"/>
        <w:spacing w:after="0" w:line="222" w:lineRule="auto"/>
        <w:rPr>
          <w:sz w:val="20"/>
          <w:szCs w:val="20"/>
          <w:color w:val="auto"/>
        </w:rPr>
      </w:pPr>
      <w:r>
        <w:rPr>
          <w:rFonts w:ascii="Arial" w:cs="Arial" w:eastAsia="Arial" w:hAnsi="Arial"/>
          <w:sz w:val="20"/>
          <w:szCs w:val="20"/>
          <w:color w:val="191919"/>
        </w:rPr>
        <w:t xml:space="preserve">Factors that may affect our ability to commercialize our drug candidates, if approved, on our own include recruiting and retaining </w:t>
      </w:r>
      <w:r>
        <w:rPr>
          <w:rFonts w:ascii="Arial" w:cs="Arial" w:eastAsia="Arial" w:hAnsi="Arial"/>
          <w:sz w:val="20"/>
          <w:szCs w:val="20"/>
          <w:color w:val="000000"/>
        </w:rPr>
        <w:t>adequate numbers of effective sales and marketing personnel, developing</w:t>
      </w:r>
      <w:r>
        <w:rPr>
          <w:rFonts w:ascii="Arial" w:cs="Arial" w:eastAsia="Arial" w:hAnsi="Arial"/>
          <w:sz w:val="20"/>
          <w:szCs w:val="20"/>
          <w:color w:val="191919"/>
        </w:rPr>
        <w:t xml:space="preserve"> </w:t>
      </w:r>
      <w:r>
        <w:rPr>
          <w:rFonts w:ascii="Arial" w:cs="Arial" w:eastAsia="Arial" w:hAnsi="Arial"/>
          <w:sz w:val="20"/>
          <w:szCs w:val="20"/>
          <w:color w:val="000000"/>
        </w:rPr>
        <w:t>adequate educational and marketing programs to increase public acceptance of our approved drug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drug candidates upon approval. We may not be able to build an effective sales and marketing organization. If we are unable to build our own distribution and marketing capabilities or to find suitable partners for the commercialization of our drug candidates, we may not generate revenues from them or be able to reach or sustain profitability.</w:t>
      </w:r>
    </w:p>
    <w:p>
      <w:pPr>
        <w:spacing w:after="0" w:line="247"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20"/>
          <w:szCs w:val="20"/>
          <w:b w:val="1"/>
          <w:bCs w:val="1"/>
          <w:i w:val="1"/>
          <w:iCs w:val="1"/>
          <w:color w:val="auto"/>
        </w:rPr>
        <w:t>If the market opportunity for any drug candidate that we develop is smaller than we believe, our revenue may be adversely affected and our business may suffer.</w:t>
      </w:r>
    </w:p>
    <w:p>
      <w:pPr>
        <w:spacing w:after="0" w:line="183"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auto"/>
        </w:rPr>
        <w:t xml:space="preserve">We intend to initially focus our drug candidate development on treatments for various CNS and PNS disorder indications. The addressable patient populations that may benefit from treatment with our drug candidates, if approved, are based on our estimates. These estimates, which have been derived from a variety of sources, including scientific literature, </w:t>
      </w:r>
      <w:r>
        <w:rPr>
          <w:rFonts w:ascii="Arial" w:cs="Arial" w:eastAsia="Arial" w:hAnsi="Arial"/>
          <w:sz w:val="19"/>
          <w:szCs w:val="19"/>
          <w:color w:val="191919"/>
        </w:rPr>
        <w:t>surveys</w:t>
      </w:r>
      <w:r>
        <w:rPr>
          <w:rFonts w:ascii="Arial" w:cs="Arial" w:eastAsia="Arial" w:hAnsi="Arial"/>
          <w:sz w:val="19"/>
          <w:szCs w:val="19"/>
          <w:color w:val="auto"/>
        </w:rPr>
        <w:t xml:space="preserve"> of clinics, patient foundations and market research, may prove to be incorrect. Further, new studies may change the estimated incidence or prevalence of these</w:t>
      </w:r>
    </w:p>
    <w:p>
      <w:pPr>
        <w:sectPr>
          <w:pgSz w:w="11880" w:h="15474" w:orient="portrait"/>
          <w:cols w:equalWidth="0" w:num="1">
            <w:col w:w="9360"/>
          </w:cols>
          <w:pgMar w:left="1240" w:top="1268" w:right="1274"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880" w:h="15474" w:orient="portrait"/>
          <w:cols w:equalWidth="0" w:num="1">
            <w:col w:w="9360"/>
          </w:cols>
          <w:pgMar w:left="1240" w:top="1268" w:right="1274" w:bottom="0" w:gutter="0" w:footer="0" w:header="0"/>
          <w:type w:val="continuous"/>
        </w:sectPr>
      </w:pPr>
    </w:p>
    <w:bookmarkStart w:id="89" w:name="page90"/>
    <w:bookmarkEnd w:id="89"/>
    <w:p>
      <w:pPr>
        <w:jc w:val="both"/>
        <w:spacing w:after="0" w:line="243" w:lineRule="auto"/>
        <w:rPr>
          <w:sz w:val="20"/>
          <w:szCs w:val="20"/>
          <w:color w:val="auto"/>
        </w:rPr>
      </w:pPr>
      <w:r>
        <w:rPr>
          <w:rFonts w:ascii="Arial" w:cs="Arial" w:eastAsia="Arial" w:hAnsi="Arial"/>
          <w:sz w:val="20"/>
          <w:szCs w:val="20"/>
          <w:color w:val="auto"/>
        </w:rPr>
        <w:t>CNS and PNS disorders. Any regulatory approval of our drug candidates would be limited to the therapeutic indications examined in our clinical trials and as determined by the FDA, which would not permit us to market our drug products for any other therapeutic indications not expressly approved by the FDA. Additionally, the potentially addressable patient population for our drug candidates may not ultimately be amenable to treatment with our drug candidates. For example, pre-specified subgroup analysis based on topline data from our ACT-AD clinical trial identified a potential diminished effect of the combination of standard-of-care (AChEIs) and fosgonimeton. If such hypothesis is supported by additional research, patients receiving AChEIs could be excluded from the addressable patient population for fosgonimeton. Even if we receive regulatory approval for any of our drug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drug candidate that we or our strategic partners develop could be significantly diminished and have an adverse material impact on our business.</w:t>
      </w:r>
    </w:p>
    <w:p>
      <w:pPr>
        <w:spacing w:after="0" w:line="246"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If product liability lawsuits are brought against us, we may incur substantial liabilities and may be required to limit commercialization of our drug candidates.</w:t>
      </w:r>
    </w:p>
    <w:p>
      <w:pPr>
        <w:spacing w:after="0" w:line="183"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 xml:space="preserve">We face an inherent risk of product liability as a result of the planned clinical testing of our drug candidates and will face an even greater risk if we commercialize any drug products. For example, we may be sued if our drug candidates cause or </w:t>
      </w:r>
      <w:r>
        <w:rPr>
          <w:rFonts w:ascii="Arial" w:cs="Arial" w:eastAsia="Arial" w:hAnsi="Arial"/>
          <w:sz w:val="20"/>
          <w:szCs w:val="20"/>
          <w:color w:val="191919"/>
        </w:rPr>
        <w:t>are</w:t>
      </w:r>
      <w:r>
        <w:rPr>
          <w:rFonts w:ascii="Arial" w:cs="Arial" w:eastAsia="Arial" w:hAnsi="Arial"/>
          <w:sz w:val="20"/>
          <w:szCs w:val="20"/>
          <w:color w:val="auto"/>
        </w:rPr>
        <w:t xml:space="preserv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spacing w:after="0" w:line="96" w:lineRule="exact"/>
        <w:rPr>
          <w:sz w:val="20"/>
          <w:szCs w:val="20"/>
          <w:color w:val="auto"/>
        </w:rPr>
      </w:pPr>
    </w:p>
    <w:p>
      <w:pPr>
        <w:ind w:left="980" w:hanging="491"/>
        <w:spacing w:after="0"/>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decreased demand for our drug candidates or drug products that we may develop;</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injury to our reputation;</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withdrawal of clinical trial participants;</w:t>
      </w:r>
    </w:p>
    <w:p>
      <w:pPr>
        <w:spacing w:after="0" w:line="132" w:lineRule="exact"/>
        <w:rPr>
          <w:rFonts w:ascii="Arial" w:cs="Arial" w:eastAsia="Arial" w:hAnsi="Arial"/>
          <w:sz w:val="20"/>
          <w:szCs w:val="20"/>
          <w:color w:val="auto"/>
        </w:rPr>
      </w:pPr>
    </w:p>
    <w:p>
      <w:pPr>
        <w:ind w:left="980" w:hanging="491"/>
        <w:spacing w:after="0"/>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initiation of investigations by regulators;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costs to defend the related litigation;</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diversion of management’s time and our resources;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substantial monetary awards to clinical trial participants or patients;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drug product recalls, withdrawals or labeling, marketing or promotional restrictions;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loss of revenue;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exhaustion of any available insurance and our capital resources;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inability to commercialize any drug candidate; and</w:t>
      </w:r>
    </w:p>
    <w:p>
      <w:pPr>
        <w:spacing w:after="0" w:line="132" w:lineRule="exact"/>
        <w:rPr>
          <w:rFonts w:ascii="Arial" w:cs="Arial" w:eastAsia="Arial" w:hAnsi="Arial"/>
          <w:sz w:val="20"/>
          <w:szCs w:val="20"/>
          <w:color w:val="auto"/>
        </w:rPr>
      </w:pPr>
    </w:p>
    <w:p>
      <w:pPr>
        <w:ind w:left="980" w:hanging="491"/>
        <w:spacing w:after="0"/>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 decline in our share price.</w:t>
      </w:r>
    </w:p>
    <w:p>
      <w:pPr>
        <w:spacing w:after="0" w:line="280"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19"/>
          <w:szCs w:val="19"/>
          <w:color w:val="auto"/>
        </w:rPr>
        <w:t xml:space="preserve">Failure to obtain or retain sufficient product liability insurance at an acceptable cost to protect against potential product liability claims could prevent or inhibit the commercialization of drug products we develop, alone or with corporate </w:t>
      </w:r>
      <w:r>
        <w:rPr>
          <w:rFonts w:ascii="Arial" w:cs="Arial" w:eastAsia="Arial" w:hAnsi="Arial"/>
          <w:sz w:val="19"/>
          <w:szCs w:val="19"/>
          <w:color w:val="191919"/>
        </w:rPr>
        <w:t>collaborators</w:t>
      </w:r>
      <w:r>
        <w:rPr>
          <w:rFonts w:ascii="Arial" w:cs="Arial" w:eastAsia="Arial" w:hAnsi="Arial"/>
          <w:sz w:val="19"/>
          <w:szCs w:val="19"/>
          <w:color w:val="auto"/>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880" w:h="15474" w:orient="portrait"/>
          <w:cols w:equalWidth="0" w:num="1">
            <w:col w:w="9360"/>
          </w:cols>
          <w:pgMar w:left="1240" w:top="1255" w:right="1274" w:bottom="0" w:gutter="0" w:footer="0" w:header="0"/>
          <w:type w:val="continuous"/>
        </w:sectPr>
      </w:pPr>
    </w:p>
    <w:bookmarkStart w:id="90" w:name="page91"/>
    <w:bookmarkEnd w:id="90"/>
    <w:p>
      <w:pPr>
        <w:jc w:val="both"/>
        <w:spacing w:after="0" w:line="282" w:lineRule="auto"/>
        <w:rPr>
          <w:sz w:val="20"/>
          <w:szCs w:val="20"/>
          <w:color w:val="auto"/>
        </w:rPr>
      </w:pPr>
      <w:r>
        <w:rPr>
          <w:rFonts w:ascii="Arial" w:cs="Arial" w:eastAsia="Arial" w:hAnsi="Arial"/>
          <w:sz w:val="20"/>
          <w:szCs w:val="20"/>
          <w:color w:val="auto"/>
        </w:rPr>
        <w:t>us to indemnification against losses, such indemnification may not be available or adequate should any claim arise.</w:t>
      </w:r>
    </w:p>
    <w:p>
      <w:pPr>
        <w:spacing w:after="0" w:line="203"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b w:val="1"/>
          <w:bCs w:val="1"/>
          <w:i w:val="1"/>
          <w:iCs w:val="1"/>
          <w:color w:val="auto"/>
        </w:rPr>
        <w:t>The insurance coverage and reimbursement status of newly-approved products is uncertain. Our drug candidates may become subject to unfavorable pricing regulations, third-party coverage and reimbursement practices, or healthcare reform initiatives, which would harm our business. Failure to obtain or maintain adequate coverage and reimbursement for new or current drug products could limit our ability to market those drug products and decrease our ability to generate revenue.</w:t>
      </w:r>
    </w:p>
    <w:p>
      <w:pPr>
        <w:spacing w:after="0" w:line="219"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 xml:space="preserve">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w:t>
      </w:r>
      <w:r>
        <w:rPr>
          <w:rFonts w:ascii="Arial" w:cs="Arial" w:eastAsia="Arial" w:hAnsi="Arial"/>
          <w:sz w:val="20"/>
          <w:szCs w:val="20"/>
          <w:color w:val="191919"/>
        </w:rPr>
        <w:t>product</w:t>
      </w:r>
      <w:r>
        <w:rPr>
          <w:rFonts w:ascii="Arial" w:cs="Arial" w:eastAsia="Arial" w:hAnsi="Arial"/>
          <w:sz w:val="20"/>
          <w:szCs w:val="20"/>
          <w:color w:val="auto"/>
        </w:rPr>
        <w:t xml:space="preserve"> licensing approval is granted. In some foreign markets, prescription pharmaceutical pricing remains subject to continuing governmental control even after initial approval is granted. As a result, we might obtain marketing approval for a drug product in a particular country, but then be subject to price regulations that delay our commercial launch of the drug product, possibly for lengthy time periods, and negatively impact the revenue we are able to generate from the sale of the drug product in that country. Adverse pricing limitations may hinder our ability to recoup our investment in one or more drug candidates, even if any drug candidates we may develop obtain marketing approval.</w:t>
      </w:r>
    </w:p>
    <w:p>
      <w:pPr>
        <w:spacing w:after="0" w:line="246" w:lineRule="exact"/>
        <w:rPr>
          <w:sz w:val="20"/>
          <w:szCs w:val="20"/>
          <w:color w:val="auto"/>
        </w:rPr>
      </w:pPr>
    </w:p>
    <w:p>
      <w:pPr>
        <w:jc w:val="both"/>
        <w:ind w:firstLine="490"/>
        <w:spacing w:after="0" w:line="242" w:lineRule="auto"/>
        <w:rPr>
          <w:sz w:val="20"/>
          <w:szCs w:val="20"/>
          <w:color w:val="auto"/>
        </w:rPr>
      </w:pPr>
      <w:r>
        <w:rPr>
          <w:rFonts w:ascii="Arial" w:cs="Arial" w:eastAsia="Arial" w:hAnsi="Arial"/>
          <w:sz w:val="20"/>
          <w:szCs w:val="20"/>
          <w:color w:val="auto"/>
        </w:rPr>
        <w:t xml:space="preserve">In the United States and markets in other countries, patients generally rely on third- 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drug candidates will depend in part on the extent to which coverage and adequate reimbursement for these drug </w:t>
      </w:r>
      <w:r>
        <w:rPr>
          <w:rFonts w:ascii="Arial" w:cs="Arial" w:eastAsia="Arial" w:hAnsi="Arial"/>
          <w:sz w:val="20"/>
          <w:szCs w:val="20"/>
          <w:color w:val="191919"/>
        </w:rPr>
        <w:t>products</w:t>
      </w:r>
      <w:r>
        <w:rPr>
          <w:rFonts w:ascii="Arial" w:cs="Arial" w:eastAsia="Arial" w:hAnsi="Arial"/>
          <w:sz w:val="20"/>
          <w:szCs w:val="20"/>
          <w:color w:val="auto"/>
        </w:rPr>
        <w:t xml:space="preserve">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drug candidates that we may identify will depend substantially, both domestically and abroad, on the extent to which the costs of our drug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drug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96" w:lineRule="exact"/>
        <w:rPr>
          <w:sz w:val="20"/>
          <w:szCs w:val="20"/>
          <w:color w:val="auto"/>
        </w:rPr>
      </w:pPr>
    </w:p>
    <w:p>
      <w:pPr>
        <w:ind w:left="980" w:hanging="491"/>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 covered benefit under its health plan;</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safe, effective and medically necessary;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appropriate for the specific patient;</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cost-effective; and</w:t>
      </w:r>
    </w:p>
    <w:p>
      <w:pPr>
        <w:spacing w:after="0" w:line="132" w:lineRule="exact"/>
        <w:rPr>
          <w:rFonts w:ascii="Arial" w:cs="Arial" w:eastAsia="Arial" w:hAnsi="Arial"/>
          <w:sz w:val="20"/>
          <w:szCs w:val="20"/>
          <w:color w:val="auto"/>
        </w:rPr>
      </w:pPr>
    </w:p>
    <w:p>
      <w:pPr>
        <w:ind w:left="980" w:hanging="492"/>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neither experimental nor investigational.</w:t>
      </w:r>
    </w:p>
    <w:p>
      <w:pPr>
        <w:spacing w:after="0" w:line="280" w:lineRule="exact"/>
        <w:rPr>
          <w:sz w:val="20"/>
          <w:szCs w:val="20"/>
          <w:color w:val="auto"/>
        </w:rPr>
      </w:pPr>
    </w:p>
    <w:p>
      <w:pPr>
        <w:jc w:val="both"/>
        <w:ind w:firstLine="489"/>
        <w:spacing w:after="0" w:line="262" w:lineRule="auto"/>
        <w:rPr>
          <w:sz w:val="20"/>
          <w:szCs w:val="20"/>
          <w:color w:val="auto"/>
        </w:rPr>
      </w:pPr>
      <w:r>
        <w:rPr>
          <w:rFonts w:ascii="Arial" w:cs="Arial" w:eastAsia="Arial" w:hAnsi="Arial"/>
          <w:sz w:val="20"/>
          <w:szCs w:val="20"/>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880" w:h="15474" w:orient="portrait"/>
          <w:cols w:equalWidth="0" w:num="1">
            <w:col w:w="9360"/>
          </w:cols>
          <w:pgMar w:left="1240" w:top="1255" w:right="1274" w:bottom="0" w:gutter="0" w:footer="0" w:header="0"/>
          <w:type w:val="continuous"/>
        </w:sectPr>
      </w:pPr>
    </w:p>
    <w:bookmarkStart w:id="91" w:name="page92"/>
    <w:bookmarkEnd w:id="91"/>
    <w:p>
      <w:pPr>
        <w:jc w:val="both"/>
        <w:spacing w:after="0" w:line="247" w:lineRule="auto"/>
        <w:rPr>
          <w:sz w:val="20"/>
          <w:szCs w:val="20"/>
          <w:color w:val="auto"/>
        </w:rPr>
      </w:pPr>
      <w:r>
        <w:rPr>
          <w:rFonts w:ascii="Arial" w:cs="Arial" w:eastAsia="Arial" w:hAnsi="Arial"/>
          <w:sz w:val="20"/>
          <w:szCs w:val="20"/>
          <w:color w:val="auto"/>
        </w:rPr>
        <w:t xml:space="preserve">varying price control mechanisms as part of national health systems. In general, the </w:t>
      </w:r>
      <w:r>
        <w:rPr>
          <w:rFonts w:ascii="Arial" w:cs="Arial" w:eastAsia="Arial" w:hAnsi="Arial"/>
          <w:sz w:val="20"/>
          <w:szCs w:val="20"/>
          <w:color w:val="191919"/>
        </w:rPr>
        <w:t>prices</w:t>
      </w:r>
      <w:r>
        <w:rPr>
          <w:rFonts w:ascii="Arial" w:cs="Arial" w:eastAsia="Arial" w:hAnsi="Arial"/>
          <w:sz w:val="20"/>
          <w:szCs w:val="20"/>
          <w:color w:val="auto"/>
        </w:rPr>
        <w:t xml:space="preserve">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drug candidates. Accordingly, in markets outside the United States, the reimbursement for products may be reduced compared with the United States and may be insufficient to generate commercially reasonable revenue and profits.</w:t>
      </w:r>
    </w:p>
    <w:p>
      <w:pPr>
        <w:spacing w:after="0" w:line="234" w:lineRule="exact"/>
        <w:rPr>
          <w:sz w:val="20"/>
          <w:szCs w:val="20"/>
          <w:color w:val="auto"/>
        </w:rPr>
      </w:pPr>
    </w:p>
    <w:p>
      <w:pPr>
        <w:jc w:val="both"/>
        <w:ind w:firstLine="490"/>
        <w:spacing w:after="0" w:line="242" w:lineRule="auto"/>
        <w:rPr>
          <w:sz w:val="20"/>
          <w:szCs w:val="20"/>
          <w:color w:val="auto"/>
        </w:rPr>
      </w:pPr>
      <w:r>
        <w:rPr>
          <w:rFonts w:ascii="Arial" w:cs="Arial" w:eastAsia="Arial" w:hAnsi="Arial"/>
          <w:sz w:val="20"/>
          <w:szCs w:val="20"/>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drug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drug products we may develop could have a material adverse effect on our operating results, our ability to raise capital needed to commercialize drug candidates, and our overall financial condition</w:t>
      </w:r>
      <w:r>
        <w:rPr>
          <w:rFonts w:ascii="Arial" w:cs="Arial" w:eastAsia="Arial" w:hAnsi="Arial"/>
          <w:sz w:val="20"/>
          <w:szCs w:val="20"/>
          <w:color w:val="191919"/>
        </w:rPr>
        <w:t>.</w:t>
      </w:r>
    </w:p>
    <w:p>
      <w:pPr>
        <w:spacing w:after="0" w:line="238"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191919"/>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drug products that we develop could have a material adverse effect on our operating results, our ability to raise capital needed to commercialize drug products and our overall financial condition.</w:t>
      </w:r>
    </w:p>
    <w:p>
      <w:pPr>
        <w:spacing w:after="0" w:line="234"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191919"/>
        </w:rPr>
        <w:t xml:space="preserve">Increasingly, third-party payors are requiring that drug companies provide them with predetermined discounts from list prices and are challenging the prices charged for medical products. We cannot be sure that reimbursement will be available for any </w:t>
      </w:r>
      <w:r>
        <w:rPr>
          <w:rFonts w:ascii="Arial" w:cs="Arial" w:eastAsia="Arial" w:hAnsi="Arial"/>
          <w:sz w:val="20"/>
          <w:szCs w:val="20"/>
          <w:color w:val="000000"/>
        </w:rPr>
        <w:t>drug candidate that we commercialize and, if reimbursement</w:t>
      </w:r>
      <w:r>
        <w:rPr>
          <w:rFonts w:ascii="Arial" w:cs="Arial" w:eastAsia="Arial" w:hAnsi="Arial"/>
          <w:sz w:val="20"/>
          <w:szCs w:val="20"/>
          <w:color w:val="191919"/>
        </w:rPr>
        <w:t xml:space="preserve"> </w:t>
      </w:r>
      <w:r>
        <w:rPr>
          <w:rFonts w:ascii="Arial" w:cs="Arial" w:eastAsia="Arial" w:hAnsi="Arial"/>
          <w:sz w:val="20"/>
          <w:szCs w:val="20"/>
          <w:color w:val="000000"/>
        </w:rPr>
        <w:t>is available, the level of reimbursement. Reimbursement may impact the demand for, or the price of, any drug candidate for which we obtain marketing approval. In order to obtain reimbursement, physicians may need to show that patients have superior treatment outcomes with our drug products compared to standard of care drugs, including lower-priced generic versions of standard of care drugs. We expect to experience pricing pressures in connection with the sale of any of our drug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880" w:h="15474" w:orient="portrait"/>
          <w:cols w:equalWidth="0" w:num="1">
            <w:col w:w="9360"/>
          </w:cols>
          <w:pgMar w:left="1240" w:top="1255" w:right="1274" w:bottom="0" w:gutter="0" w:footer="0" w:header="0"/>
          <w:type w:val="continuous"/>
        </w:sectPr>
      </w:pPr>
    </w:p>
    <w:bookmarkStart w:id="92" w:name="page93"/>
    <w:bookmarkEnd w:id="92"/>
    <w:p>
      <w:pPr>
        <w:jc w:val="both"/>
        <w:ind w:firstLine="490"/>
        <w:spacing w:after="0" w:line="288" w:lineRule="auto"/>
        <w:rPr>
          <w:sz w:val="20"/>
          <w:szCs w:val="20"/>
          <w:color w:val="auto"/>
        </w:rPr>
      </w:pPr>
      <w:r>
        <w:rPr>
          <w:rFonts w:ascii="Arial" w:cs="Arial" w:eastAsia="Arial" w:hAnsi="Arial"/>
          <w:sz w:val="20"/>
          <w:szCs w:val="20"/>
          <w:b w:val="1"/>
          <w:bCs w:val="1"/>
          <w:i w:val="1"/>
          <w:iCs w:val="1"/>
          <w:color w:val="auto"/>
        </w:rPr>
        <w:t>A variety of risks associated with marketing our drug candidates internationally may materially adversely affect our business.</w:t>
      </w:r>
    </w:p>
    <w:p>
      <w:pPr>
        <w:spacing w:after="0" w:line="183"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20"/>
          <w:szCs w:val="20"/>
          <w:color w:val="auto"/>
        </w:rPr>
        <w:t xml:space="preserve">We plan to eventually seek regulatory approval of our drug candidates outside of the United States and, accordingly, we </w:t>
      </w:r>
      <w:r>
        <w:rPr>
          <w:rFonts w:ascii="Arial" w:cs="Arial" w:eastAsia="Arial" w:hAnsi="Arial"/>
          <w:sz w:val="20"/>
          <w:szCs w:val="20"/>
          <w:color w:val="191919"/>
        </w:rPr>
        <w:t>expect</w:t>
      </w:r>
      <w:r>
        <w:rPr>
          <w:rFonts w:ascii="Arial" w:cs="Arial" w:eastAsia="Arial" w:hAnsi="Arial"/>
          <w:sz w:val="20"/>
          <w:szCs w:val="20"/>
          <w:color w:val="auto"/>
        </w:rPr>
        <w:t xml:space="preserve"> that we will be subject to additional risks related to operating in foreign countries if we obtain the necessary approvals, including:</w:t>
      </w:r>
    </w:p>
    <w:p>
      <w:pPr>
        <w:spacing w:after="0" w:line="70" w:lineRule="exact"/>
        <w:rPr>
          <w:sz w:val="20"/>
          <w:szCs w:val="20"/>
          <w:color w:val="auto"/>
        </w:rPr>
      </w:pPr>
    </w:p>
    <w:p>
      <w:pPr>
        <w:jc w:val="both"/>
        <w:ind w:left="980" w:hanging="491"/>
        <w:spacing w:after="0" w:line="262" w:lineRule="auto"/>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71"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foreign regulatory authorities may disagree with the design, implementation or results of our clinical trials or our interpretation of data from nonclinical studies or clinical trials;</w:t>
      </w:r>
    </w:p>
    <w:p>
      <w:pPr>
        <w:spacing w:after="0" w:line="5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approval policies or regulations of foreign regulatory authorities may significantly change in a manner rendering our clinical data insufficient for approval;</w:t>
      </w:r>
    </w:p>
    <w:p>
      <w:pPr>
        <w:spacing w:after="0" w:line="51"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impact of health epidemics, including COVID-19, on our ability to produce our drug candidates and conduct clinical trials in foreign countries;</w:t>
      </w:r>
    </w:p>
    <w:p>
      <w:pPr>
        <w:spacing w:after="0" w:line="5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unexpected changes in tariffs, trade barriers, price and exchange controls and other regulatory requirements;</w:t>
      </w:r>
    </w:p>
    <w:p>
      <w:pPr>
        <w:spacing w:after="0" w:line="51"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economic weakness, including inflation, or political instability in particular foreign economies and markets;</w:t>
      </w:r>
    </w:p>
    <w:p>
      <w:pPr>
        <w:spacing w:after="0" w:line="5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compliance with legal requirements applicable to privacy, data protection, information security and other matters;</w:t>
      </w:r>
    </w:p>
    <w:p>
      <w:pPr>
        <w:spacing w:after="0" w:line="51"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compliance with tax, employment, immigration and labor laws for employees living or traveling abroad;</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foreign taxes, including withholding of payroll taxes;</w:t>
      </w:r>
    </w:p>
    <w:p>
      <w:pPr>
        <w:spacing w:after="0" w:line="133"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foreign currency fluctuations, which could result in increased operating expenses and reduced revenue, and other obligations incident to doing business in another country;</w:t>
      </w:r>
    </w:p>
    <w:p>
      <w:pPr>
        <w:spacing w:after="0" w:line="51" w:lineRule="exact"/>
        <w:rPr>
          <w:rFonts w:ascii="Arial" w:cs="Arial" w:eastAsia="Arial" w:hAnsi="Arial"/>
          <w:sz w:val="20"/>
          <w:szCs w:val="20"/>
          <w:color w:val="auto"/>
        </w:rPr>
      </w:pPr>
    </w:p>
    <w:p>
      <w:pPr>
        <w:ind w:left="980" w:hanging="491"/>
        <w:spacing w:after="0"/>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difficulties staffing and managing foreign operations;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complexities associated with managing multiple payor reimbursement regimes and government payors in foreign countries;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workforce uncertainty in countries where labor unrest is more common than in the United States;</w:t>
      </w:r>
    </w:p>
    <w:p>
      <w:pPr>
        <w:spacing w:after="0" w:line="145" w:lineRule="exact"/>
        <w:rPr>
          <w:rFonts w:ascii="Arial" w:cs="Arial" w:eastAsia="Arial" w:hAnsi="Arial"/>
          <w:sz w:val="19"/>
          <w:szCs w:val="19"/>
          <w:color w:val="auto"/>
        </w:rPr>
      </w:pPr>
    </w:p>
    <w:p>
      <w:pPr>
        <w:ind w:left="980" w:hanging="491"/>
        <w:spacing w:after="0" w:line="283" w:lineRule="auto"/>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potential liability under the Foreign Corrupt Practices Act of 1977 or comparable foreign regulations;</w:t>
      </w:r>
    </w:p>
    <w:p>
      <w:pPr>
        <w:spacing w:after="0" w:line="51"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challenges enforcing our contractual and intellectual property rights, especially in those foreign countries that do not respect and protect intellectual property rights to the same extent as the United States;</w:t>
      </w:r>
    </w:p>
    <w:p>
      <w:pPr>
        <w:spacing w:after="0" w:line="7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production shortages resulting from any events affecting raw material supply or manufacturing capabilities abroad; and</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business interruptions resulting from geo-political actions, including war and terrorism.</w:t>
      </w:r>
    </w:p>
    <w:p>
      <w:pPr>
        <w:spacing w:after="0" w:line="280" w:lineRule="exact"/>
        <w:rPr>
          <w:sz w:val="20"/>
          <w:szCs w:val="20"/>
          <w:color w:val="auto"/>
        </w:rPr>
      </w:pPr>
    </w:p>
    <w:p>
      <w:pPr>
        <w:ind w:firstLine="489"/>
        <w:spacing w:after="0" w:line="283" w:lineRule="auto"/>
        <w:rPr>
          <w:sz w:val="20"/>
          <w:szCs w:val="20"/>
          <w:color w:val="auto"/>
        </w:rPr>
      </w:pPr>
      <w:r>
        <w:rPr>
          <w:rFonts w:ascii="Arial" w:cs="Arial" w:eastAsia="Arial" w:hAnsi="Arial"/>
          <w:sz w:val="20"/>
          <w:szCs w:val="20"/>
          <w:color w:val="auto"/>
        </w:rPr>
        <w:t xml:space="preserve">These and other risks associated with international operations may materially adversely affect our ability to attain or maintain </w:t>
      </w:r>
      <w:r>
        <w:rPr>
          <w:rFonts w:ascii="Arial" w:cs="Arial" w:eastAsia="Arial" w:hAnsi="Arial"/>
          <w:sz w:val="20"/>
          <w:szCs w:val="20"/>
          <w:color w:val="191919"/>
        </w:rPr>
        <w:t>profitable</w:t>
      </w:r>
      <w:r>
        <w:rPr>
          <w:rFonts w:ascii="Arial" w:cs="Arial" w:eastAsia="Arial" w:hAnsi="Arial"/>
          <w:sz w:val="20"/>
          <w:szCs w:val="20"/>
          <w:color w:val="auto"/>
        </w:rPr>
        <w:t xml:space="preserve"> operations.</w:t>
      </w:r>
    </w:p>
    <w:p>
      <w:pPr>
        <w:sectPr>
          <w:pgSz w:w="11880" w:h="15474" w:orient="portrait"/>
          <w:cols w:equalWidth="0" w:num="1">
            <w:col w:w="9360"/>
          </w:cols>
          <w:pgMar w:left="1240" w:top="1259"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1880" w:h="15474" w:orient="portrait"/>
          <w:cols w:equalWidth="0" w:num="1">
            <w:col w:w="9360"/>
          </w:cols>
          <w:pgMar w:left="1240" w:top="1259" w:right="1274" w:bottom="0" w:gutter="0" w:footer="0" w:header="0"/>
          <w:type w:val="continuous"/>
        </w:sectPr>
      </w:pPr>
    </w:p>
    <w:bookmarkStart w:id="93" w:name="page94"/>
    <w:bookmarkEnd w:id="93"/>
    <w:p>
      <w:pPr>
        <w:spacing w:after="0"/>
        <w:rPr>
          <w:sz w:val="20"/>
          <w:szCs w:val="20"/>
          <w:color w:val="auto"/>
        </w:rPr>
      </w:pPr>
      <w:r>
        <w:rPr>
          <w:rFonts w:ascii="Arial" w:cs="Arial" w:eastAsia="Arial" w:hAnsi="Arial"/>
          <w:sz w:val="20"/>
          <w:szCs w:val="20"/>
          <w:b w:val="1"/>
          <w:bCs w:val="1"/>
          <w:color w:val="auto"/>
        </w:rPr>
        <w:t>Risks Relating to Our Intellectual Property</w:t>
      </w:r>
    </w:p>
    <w:p>
      <w:pPr>
        <w:spacing w:after="0" w:line="288"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20"/>
          <w:szCs w:val="20"/>
          <w:b w:val="1"/>
          <w:bCs w:val="1"/>
          <w:i w:val="1"/>
          <w:iCs w:val="1"/>
          <w:color w:val="auto"/>
        </w:rPr>
        <w:t>Our success depends on our ability to protect our intellectual property and our proprietary technologies.</w:t>
      </w:r>
    </w:p>
    <w:p>
      <w:pPr>
        <w:spacing w:after="0" w:line="183"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Our commercial success depends in part on our ability to obtain and maintain patent protection and trade secret protection for our drug candidates, proprietary technologies and their uses as well as our ability to operate without infringing upon the proprietary rights of others. We generally seek to protect our proprietary position by filing patent applications in the United States and abroad related to our drug candidates, proprietary technologies and their uses that are important to our business. We may also seek to protect our proprietary position by acquiring or in-licensing relevant issued patents or pending applications from third parties.</w:t>
      </w:r>
    </w:p>
    <w:p>
      <w:pPr>
        <w:spacing w:after="0" w:line="225"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spacing w:after="0" w:line="191" w:lineRule="exact"/>
        <w:rPr>
          <w:sz w:val="20"/>
          <w:szCs w:val="20"/>
          <w:color w:val="auto"/>
        </w:rPr>
      </w:pPr>
    </w:p>
    <w:p>
      <w:pPr>
        <w:jc w:val="both"/>
        <w:ind w:firstLine="489"/>
        <w:spacing w:after="0" w:line="247" w:lineRule="auto"/>
        <w:rPr>
          <w:sz w:val="20"/>
          <w:szCs w:val="20"/>
          <w:color w:val="auto"/>
        </w:rPr>
      </w:pPr>
      <w:r>
        <w:rPr>
          <w:rFonts w:ascii="Arial" w:cs="Arial" w:eastAsia="Arial" w:hAnsi="Arial"/>
          <w:sz w:val="20"/>
          <w:szCs w:val="20"/>
          <w:color w:val="auto"/>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or limitations in our ability to properly protect the intellectual property rights relating to our drug candidates could have a material adverse effect on our financial condition and results of operations.</w:t>
      </w:r>
    </w:p>
    <w:p>
      <w:pPr>
        <w:spacing w:after="0" w:line="225"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We cannot be certain that the claims in our pending patent applications or those of any current or future licensors will be considered patentable by the USPTO courts in the United States or by the patent offices and courts in foreign countries, nor can we be certain that the claims in our owned or in-licensed patents will not be found invalid or unenforceable if challenged.</w:t>
      </w:r>
    </w:p>
    <w:p>
      <w:pPr>
        <w:spacing w:after="0" w:line="226"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20"/>
          <w:szCs w:val="20"/>
          <w:color w:val="auto"/>
        </w:rPr>
        <w:t>The patent application process is subject to numerous risks and uncertainties, and there can be no assurance that we or any of our potential future collaborators will be successful in protecting our drug candidates by obtaining and defending patents. These risks and uncertainties include the following:</w:t>
      </w:r>
    </w:p>
    <w:p>
      <w:pPr>
        <w:spacing w:after="0" w:line="71" w:lineRule="exact"/>
        <w:rPr>
          <w:sz w:val="20"/>
          <w:szCs w:val="20"/>
          <w:color w:val="auto"/>
        </w:rPr>
      </w:pPr>
    </w:p>
    <w:p>
      <w:pPr>
        <w:jc w:val="both"/>
        <w:ind w:left="980" w:hanging="491"/>
        <w:spacing w:after="0" w:line="244" w:lineRule="auto"/>
        <w:tabs>
          <w:tab w:leader="none" w:pos="9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80" w:lineRule="exact"/>
        <w:rPr>
          <w:rFonts w:ascii="Arial" w:cs="Arial" w:eastAsia="Arial" w:hAnsi="Arial"/>
          <w:sz w:val="20"/>
          <w:szCs w:val="20"/>
          <w:color w:val="auto"/>
        </w:rPr>
      </w:pPr>
    </w:p>
    <w:p>
      <w:pPr>
        <w:ind w:left="980" w:hanging="491"/>
        <w:spacing w:after="0"/>
        <w:tabs>
          <w:tab w:leader="none" w:pos="9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patent applications may not result in any patents being issued;</w:t>
      </w:r>
    </w:p>
    <w:p>
      <w:pPr>
        <w:spacing w:after="0" w:line="122" w:lineRule="exact"/>
        <w:rPr>
          <w:rFonts w:ascii="Arial" w:cs="Arial" w:eastAsia="Arial" w:hAnsi="Arial"/>
          <w:sz w:val="20"/>
          <w:szCs w:val="20"/>
          <w:color w:val="auto"/>
        </w:rPr>
      </w:pPr>
    </w:p>
    <w:p>
      <w:pPr>
        <w:jc w:val="both"/>
        <w:ind w:left="980" w:hanging="491"/>
        <w:spacing w:after="0" w:line="252" w:lineRule="auto"/>
        <w:tabs>
          <w:tab w:leader="none" w:pos="9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patents and patent applications may be challenged, invalidated, modified, revoked, circumvented, found to be unenforceable or otherwise may not provide any competitive advantage;</w:t>
      </w:r>
    </w:p>
    <w:p>
      <w:pPr>
        <w:spacing w:after="0" w:line="71" w:lineRule="exact"/>
        <w:rPr>
          <w:rFonts w:ascii="Arial" w:cs="Arial" w:eastAsia="Arial" w:hAnsi="Arial"/>
          <w:sz w:val="20"/>
          <w:szCs w:val="20"/>
          <w:color w:val="auto"/>
        </w:rPr>
      </w:pPr>
    </w:p>
    <w:p>
      <w:pPr>
        <w:ind w:left="980" w:hanging="491"/>
        <w:spacing w:after="0" w:line="272" w:lineRule="auto"/>
        <w:tabs>
          <w:tab w:leader="none" w:pos="9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changes to patent laws in the United States or in other countries may limit the ability to obtain, defend or enforce patents, or may apply retroactively to affect the terms or scope of patents;</w:t>
      </w:r>
    </w:p>
    <w:p>
      <w:pPr>
        <w:spacing w:after="0" w:line="52" w:lineRule="exact"/>
        <w:rPr>
          <w:rFonts w:ascii="Arial" w:cs="Arial" w:eastAsia="Arial" w:hAnsi="Arial"/>
          <w:sz w:val="20"/>
          <w:szCs w:val="20"/>
          <w:color w:val="auto"/>
        </w:rPr>
      </w:pPr>
    </w:p>
    <w:p>
      <w:pPr>
        <w:jc w:val="both"/>
        <w:ind w:left="980" w:hanging="491"/>
        <w:spacing w:after="0" w:line="244" w:lineRule="auto"/>
        <w:tabs>
          <w:tab w:leader="none" w:pos="9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drug candidates;</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880" w:h="15474" w:orient="portrait"/>
          <w:cols w:equalWidth="0" w:num="1">
            <w:col w:w="9360"/>
          </w:cols>
          <w:pgMar w:left="1240" w:top="1251" w:right="1274" w:bottom="0" w:gutter="0" w:footer="0" w:header="0"/>
          <w:type w:val="continuous"/>
        </w:sectPr>
      </w:pPr>
    </w:p>
    <w:bookmarkStart w:id="94" w:name="page95"/>
    <w:bookmarkEnd w:id="94"/>
    <w:p>
      <w:pPr>
        <w:jc w:val="both"/>
        <w:ind w:left="980" w:hanging="491"/>
        <w:spacing w:after="0" w:line="244" w:lineRule="auto"/>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there may be significant pressure on the U.S. government and international governmental bodies to limit the scope or term of patent protection both inside and outside the United States for disease treatments that prove successful, as a matter of public policy regarding worldwide health concerns; and</w:t>
      </w:r>
    </w:p>
    <w:p>
      <w:pPr>
        <w:spacing w:after="0" w:line="80" w:lineRule="exact"/>
        <w:rPr>
          <w:rFonts w:ascii="Arial" w:cs="Arial" w:eastAsia="Arial" w:hAnsi="Arial"/>
          <w:sz w:val="20"/>
          <w:szCs w:val="20"/>
          <w:color w:val="auto"/>
        </w:rPr>
      </w:pPr>
    </w:p>
    <w:p>
      <w:pPr>
        <w:jc w:val="both"/>
        <w:ind w:left="980" w:hanging="491"/>
        <w:spacing w:after="0" w:line="251" w:lineRule="auto"/>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219" w:lineRule="exact"/>
        <w:rPr>
          <w:sz w:val="20"/>
          <w:szCs w:val="20"/>
          <w:color w:val="auto"/>
        </w:rPr>
      </w:pPr>
    </w:p>
    <w:p>
      <w:pPr>
        <w:jc w:val="both"/>
        <w:ind w:firstLine="490"/>
        <w:spacing w:after="0"/>
        <w:rPr>
          <w:sz w:val="20"/>
          <w:szCs w:val="20"/>
          <w:color w:val="auto"/>
        </w:rPr>
      </w:pPr>
      <w:r>
        <w:rPr>
          <w:rFonts w:ascii="Arial" w:cs="Arial" w:eastAsia="Arial" w:hAnsi="Arial"/>
          <w:sz w:val="20"/>
          <w:szCs w:val="20"/>
          <w:color w:val="auto"/>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spacing w:after="0" w:line="233"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Certain of these parties may also be subject to public information disclosure statutes and could determine to disclose patentable aspects of our research and development output pursuant to a request thereunder, notwithstanding the existence of a non-disclosure and confidentiality agreement. Any of these actions could jeopardize our ability to seek patent protection.</w:t>
      </w:r>
    </w:p>
    <w:p>
      <w:pPr>
        <w:spacing w:after="0" w:line="233"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Given the amount of time required for the development, testing and regulatory review of new drug candidates, patents protecting such candidates or their use might expire before or shortly after such candidates are commercialized. As a result, our intellectual property may not provide us with sufficient rights to exclude others from commercializing products similar or identical to ours.</w:t>
      </w:r>
    </w:p>
    <w:p>
      <w:pPr>
        <w:spacing w:after="0" w:line="239" w:lineRule="exact"/>
        <w:rPr>
          <w:sz w:val="20"/>
          <w:szCs w:val="20"/>
          <w:color w:val="auto"/>
        </w:rPr>
      </w:pPr>
    </w:p>
    <w:p>
      <w:pPr>
        <w:jc w:val="both"/>
        <w:ind w:firstLine="490"/>
        <w:spacing w:after="0" w:line="265" w:lineRule="auto"/>
        <w:rPr>
          <w:sz w:val="20"/>
          <w:szCs w:val="20"/>
          <w:color w:val="auto"/>
        </w:rPr>
      </w:pPr>
      <w:r>
        <w:rPr>
          <w:rFonts w:ascii="Arial" w:cs="Arial" w:eastAsia="Arial" w:hAnsi="Arial"/>
          <w:sz w:val="20"/>
          <w:szCs w:val="20"/>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205"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current or future licensors may not result in patents being issued which protect our drug candidates or their use or which effectively prevent others from commercializing competitive product candidates.</w:t>
      </w:r>
    </w:p>
    <w:p>
      <w:pPr>
        <w:spacing w:after="0" w:line="234"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drug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spacing w:after="0" w:line="237" w:lineRule="exact"/>
        <w:rPr>
          <w:sz w:val="20"/>
          <w:szCs w:val="20"/>
          <w:color w:val="auto"/>
        </w:rPr>
      </w:pPr>
    </w:p>
    <w:p>
      <w:pPr>
        <w:jc w:val="both"/>
        <w:ind w:firstLine="490"/>
        <w:spacing w:after="0" w:line="272" w:lineRule="auto"/>
        <w:rPr>
          <w:sz w:val="20"/>
          <w:szCs w:val="20"/>
          <w:color w:val="auto"/>
        </w:rPr>
      </w:pPr>
      <w:r>
        <w:rPr>
          <w:rFonts w:ascii="Arial" w:cs="Arial" w:eastAsia="Arial" w:hAnsi="Arial"/>
          <w:sz w:val="19"/>
          <w:szCs w:val="19"/>
          <w:color w:val="auto"/>
        </w:rPr>
        <w:t>The issuance of a patent is not conclusive as to its inventorship, scope,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w:t>
      </w:r>
    </w:p>
    <w:p>
      <w:pPr>
        <w:sectPr>
          <w:pgSz w:w="11880" w:h="15474" w:orient="portrait"/>
          <w:cols w:equalWidth="0" w:num="1">
            <w:col w:w="9360"/>
          </w:cols>
          <w:pgMar w:left="1240" w:top="1260" w:right="1274"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1880" w:h="15474" w:orient="portrait"/>
          <w:cols w:equalWidth="0" w:num="1">
            <w:col w:w="9360"/>
          </w:cols>
          <w:pgMar w:left="1240" w:top="1260" w:right="1274" w:bottom="0" w:gutter="0" w:footer="0" w:header="0"/>
          <w:type w:val="continuous"/>
        </w:sectPr>
      </w:pPr>
    </w:p>
    <w:bookmarkStart w:id="95" w:name="page96"/>
    <w:bookmarkEnd w:id="95"/>
    <w:p>
      <w:pPr>
        <w:jc w:val="both"/>
        <w:spacing w:after="0" w:line="250" w:lineRule="auto"/>
        <w:rPr>
          <w:sz w:val="20"/>
          <w:szCs w:val="20"/>
          <w:color w:val="auto"/>
        </w:rPr>
      </w:pPr>
      <w:r>
        <w:rPr>
          <w:rFonts w:ascii="Arial" w:cs="Arial" w:eastAsia="Arial" w:hAnsi="Arial"/>
          <w:sz w:val="20"/>
          <w:szCs w:val="20"/>
          <w:color w:val="auto"/>
        </w:rPr>
        <w:t xml:space="preserve">PGR, and </w:t>
      </w:r>
      <w:r>
        <w:rPr>
          <w:rFonts w:ascii="Arial" w:cs="Arial" w:eastAsia="Arial" w:hAnsi="Arial"/>
          <w:sz w:val="20"/>
          <w:szCs w:val="20"/>
          <w:i w:val="1"/>
          <w:iCs w:val="1"/>
          <w:color w:val="auto"/>
        </w:rPr>
        <w:t>inter partes</w:t>
      </w:r>
      <w:r>
        <w:rPr>
          <w:rFonts w:ascii="Arial" w:cs="Arial" w:eastAsia="Arial" w:hAnsi="Arial"/>
          <w:sz w:val="20"/>
          <w:szCs w:val="20"/>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drug candidates and compete directly with us, without payment to us, or result in our inability to manufacture or commercialize products without infringing third-party patent rights.</w:t>
      </w:r>
    </w:p>
    <w:p>
      <w:pPr>
        <w:spacing w:after="0" w:line="231"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Moreover, our patents or the patents of any current or future licensors may become subject to post-grant challenge proceedings, such as oppositions in a foreign patent office, that challenge our claim of priority of invention, scope, validity or patentability with respect to our patents and patent applications and those of any current or future licensors.</w:t>
      </w:r>
    </w:p>
    <w:p>
      <w:pPr>
        <w:spacing w:after="0" w:line="226"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For example, in view of the lawsuits disclosed elsewhere in this report including in this “Risk Factors” section under the heading “</w:t>
      </w:r>
      <w:r>
        <w:rPr>
          <w:rFonts w:ascii="Arial" w:cs="Arial" w:eastAsia="Arial" w:hAnsi="Arial"/>
          <w:sz w:val="20"/>
          <w:szCs w:val="20"/>
          <w:i w:val="1"/>
          <w:iCs w:val="1"/>
          <w:color w:val="auto"/>
        </w:rPr>
        <w:t>—We and certain of our directors and executive officers have been, and may in</w:t>
      </w:r>
      <w:r>
        <w:rPr>
          <w:rFonts w:ascii="Arial" w:cs="Arial" w:eastAsia="Arial" w:hAnsi="Arial"/>
          <w:sz w:val="20"/>
          <w:szCs w:val="20"/>
          <w:color w:val="auto"/>
        </w:rPr>
        <w:t xml:space="preserve"> </w:t>
      </w:r>
      <w:r>
        <w:rPr>
          <w:rFonts w:ascii="Arial" w:cs="Arial" w:eastAsia="Arial" w:hAnsi="Arial"/>
          <w:sz w:val="20"/>
          <w:szCs w:val="20"/>
          <w:i w:val="1"/>
          <w:iCs w:val="1"/>
          <w:color w:val="auto"/>
        </w:rPr>
        <w:t>the future be, named as defendants in lawsuits that could result in substantial costs and divert management’s attention</w:t>
      </w:r>
      <w:r>
        <w:rPr>
          <w:rFonts w:ascii="Arial" w:cs="Arial" w:eastAsia="Arial" w:hAnsi="Arial"/>
          <w:sz w:val="20"/>
          <w:szCs w:val="20"/>
          <w:color w:val="auto"/>
        </w:rPr>
        <w:t>,” and in “Part I, Item 3—Legal Proceedings,” third parties may challenge the validity</w:t>
      </w:r>
      <w:r>
        <w:rPr>
          <w:rFonts w:ascii="Arial" w:cs="Arial" w:eastAsia="Arial" w:hAnsi="Arial"/>
          <w:sz w:val="20"/>
          <w:szCs w:val="20"/>
          <w:i w:val="1"/>
          <w:iCs w:val="1"/>
          <w:color w:val="auto"/>
        </w:rPr>
        <w:t xml:space="preserve"> </w:t>
      </w:r>
      <w:r>
        <w:rPr>
          <w:rFonts w:ascii="Arial" w:cs="Arial" w:eastAsia="Arial" w:hAnsi="Arial"/>
          <w:sz w:val="20"/>
          <w:szCs w:val="20"/>
          <w:color w:val="auto"/>
        </w:rPr>
        <w:t>or enforceability of our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drug products such as other modifications to dihexa not covered by our issued patents. Such proceedings also may result in substantial cost and require significant time from our scientists and management, even if the eventual outcome is favorable to us. In addition, if the breadth or strength of protection provided by our in-licensed patents and patent applications is threatened, regardless of the outcome, it could dissuade companies from collaborating with us to license, develop, or commercialize current or future drug candidates. Further, these proceedings could have a material adverse effect on our business, results of operations and financial condition.</w:t>
      </w:r>
    </w:p>
    <w:p>
      <w:pPr>
        <w:spacing w:after="0" w:line="237"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Even though we own patents and patent applications covering fosgonimeton and its use, our patents and any future patents we obtain may not effectively prevent others from developing or commercializing products similar to our drug candidates. While the fosgonimeton patent family is distinct from, and not part of the same patent family as, the dihexa patent licensed from WSU, and therefore is not implicated in the allegations that Dr. Kawas altered images in connection with her doctoral studies, third parties may use these allegations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drug candidates, even if the eventual outcome is favorable to us.</w:t>
      </w:r>
    </w:p>
    <w:p>
      <w:pPr>
        <w:spacing w:after="0" w:line="228"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We or WSU may in the future file one or more requests for supplemental examination of certain patents for the USPTO to reconsider the enforceability and validity of the patents (including any patents relating to dihexa) in view of the allegations that Dr. Kawas altered images in connection with her doctoral studies. The outcome of any supplemental examination procedure is unpredictable. If a substantial new question of patentability is found, the USPTO Director will order ex parte reexamination of the patent. An adverse determination in such a proceeding could reduce the scope of, or invalidate or render unenforceable, the affected patent rights. While supplemental examination proceedings that result in our favor would bolster the presumption of validity and enforceability of the examined patents, third parties may still challenge the patents and patent applications in litigation or other legal proceedings.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880" w:h="15474" w:orient="portrait"/>
          <w:cols w:equalWidth="0" w:num="1">
            <w:col w:w="9360"/>
          </w:cols>
          <w:pgMar w:left="1240" w:top="1255" w:right="1274" w:bottom="0" w:gutter="0" w:footer="0" w:header="0"/>
          <w:type w:val="continuous"/>
        </w:sectPr>
      </w:pPr>
    </w:p>
    <w:bookmarkStart w:id="96" w:name="page97"/>
    <w:bookmarkEnd w:id="96"/>
    <w:p>
      <w:pPr>
        <w:jc w:val="both"/>
        <w:ind w:firstLine="490"/>
        <w:spacing w:after="0" w:line="288" w:lineRule="auto"/>
        <w:rPr>
          <w:sz w:val="20"/>
          <w:szCs w:val="20"/>
          <w:color w:val="auto"/>
        </w:rPr>
      </w:pPr>
      <w:r>
        <w:rPr>
          <w:rFonts w:ascii="Arial" w:cs="Arial" w:eastAsia="Arial" w:hAnsi="Arial"/>
          <w:sz w:val="20"/>
          <w:szCs w:val="20"/>
          <w:b w:val="1"/>
          <w:bCs w:val="1"/>
          <w:i w:val="1"/>
          <w:iCs w:val="1"/>
          <w:color w:val="auto"/>
        </w:rPr>
        <w:t>Intellectual property rights do not necessarily address all potential threats to our competitive advantage.</w:t>
      </w:r>
    </w:p>
    <w:p>
      <w:pPr>
        <w:spacing w:after="0" w:line="183"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0" w:lineRule="exact"/>
        <w:rPr>
          <w:sz w:val="20"/>
          <w:szCs w:val="20"/>
          <w:color w:val="auto"/>
        </w:rPr>
      </w:pPr>
    </w:p>
    <w:p>
      <w:pPr>
        <w:ind w:left="980" w:hanging="491"/>
        <w:spacing w:after="0" w:line="283" w:lineRule="auto"/>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others may be able to develop products that are similar to our drug candidates but that are not covered by the claims of the patents that we own or license;</w:t>
      </w:r>
    </w:p>
    <w:p>
      <w:pPr>
        <w:spacing w:after="0" w:line="51"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we or any current or future licensors or collaborators might not have been the first to make the inventions covered by the issued patents or patent application that we own or license;</w:t>
      </w:r>
    </w:p>
    <w:p>
      <w:pPr>
        <w:spacing w:after="0" w:line="51"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we or any current or future licensors or collaborators might not have been the first to file patent applications covering certain of our or their inventions;</w:t>
      </w:r>
    </w:p>
    <w:p>
      <w:pPr>
        <w:spacing w:after="0" w:line="5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others may independently develop similar or alternative technologies or duplicate any of our technologies without infringing our intellectual property rights;</w:t>
      </w:r>
    </w:p>
    <w:p>
      <w:pPr>
        <w:spacing w:after="0" w:line="51"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it is possible that the pending patent applications we own or license will not lead to issued patents;</w:t>
      </w:r>
    </w:p>
    <w:p>
      <w:pPr>
        <w:spacing w:after="0" w:line="5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issued patents that we own or license may be held invalid or unenforceable, as a result of legal challenges by our competitors;</w:t>
      </w:r>
    </w:p>
    <w:p>
      <w:pPr>
        <w:spacing w:after="0" w:line="51"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2" w:lineRule="exact"/>
        <w:rPr>
          <w:rFonts w:ascii="Arial" w:cs="Arial" w:eastAsia="Arial" w:hAnsi="Arial"/>
          <w:sz w:val="20"/>
          <w:szCs w:val="20"/>
          <w:color w:val="auto"/>
        </w:rPr>
      </w:pPr>
    </w:p>
    <w:p>
      <w:pPr>
        <w:ind w:left="980" w:hanging="491"/>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we may not develop additional proprietary technologies that are patentable;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patents of others may have an adverse effect on our business; and</w:t>
      </w:r>
    </w:p>
    <w:p>
      <w:pPr>
        <w:spacing w:after="0" w:line="13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we may choose not to file a patent application in order to maintain certain trade secrets or know-how, and a third party may subsequently file a patent application covering such intellectual property.</w:t>
      </w:r>
    </w:p>
    <w:p>
      <w:pPr>
        <w:spacing w:after="0" w:line="219"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color w:val="auto"/>
        </w:rPr>
        <w:t>Should any of these events occur, it could significantly harm our business, results of operations and prospects.</w:t>
      </w:r>
    </w:p>
    <w:p>
      <w:pPr>
        <w:spacing w:after="0" w:line="202"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20"/>
          <w:szCs w:val="20"/>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214"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drug candidates and drug products that may be approved in the future, or impair our competitive position. There is a substantial amount of litigation and other legal actions, both within and outside the United States, involving patent and other intellectual property rights in the biopharmaceutical industry, including patent infringement lawsuits, reexaminations, IPR proceedings and PGR proceedings and oppositions before the USPTO and/or corresponding foreign patent offices. Numerous third-party U.S. and foreign issued patents and pending patent applications exist in the fields in which we are developing drug candidates. There may be third-party patents or patent applications with claims to compositions, materials, formulations, methods of manufacture or methods for treatment related to the use or manufacture of our drug candidates.</w:t>
      </w:r>
    </w:p>
    <w:p>
      <w:pPr>
        <w:sectPr>
          <w:pgSz w:w="11880" w:h="15474" w:orient="portrait"/>
          <w:cols w:equalWidth="0" w:num="1">
            <w:col w:w="9360"/>
          </w:cols>
          <w:pgMar w:left="1240" w:top="1259"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880" w:h="15474" w:orient="portrait"/>
          <w:cols w:equalWidth="0" w:num="1">
            <w:col w:w="9360"/>
          </w:cols>
          <w:pgMar w:left="1240" w:top="1259" w:right="1274" w:bottom="0" w:gutter="0" w:footer="0" w:header="0"/>
          <w:type w:val="continuous"/>
        </w:sectPr>
      </w:pPr>
    </w:p>
    <w:bookmarkStart w:id="97" w:name="page98"/>
    <w:bookmarkEnd w:id="97"/>
    <w:p>
      <w:pPr>
        <w:jc w:val="both"/>
        <w:ind w:firstLine="490"/>
        <w:spacing w:after="0" w:line="242" w:lineRule="auto"/>
        <w:rPr>
          <w:sz w:val="20"/>
          <w:szCs w:val="20"/>
          <w:color w:val="auto"/>
        </w:rPr>
      </w:pPr>
      <w:r>
        <w:rPr>
          <w:rFonts w:ascii="Arial" w:cs="Arial" w:eastAsia="Arial" w:hAnsi="Arial"/>
          <w:sz w:val="20"/>
          <w:szCs w:val="20"/>
          <w:color w:val="auto"/>
        </w:rPr>
        <w:t>As the biopharmaceutical industry expands and more patents are issued, the risk increases that our drug candidates may be subject to claims of infringement of the patent rights of third parties. Because patent applications are maintained as confidential for a certain period of time, until the relevant application is published, we may be unaware of third-party patents or patent applications that may be infringed by commercialization of any of our drug candidates, and we cannot be certain that we were the first to file a patent application related to a drug candidate, its use, or our technology. Moreover, because patent applications can take many years to issue, there may be currently-pending patent applications that may later result in issued patents that our drug candidates or their use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drug candidates that may be approved in the future, or impair our competitive position. In addition, third parties may obtain patents in the future and claim that use of our technologies infringes upon these patents. Any defense to claims of patent infringement asserted by third parties would be time consuming and could:</w:t>
      </w:r>
    </w:p>
    <w:p>
      <w:pPr>
        <w:spacing w:after="0" w:line="102" w:lineRule="exact"/>
        <w:rPr>
          <w:sz w:val="20"/>
          <w:szCs w:val="20"/>
          <w:color w:val="auto"/>
        </w:rPr>
      </w:pPr>
    </w:p>
    <w:p>
      <w:pPr>
        <w:ind w:left="980" w:hanging="491"/>
        <w:spacing w:after="0"/>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result in costly litigation that may cause negative publicity;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divert the time and attention of our technical personnel and management;</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cause development delays;</w:t>
      </w:r>
    </w:p>
    <w:p>
      <w:pPr>
        <w:spacing w:after="0" w:line="133"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prevent us from commercializing any of our drug candidates until the asserted patent expires or is held finally invalid or not infringed in a court of law;</w:t>
      </w:r>
    </w:p>
    <w:p>
      <w:pPr>
        <w:spacing w:after="0" w:line="50"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require us to develop non-infringing technology, which may not be possible on a cost-effective basis;</w:t>
      </w:r>
    </w:p>
    <w:p>
      <w:pPr>
        <w:spacing w:after="0" w:line="51" w:lineRule="exact"/>
        <w:rPr>
          <w:rFonts w:ascii="Arial" w:cs="Arial" w:eastAsia="Arial" w:hAnsi="Arial"/>
          <w:sz w:val="20"/>
          <w:szCs w:val="20"/>
          <w:color w:val="auto"/>
        </w:rPr>
      </w:pPr>
    </w:p>
    <w:p>
      <w:pPr>
        <w:ind w:left="980" w:hanging="491"/>
        <w:spacing w:after="0"/>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subject us to significant liability to third parties; or</w:t>
      </w:r>
    </w:p>
    <w:p>
      <w:pPr>
        <w:spacing w:after="0" w:line="13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20"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9"/>
          <w:szCs w:val="19"/>
          <w:color w:val="auto"/>
        </w:rPr>
        <w:t>Although no third party has asserted a claim of patent infringement against us as of the date of this report, others may hold proprietary rights that could prevent our drug candidates from being marketed. Any patent-related legal action against us claiming damages and seeking to enjoin commercial activities relating to our drug candidates, treatment indications, or processes could subject us to significant liability for damages, including treble damages if we were determined to willfully infringe, and require us to obtain a license to manufacture or market our drug candidates. Defense of these claims, regardless of their merit, would involve substantial litigation expense and would be a substantial diversion for management and other personnel.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drug candidates, our treatment indications, or processes to avoid infringement, if necessary. Accordingly, an adverse determination in a judicial or administrative proceeding, or the failure to obtain necessary licenses, could prevent us from developing and commercializing our drug candidates, which could harm our business, financial condition and operating results. In addition, intellectual property litigation, regardless of its outcome, may cause negative publicity and could prohibit us from marketing or otherwise commercializing our drug candidates and technology.</w:t>
      </w:r>
    </w:p>
    <w:p>
      <w:pPr>
        <w:spacing w:after="0" w:line="229"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880" w:h="15474" w:orient="portrait"/>
          <w:cols w:equalWidth="0" w:num="1">
            <w:col w:w="9360"/>
          </w:cols>
          <w:pgMar w:left="1240" w:top="1255" w:right="1274" w:bottom="0" w:gutter="0" w:footer="0" w:header="0"/>
          <w:type w:val="continuous"/>
        </w:sectPr>
      </w:pPr>
    </w:p>
    <w:bookmarkStart w:id="98" w:name="page99"/>
    <w:bookmarkEnd w:id="98"/>
    <w:p>
      <w:pPr>
        <w:jc w:val="both"/>
        <w:spacing w:after="0" w:line="282" w:lineRule="auto"/>
        <w:rPr>
          <w:sz w:val="20"/>
          <w:szCs w:val="20"/>
          <w:color w:val="auto"/>
        </w:rPr>
      </w:pPr>
      <w:r>
        <w:rPr>
          <w:rFonts w:ascii="Arial" w:cs="Arial" w:eastAsia="Arial" w:hAnsi="Arial"/>
          <w:sz w:val="20"/>
          <w:szCs w:val="20"/>
          <w:color w:val="auto"/>
        </w:rPr>
        <w:t>material adverse effect on our ability to raise additional funds or otherwise have a material adverse effect on our business, results of operations, financial condition and prospects.</w:t>
      </w:r>
    </w:p>
    <w:p>
      <w:pPr>
        <w:spacing w:after="0" w:line="203"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We may not be successful in obtaining or maintaining necessary rights to our drug candidates through acquisitions and in-licenses.</w:t>
      </w:r>
    </w:p>
    <w:p>
      <w:pPr>
        <w:spacing w:after="0" w:line="183"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drug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 party intellectual property, or if we are unable to maintain the existing intellectual property rights we have, we may have to abandon development of the relevant program or drug candidate, which could have a material adverse effect on our business, financial condition, results of operations, and prospects.</w:t>
      </w:r>
    </w:p>
    <w:p>
      <w:pPr>
        <w:spacing w:after="0" w:line="241"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20"/>
          <w:szCs w:val="20"/>
          <w:b w:val="1"/>
          <w:bCs w:val="1"/>
          <w:i w:val="1"/>
          <w:iCs w:val="1"/>
          <w:color w:val="auto"/>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p>
    <w:p>
      <w:pPr>
        <w:spacing w:after="0" w:line="215"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or is not infringed. If we or any of our potential future collaborators were to initiate legal proceedings against a third party to enforce a patent directed at one of our drug candidates or their method of use, the defendant could counterclaim that our patent or the patent of any current or future licensors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allegations of a lack of novelty, obviousness, lack of sufficient written description, non-enablement, or obviousness-type double patenting. Grounds for an unenforceability assertion could include an allegation that someone connected with prosecution of the patent application misrepresented or fraudulently withheld relevant information from the USPTO or made a misleading statement during prosecution.</w:t>
      </w:r>
    </w:p>
    <w:p>
      <w:pPr>
        <w:spacing w:after="0" w:line="243"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platform, or any drug candidates that we may develop. The outcome following legal assertions of invalidity and unenforceability is unpredictable. With respect to a validity claim,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drug candidates that we may develop. Such a loss of patent protection would have a material adverse impact on our business, financial condition, results of operations and prospects.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880" w:h="15474" w:orient="portrait"/>
          <w:cols w:equalWidth="0" w:num="1">
            <w:col w:w="9360"/>
          </w:cols>
          <w:pgMar w:left="1240" w:top="1255" w:right="1274" w:bottom="0" w:gutter="0" w:footer="0" w:header="0"/>
          <w:type w:val="continuous"/>
        </w:sectPr>
      </w:pPr>
    </w:p>
    <w:bookmarkStart w:id="99" w:name="page100"/>
    <w:bookmarkEnd w:id="99"/>
    <w:p>
      <w:pPr>
        <w:jc w:val="both"/>
        <w:ind w:firstLine="490"/>
        <w:spacing w:after="0" w:line="245" w:lineRule="auto"/>
        <w:rPr>
          <w:sz w:val="20"/>
          <w:szCs w:val="20"/>
          <w:color w:val="auto"/>
        </w:rPr>
      </w:pPr>
      <w:r>
        <w:rPr>
          <w:rFonts w:ascii="Arial" w:cs="Arial" w:eastAsia="Arial" w:hAnsi="Arial"/>
          <w:sz w:val="20"/>
          <w:szCs w:val="20"/>
          <w:color w:val="auto"/>
        </w:rPr>
        <w:t>The outcome following legal assertions of invalidity 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w:t>
      </w:r>
    </w:p>
    <w:p>
      <w:pPr>
        <w:spacing w:after="0" w:line="237"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If a third party were to prevail on a legal assertion of invalidity or unenforceability, we may lose at least part, and perhaps all, of the patent protection on such drug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drug candidates. Such a loss of patent protection would have a material adverse impact on our business.</w:t>
      </w:r>
    </w:p>
    <w:p>
      <w:pPr>
        <w:spacing w:after="0" w:line="234"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Even if resolved in our favor, litigation or other legal proceedings relating to our intellectual property rights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45"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34"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20"/>
          <w:szCs w:val="20"/>
          <w:color w:val="auto"/>
        </w:rPr>
        <w:t>In addition, the issuance of a patent does not give us the right to practice the patented invention. Third parties may have blocking patents that could prevent us from marketing our own patented drug product and practicing our own patented technology.</w:t>
      </w:r>
    </w:p>
    <w:p>
      <w:pPr>
        <w:spacing w:after="0" w:line="222"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20"/>
          <w:szCs w:val="20"/>
          <w:b w:val="1"/>
          <w:bCs w:val="1"/>
          <w:i w:val="1"/>
          <w:iCs w:val="1"/>
          <w:color w:val="auto"/>
        </w:rPr>
        <w:t>Intellectual property litigation or legal proceedings may lead to unfavorable publicity that harms our reputation and causes the market price of our common stock to decline.</w:t>
      </w:r>
    </w:p>
    <w:p>
      <w:pPr>
        <w:spacing w:after="0" w:line="183"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drug candidates, programs or intellectual property could be diminished. Accordingly, the market price of shares of our common stock may decline. Such announcements could also harm our reputation or the market for our future drug products, which could have a material adverse effect on our business.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880" w:h="15474" w:orient="portrait"/>
          <w:cols w:equalWidth="0" w:num="1">
            <w:col w:w="9360"/>
          </w:cols>
          <w:pgMar w:left="1240" w:top="1255" w:right="1274" w:bottom="0" w:gutter="0" w:footer="0" w:header="0"/>
          <w:type w:val="continuous"/>
        </w:sectPr>
      </w:pPr>
    </w:p>
    <w:bookmarkStart w:id="100" w:name="page101"/>
    <w:bookmarkEnd w:id="100"/>
    <w:p>
      <w:pPr>
        <w:jc w:val="both"/>
        <w:ind w:firstLine="490"/>
        <w:spacing w:after="0" w:line="254" w:lineRule="auto"/>
        <w:rPr>
          <w:sz w:val="20"/>
          <w:szCs w:val="20"/>
          <w:color w:val="auto"/>
        </w:rPr>
      </w:pPr>
      <w:r>
        <w:rPr>
          <w:rFonts w:ascii="Arial" w:cs="Arial" w:eastAsia="Arial" w:hAnsi="Arial"/>
          <w:sz w:val="20"/>
          <w:szCs w:val="20"/>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207"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19"/>
          <w:szCs w:val="19"/>
          <w:color w:val="auto"/>
        </w:rPr>
        <w:t>Derivation proceedings provoked by third parties or brought by us or declared by the USPTO may be necessary to determine the priority of inventions with respect to our patents or patent applications or those of any current or future licensors or of third parties.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personnel.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drug candidates to market.</w:t>
      </w:r>
    </w:p>
    <w:p>
      <w:pPr>
        <w:spacing w:after="0" w:line="230"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b w:val="1"/>
          <w:bCs w:val="1"/>
          <w:i w:val="1"/>
          <w:iCs w:val="1"/>
          <w:color w:val="auto"/>
        </w:rPr>
        <w:t>Patent reform legislation could increase the uncertainties and costs surrounding the prosecution of our patent applications or those of any current or future licensors and the enforcement or defense of our issued patents or those of any current or future licensors.</w:t>
      </w:r>
    </w:p>
    <w:p>
      <w:pPr>
        <w:spacing w:after="0" w:line="207"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filed a patent application in the USPTO after March 2013 but before us could therefore be awarded a patent covering an invention of ours or our current or future licensors even if we or our current or future licensors had made the invention before it was made by such third party. This requires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drug candidates, their use, or our technology or (2) invent any of the inventions claimed in the patents or patent applications.</w:t>
      </w:r>
    </w:p>
    <w:p>
      <w:pPr>
        <w:spacing w:after="0" w:line="234"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color w:val="auto"/>
        </w:rPr>
        <w:t>The Leahy-Smith Act also included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233"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those of our current or future licensors that would not have been invalidated if first challenged by the third party in a district court action. Thus, the Leahy- Smith Act and its implementation could increase the uncertainties and costs surrounding the prosecution of our patent applications or those of any current or future licensors and the enforcement or defense of our issued patents or those of any current or future licensors, all of which could have a material adverse effect on our business, financial condition, results of operations and prospects.</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1880" w:h="15474" w:orient="portrait"/>
          <w:cols w:equalWidth="0" w:num="1">
            <w:col w:w="9360"/>
          </w:cols>
          <w:pgMar w:left="1240" w:top="1251" w:right="1274" w:bottom="0" w:gutter="0" w:footer="0" w:header="0"/>
          <w:type w:val="continuous"/>
        </w:sectPr>
      </w:pPr>
    </w:p>
    <w:bookmarkStart w:id="101" w:name="page102"/>
    <w:bookmarkEnd w:id="101"/>
    <w:p>
      <w:pPr>
        <w:jc w:val="both"/>
        <w:ind w:firstLine="490"/>
        <w:spacing w:after="0" w:line="278" w:lineRule="auto"/>
        <w:rPr>
          <w:sz w:val="20"/>
          <w:szCs w:val="20"/>
          <w:color w:val="auto"/>
        </w:rPr>
      </w:pPr>
      <w:r>
        <w:rPr>
          <w:rFonts w:ascii="Arial" w:cs="Arial" w:eastAsia="Arial" w:hAnsi="Arial"/>
          <w:sz w:val="20"/>
          <w:szCs w:val="20"/>
          <w:b w:val="1"/>
          <w:bCs w:val="1"/>
          <w:i w:val="1"/>
          <w:iCs w:val="1"/>
          <w:color w:val="auto"/>
        </w:rPr>
        <w:t>Changes in U.S. patent law, or laws in other countries, could diminish the value of patents in general, thereby impairing our ability to protect our drug candidates.</w:t>
      </w:r>
    </w:p>
    <w:p>
      <w:pPr>
        <w:spacing w:after="0" w:line="183"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37"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now provide the option, upon grant of a patent, of becoming a Unitary Patent, which is subject to the jurisdiction of the Unitary Patent Court, or UPC. The option of a Unitary Patent is a significant change in European patent practice. As the UPC is a new court system, there is no precedent for the court, increasing the uncertainty of any litigation in the UPC.</w:t>
      </w:r>
    </w:p>
    <w:p>
      <w:pPr>
        <w:spacing w:after="0" w:line="249"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20"/>
          <w:szCs w:val="20"/>
          <w:b w:val="1"/>
          <w:bCs w:val="1"/>
          <w:i w:val="1"/>
          <w:iCs w:val="1"/>
          <w:color w:val="auto"/>
        </w:rPr>
        <w:t>We may be subject to claims challenging the inventorship or ownership of our patents and other intellectual property.</w:t>
      </w:r>
    </w:p>
    <w:p>
      <w:pPr>
        <w:spacing w:after="0" w:line="183"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39"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20"/>
          <w:szCs w:val="20"/>
          <w:b w:val="1"/>
          <w:bCs w:val="1"/>
          <w:i w:val="1"/>
          <w:iCs w:val="1"/>
          <w:color w:val="auto"/>
        </w:rPr>
        <w:t>Patent terms may be inadequate to protect our competitive position on our drug candidates for an adequate amount of time.</w:t>
      </w:r>
    </w:p>
    <w:p>
      <w:pPr>
        <w:spacing w:after="0" w:line="183"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or their use are obtained, once the patent life has expired, we may be open to competition from competitive products, including generic versions of our drug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 products similar or identical to ours.</w:t>
      </w:r>
    </w:p>
    <w:p>
      <w:pPr>
        <w:spacing w:after="0" w:line="241"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If we do not obtain patent term extension for our drug candidates, our business may be materially harmed.</w:t>
      </w:r>
    </w:p>
    <w:p>
      <w:pPr>
        <w:spacing w:after="0" w:line="183"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9"/>
          <w:szCs w:val="19"/>
          <w:color w:val="auto"/>
        </w:rPr>
        <w:t>Depending upon the timing, duration and specifics of FDA marketing approval of our drug candidates, one or more of our U.S. patents or those of any current or future licensors may be eligible for limited patent term restoration under the Drug Price Competition and Patent Term Restoration Act of 1984, or Hatch-</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ectPr>
          <w:pgSz w:w="11880" w:h="15474" w:orient="portrait"/>
          <w:cols w:equalWidth="0" w:num="1">
            <w:col w:w="9360"/>
          </w:cols>
          <w:pgMar w:left="1240" w:top="1251" w:right="1274" w:bottom="0" w:gutter="0" w:footer="0" w:header="0"/>
          <w:type w:val="continuous"/>
        </w:sectPr>
      </w:pPr>
    </w:p>
    <w:bookmarkStart w:id="102" w:name="page103"/>
    <w:bookmarkEnd w:id="102"/>
    <w:p>
      <w:pPr>
        <w:jc w:val="both"/>
        <w:spacing w:after="0" w:line="242" w:lineRule="auto"/>
        <w:rPr>
          <w:sz w:val="20"/>
          <w:szCs w:val="20"/>
          <w:color w:val="auto"/>
        </w:rPr>
      </w:pPr>
      <w:r>
        <w:rPr>
          <w:rFonts w:ascii="Arial" w:cs="Arial" w:eastAsia="Arial" w:hAnsi="Arial"/>
          <w:sz w:val="20"/>
          <w:szCs w:val="20"/>
          <w:color w:val="auto"/>
        </w:rPr>
        <w:t>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clinical trials and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drug candidates, although the requirements and terms of such extensions vary country-by-country.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or launch generic versions of our drug products following our patent expiration, and our revenue could be reduced, possibly materially. Further, if this occurs, our competitors may take advantage of our investment in development and clinical trials by referencing our clinical and nonclinical data and launch their drug product earlier than might otherwise be the case.</w:t>
      </w:r>
    </w:p>
    <w:p>
      <w:pPr>
        <w:spacing w:after="0" w:line="251"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We will not be able to protect our intellectual property rights throughout the world.</w:t>
      </w:r>
    </w:p>
    <w:p>
      <w:pPr>
        <w:spacing w:after="0" w:line="276"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We own and in-license patents and pending patent applications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drug products made using our inventions in and into the United States or other jurisdictions. Competitors may use our inventions in jurisdictions where we have not obtained patent protection to develop their own drug products and, further, may export otherwise infringing drug products to territories where we have patent protection, but enforcement is not as strong as that in the United States. These drug products may compete with our drug candidates, and our patents, the patents of any current or future licensors, or other intellectual property rights may not be effective or sufficient to prevent them from competing.</w:t>
      </w:r>
    </w:p>
    <w:p>
      <w:pPr>
        <w:spacing w:after="0" w:line="243"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drug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43"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9"/>
          <w:szCs w:val="19"/>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1880" w:h="15474" w:orient="portrait"/>
          <w:cols w:equalWidth="0" w:num="1">
            <w:col w:w="9360"/>
          </w:cols>
          <w:pgMar w:left="1240" w:top="1255" w:right="1274" w:bottom="0" w:gutter="0" w:footer="0" w:header="0"/>
          <w:type w:val="continuous"/>
        </w:sectPr>
      </w:pPr>
    </w:p>
    <w:bookmarkStart w:id="103" w:name="page104"/>
    <w:bookmarkEnd w:id="103"/>
    <w:p>
      <w:pPr>
        <w:ind w:right="20" w:firstLine="490"/>
        <w:spacing w:after="0" w:line="242" w:lineRule="auto"/>
        <w:rPr>
          <w:sz w:val="20"/>
          <w:szCs w:val="20"/>
          <w:color w:val="auto"/>
        </w:rPr>
      </w:pPr>
      <w:r>
        <w:rPr>
          <w:rFonts w:ascii="Arial" w:cs="Arial" w:eastAsia="Arial" w:hAnsi="Arial"/>
          <w:sz w:val="20"/>
          <w:szCs w:val="20"/>
          <w:color w:val="auto"/>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238" w:lineRule="exact"/>
        <w:rPr>
          <w:sz w:val="20"/>
          <w:szCs w:val="20"/>
          <w:color w:val="auto"/>
        </w:rPr>
      </w:pPr>
    </w:p>
    <w:p>
      <w:pPr>
        <w:jc w:val="both"/>
        <w:ind w:firstLine="496"/>
        <w:spacing w:after="0" w:line="234" w:lineRule="auto"/>
        <w:rPr>
          <w:sz w:val="20"/>
          <w:szCs w:val="20"/>
          <w:color w:val="auto"/>
        </w:rPr>
      </w:pPr>
      <w:r>
        <w:rPr>
          <w:rFonts w:ascii="Arial" w:cs="Arial" w:eastAsia="Arial" w:hAnsi="Arial"/>
          <w:sz w:val="20"/>
          <w:szCs w:val="20"/>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213" w:lineRule="exact"/>
        <w:rPr>
          <w:sz w:val="20"/>
          <w:szCs w:val="20"/>
          <w:color w:val="auto"/>
        </w:rPr>
      </w:pPr>
    </w:p>
    <w:p>
      <w:pPr>
        <w:jc w:val="both"/>
        <w:ind w:firstLine="496"/>
        <w:spacing w:after="0" w:line="221" w:lineRule="auto"/>
        <w:rPr>
          <w:sz w:val="20"/>
          <w:szCs w:val="20"/>
          <w:color w:val="auto"/>
        </w:rPr>
      </w:pPr>
      <w:r>
        <w:rPr>
          <w:rFonts w:ascii="Arial" w:cs="Arial" w:eastAsia="Arial" w:hAnsi="Arial"/>
          <w:sz w:val="20"/>
          <w:szCs w:val="20"/>
          <w:color w:val="auto"/>
        </w:rPr>
        <w:t>Periodic maintenance fees, renewal fees, annuity fees and various other governmental fees on patents or applications will be due to the USPTO and various foreign patent offices at various points over the lifetime of our patents 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31" w:lineRule="exact"/>
        <w:rPr>
          <w:sz w:val="20"/>
          <w:szCs w:val="20"/>
          <w:color w:val="auto"/>
        </w:rPr>
      </w:pPr>
    </w:p>
    <w:p>
      <w:pPr>
        <w:jc w:val="both"/>
        <w:ind w:firstLine="496"/>
        <w:spacing w:after="0" w:line="264" w:lineRule="auto"/>
        <w:rPr>
          <w:sz w:val="20"/>
          <w:szCs w:val="20"/>
          <w:color w:val="auto"/>
        </w:rPr>
      </w:pPr>
      <w:r>
        <w:rPr>
          <w:rFonts w:ascii="Arial" w:cs="Arial" w:eastAsia="Arial" w:hAnsi="Arial"/>
          <w:sz w:val="20"/>
          <w:szCs w:val="20"/>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04"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9"/>
          <w:szCs w:val="19"/>
          <w:color w:val="auto"/>
        </w:rPr>
        <w:t>We intend to use registered or unregistered trademarks or trade names to brand and market ourselves and our drug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copyrights or other intellectual property may be ineffective and could result in substantial costs and diversion of resources and could adversely affect our financial condition or results of operations.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880" w:h="15474" w:orient="portrait"/>
          <w:cols w:equalWidth="0" w:num="1">
            <w:col w:w="9360"/>
          </w:cols>
          <w:pgMar w:left="1240" w:top="1255" w:right="1274" w:bottom="0" w:gutter="0" w:footer="0" w:header="0"/>
          <w:type w:val="continuous"/>
        </w:sectPr>
      </w:pPr>
    </w:p>
    <w:bookmarkStart w:id="104" w:name="page105"/>
    <w:bookmarkEnd w:id="104"/>
    <w:p>
      <w:pPr>
        <w:jc w:val="both"/>
        <w:ind w:firstLine="490"/>
        <w:spacing w:after="0" w:line="288" w:lineRule="auto"/>
        <w:rPr>
          <w:sz w:val="20"/>
          <w:szCs w:val="20"/>
          <w:color w:val="auto"/>
        </w:rPr>
      </w:pPr>
      <w:r>
        <w:rPr>
          <w:rFonts w:ascii="Arial" w:cs="Arial" w:eastAsia="Arial" w:hAnsi="Arial"/>
          <w:sz w:val="20"/>
          <w:szCs w:val="20"/>
          <w:b w:val="1"/>
          <w:bCs w:val="1"/>
          <w:i w:val="1"/>
          <w:iCs w:val="1"/>
          <w:color w:val="auto"/>
        </w:rPr>
        <w:t>If we are unable to protect the confidentiality of our trade secrets, our business and competitive position would be harmed.</w:t>
      </w:r>
    </w:p>
    <w:p>
      <w:pPr>
        <w:spacing w:after="0" w:line="183"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our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improperly disclosed or misappropriated a trade secret is difficult, expensive and time-consuming, and the outcome is unpredictable. In addition, some courts inside and outside the United States are less willing or unwilling to protect trade secrets.</w:t>
      </w:r>
    </w:p>
    <w:p>
      <w:pPr>
        <w:spacing w:after="0" w:line="242"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37"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We may be subject to claims that we or our employees have wrongfully used or disclosed alleged confidential information or trade secrets of third parties.</w:t>
      </w:r>
    </w:p>
    <w:p>
      <w:pPr>
        <w:spacing w:after="0" w:line="183"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their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drug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239"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237"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207" w:lineRule="exact"/>
        <w:rPr>
          <w:sz w:val="20"/>
          <w:szCs w:val="20"/>
          <w:color w:val="auto"/>
        </w:rPr>
      </w:pPr>
    </w:p>
    <w:p>
      <w:pPr>
        <w:jc w:val="both"/>
        <w:ind w:firstLine="490"/>
        <w:spacing w:after="0" w:line="311" w:lineRule="auto"/>
        <w:rPr>
          <w:sz w:val="20"/>
          <w:szCs w:val="20"/>
          <w:color w:val="auto"/>
        </w:rPr>
      </w:pPr>
      <w:r>
        <w:rPr>
          <w:rFonts w:ascii="Arial" w:cs="Arial" w:eastAsia="Arial" w:hAnsi="Arial"/>
          <w:sz w:val="19"/>
          <w:szCs w:val="19"/>
          <w:color w:val="auto"/>
        </w:rPr>
        <w:t>As is common in the biopharmaceutical industry, in addition to our employees, we engage the services of consultants to assist us in the development of our drug candidates. Many of these consultants, and many</w:t>
      </w:r>
    </w:p>
    <w:p>
      <w:pPr>
        <w:sectPr>
          <w:pgSz w:w="11880" w:h="15474" w:orient="portrait"/>
          <w:cols w:equalWidth="0" w:num="1">
            <w:col w:w="9360"/>
          </w:cols>
          <w:pgMar w:left="1240" w:top="1259" w:right="1274"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1880" w:h="15474" w:orient="portrait"/>
          <w:cols w:equalWidth="0" w:num="1">
            <w:col w:w="9360"/>
          </w:cols>
          <w:pgMar w:left="1240" w:top="1259" w:right="1274" w:bottom="0" w:gutter="0" w:footer="0" w:header="0"/>
          <w:type w:val="continuous"/>
        </w:sectPr>
      </w:pPr>
    </w:p>
    <w:bookmarkStart w:id="105" w:name="page106"/>
    <w:bookmarkEnd w:id="105"/>
    <w:p>
      <w:pPr>
        <w:jc w:val="both"/>
        <w:spacing w:after="0" w:line="245" w:lineRule="auto"/>
        <w:rPr>
          <w:sz w:val="20"/>
          <w:szCs w:val="20"/>
          <w:color w:val="auto"/>
        </w:rPr>
      </w:pPr>
      <w:r>
        <w:rPr>
          <w:rFonts w:ascii="Arial" w:cs="Arial" w:eastAsia="Arial" w:hAnsi="Arial"/>
          <w:sz w:val="20"/>
          <w:szCs w:val="20"/>
          <w:color w:val="auto"/>
        </w:rPr>
        <w:t>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41"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20"/>
          <w:szCs w:val="20"/>
          <w:b w:val="1"/>
          <w:bCs w:val="1"/>
          <w:i w:val="1"/>
          <w:iCs w:val="1"/>
          <w:color w:val="auto"/>
        </w:rPr>
        <w:t>Our rights to develop and commercialize our drug candidates may be subject, in part, to the terms and conditions of licenses granted to us by others.</w:t>
      </w:r>
    </w:p>
    <w:p>
      <w:pPr>
        <w:spacing w:after="0" w:line="183"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We have entered into license agreements with third parties and we may enter into additional license agreements in the future with others to advance our research and development or allow commercialization of drug candidates. These and other licenses may not provide exclusive rights to use such intellectual property and other rights in all relevant fields of use and in all territories in which we may wish to develop or commercialize our drug candidates in the future. Further, these and other licenses may also include certain restrictions or obligations that limit our ability to engage with third parties, including potential restrictions on sublicensing or outsourcing certain activities.</w:t>
      </w:r>
    </w:p>
    <w:p>
      <w:pPr>
        <w:spacing w:after="0" w:line="233"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In addition, subject to the terms of any such license agreements, we may not have the right to control the preparation, filing, prosecution, maintenance, enforcement, and defense of patents and patent applications covering our drug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drug candidates that are subject of such licensed rights could be adversely affected.</w:t>
      </w:r>
    </w:p>
    <w:p>
      <w:pPr>
        <w:spacing w:after="0" w:line="238"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Our licensors and any future licensors may have relied on third party consultants or collaborators or on funds from third parties such that our licensors are not the sole and exclusive owners of the patents we in-license. If it is later determined that third parties own the rights to our in-licensed patents, or if other third parties have ownership rights to our in-licensed patents, such third parties may be able to license such patents to our competitors, and our competitors could market drug products similar or identical to our drug candidates. This could have a material adverse effect on our competitive position, business, financial condition, results of operations, and prospects.</w:t>
      </w:r>
    </w:p>
    <w:p>
      <w:pPr>
        <w:spacing w:after="0" w:line="232"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drug candidates, or the methods for manufacturing them or to develop or license replacement technology, all of which may not be feasible on a technical or commercial basis. If we are unable to do so, we may be unable to develop or commercialize the affected drug candidates, which could harm our business, financial condition, results of operations, and prospects significantly. We cannot provide any assurances that third party patents do not exist which might be enforced against our current manufacturing methods, drug candidates, methods of use, or future methods or drug candidates resulting in either an injunction prohibiting our manufacture or future sales, or, with respect to our future sales, an obligation on our part to pay royalties or other forms of compensation to third parties, which could be significant.</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100</w:t>
      </w:r>
    </w:p>
    <w:p>
      <w:pPr>
        <w:sectPr>
          <w:pgSz w:w="11880" w:h="15474" w:orient="portrait"/>
          <w:cols w:equalWidth="0" w:num="1">
            <w:col w:w="9360"/>
          </w:cols>
          <w:pgMar w:left="1240" w:top="1255" w:right="1274" w:bottom="0" w:gutter="0" w:footer="0" w:header="0"/>
          <w:type w:val="continuous"/>
        </w:sectPr>
      </w:pPr>
    </w:p>
    <w:bookmarkStart w:id="106" w:name="page107"/>
    <w:bookmarkEnd w:id="106"/>
    <w:p>
      <w:pPr>
        <w:jc w:val="both"/>
        <w:ind w:firstLine="490"/>
        <w:spacing w:after="0" w:line="256" w:lineRule="auto"/>
        <w:rPr>
          <w:sz w:val="20"/>
          <w:szCs w:val="20"/>
          <w:color w:val="auto"/>
        </w:rPr>
      </w:pPr>
      <w:r>
        <w:rPr>
          <w:rFonts w:ascii="Arial" w:cs="Arial" w:eastAsia="Arial" w:hAnsi="Arial"/>
          <w:sz w:val="20"/>
          <w:szCs w:val="20"/>
          <w:b w:val="1"/>
          <w:bCs w:val="1"/>
          <w:i w:val="1"/>
          <w:iCs w:val="1"/>
          <w:color w:val="auto"/>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spacing w:after="0" w:line="215"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Disputes may arise between us and our current or future licensors regarding intellectual property and other rights subject to a license agreement, including:</w:t>
      </w:r>
    </w:p>
    <w:p>
      <w:pPr>
        <w:spacing w:after="0" w:line="52" w:lineRule="exact"/>
        <w:rPr>
          <w:sz w:val="20"/>
          <w:szCs w:val="20"/>
          <w:color w:val="auto"/>
        </w:rPr>
      </w:pPr>
    </w:p>
    <w:p>
      <w:pPr>
        <w:ind w:left="980" w:hanging="491"/>
        <w:spacing w:after="0"/>
        <w:tabs>
          <w:tab w:leader="none" w:pos="9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scope of rights granted under the license agreement and other interpretation-related issues;</w:t>
      </w:r>
    </w:p>
    <w:p>
      <w:pPr>
        <w:spacing w:after="0" w:line="145" w:lineRule="exact"/>
        <w:rPr>
          <w:rFonts w:ascii="Arial" w:cs="Arial" w:eastAsia="Arial" w:hAnsi="Arial"/>
          <w:sz w:val="19"/>
          <w:szCs w:val="19"/>
          <w:color w:val="auto"/>
        </w:rPr>
      </w:pPr>
    </w:p>
    <w:p>
      <w:pPr>
        <w:ind w:left="980" w:hanging="491"/>
        <w:spacing w:after="0" w:line="283" w:lineRule="auto"/>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whether and the extent to which our drug candidates infringe on intellectual property of the licensor that is not subject to the licensing agreement;</w:t>
      </w:r>
    </w:p>
    <w:p>
      <w:pPr>
        <w:spacing w:after="0" w:line="51" w:lineRule="exact"/>
        <w:rPr>
          <w:rFonts w:ascii="Arial" w:cs="Arial" w:eastAsia="Arial" w:hAnsi="Arial"/>
          <w:sz w:val="20"/>
          <w:szCs w:val="20"/>
          <w:color w:val="auto"/>
        </w:rPr>
      </w:pPr>
    </w:p>
    <w:p>
      <w:pPr>
        <w:ind w:left="980" w:hanging="491"/>
        <w:spacing w:after="0"/>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our right to sublicense to third parties;</w:t>
      </w:r>
    </w:p>
    <w:p>
      <w:pPr>
        <w:spacing w:after="0" w:line="13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our diligence obligations under the license agreement and what activities satisfy those diligence obligations;</w:t>
      </w:r>
    </w:p>
    <w:p>
      <w:pPr>
        <w:spacing w:after="0" w:line="51" w:lineRule="exact"/>
        <w:rPr>
          <w:rFonts w:ascii="Arial" w:cs="Arial" w:eastAsia="Arial" w:hAnsi="Arial"/>
          <w:sz w:val="20"/>
          <w:szCs w:val="20"/>
          <w:color w:val="auto"/>
        </w:rPr>
      </w:pPr>
    </w:p>
    <w:p>
      <w:pPr>
        <w:ind w:left="980" w:hanging="491"/>
        <w:spacing w:after="0"/>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our right to transfer or assign the license;</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inventorship and ownership of inventions and know-how resulting from the joint creation or use of intellectual property by our licensors and us and our partners; and</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priority of invention of patented technology.</w:t>
      </w:r>
    </w:p>
    <w:p>
      <w:pPr>
        <w:spacing w:after="0" w:line="280"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drug candidates, which could have a material adverse effect on our business, financial condition, results of operations, and prospects.</w:t>
      </w:r>
    </w:p>
    <w:p>
      <w:pPr>
        <w:spacing w:after="0" w:line="242"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In spite of our best efforts, our licensors might conclude that we have materially breached our license agreements and might therefore terminate the license agreements, thereby removing our ability to develop and commercialize drug candidates covered by these license agreements. If these in-licenses are terminated, or if the underlying patents fail to provide the intended exclusivity, competitors would have the freedom to seek regulatory approval of, and to market, drug products identical to ours. This could have a material adverse effect on our competitive position, business, financial condition, results of operations, and prospects.</w:t>
      </w:r>
    </w:p>
    <w:p>
      <w:pPr>
        <w:spacing w:after="0" w:line="237"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The patent protection and patent prosecution for some of our drug candidates may be dependent on third parties.</w:t>
      </w:r>
    </w:p>
    <w:p>
      <w:pPr>
        <w:spacing w:after="0" w:line="183" w:lineRule="exact"/>
        <w:rPr>
          <w:sz w:val="20"/>
          <w:szCs w:val="20"/>
          <w:color w:val="auto"/>
        </w:rPr>
      </w:pPr>
    </w:p>
    <w:p>
      <w:pPr>
        <w:jc w:val="both"/>
        <w:ind w:firstLine="490"/>
        <w:spacing w:after="0" w:line="258" w:lineRule="auto"/>
        <w:rPr>
          <w:sz w:val="20"/>
          <w:szCs w:val="20"/>
          <w:color w:val="auto"/>
        </w:rPr>
      </w:pPr>
      <w:r>
        <w:rPr>
          <w:rFonts w:ascii="Arial" w:cs="Arial" w:eastAsia="Arial" w:hAnsi="Arial"/>
          <w:sz w:val="19"/>
          <w:szCs w:val="19"/>
          <w:color w:val="auto"/>
        </w:rPr>
        <w:t>While we normally seek to obtain the right to control prosecution, maintenance and enforcement of the patent applications and patents relating to our drug candidates and their use, there may be times when the filing and prosecution activities for patent applications and patents relating to our drug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drug candidates, we could lose our rights to the intellectual property or our exclusivity with respect to those rights, our ability to develop and commercialize those drug candidates may be adversely affected and we may not be able to prevent competitors from making, using and selling drug products similar or identical to our drug candidates. In addition, even where we have the right to control patent prosecution of patents and patent applications we have licensed to and from third parties, we may still be adversely</w:t>
      </w:r>
    </w:p>
    <w:p>
      <w:pPr>
        <w:sectPr>
          <w:pgSz w:w="11880" w:h="15474" w:orient="portrait"/>
          <w:cols w:equalWidth="0" w:num="1">
            <w:col w:w="9360"/>
          </w:cols>
          <w:pgMar w:left="1240" w:top="1259" w:right="1274"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101</w:t>
      </w:r>
    </w:p>
    <w:p>
      <w:pPr>
        <w:sectPr>
          <w:pgSz w:w="11880" w:h="15474" w:orient="portrait"/>
          <w:cols w:equalWidth="0" w:num="1">
            <w:col w:w="9360"/>
          </w:cols>
          <w:pgMar w:left="1240" w:top="1259" w:right="1274" w:bottom="0" w:gutter="0" w:footer="0" w:header="0"/>
          <w:type w:val="continuous"/>
        </w:sectPr>
      </w:pPr>
    </w:p>
    <w:bookmarkStart w:id="107" w:name="page108"/>
    <w:bookmarkEnd w:id="107"/>
    <w:p>
      <w:pPr>
        <w:jc w:val="both"/>
        <w:spacing w:after="0" w:line="282" w:lineRule="auto"/>
        <w:rPr>
          <w:sz w:val="20"/>
          <w:szCs w:val="20"/>
          <w:color w:val="auto"/>
        </w:rPr>
      </w:pPr>
      <w:r>
        <w:rPr>
          <w:rFonts w:ascii="Arial" w:cs="Arial" w:eastAsia="Arial" w:hAnsi="Arial"/>
          <w:sz w:val="20"/>
          <w:szCs w:val="20"/>
          <w:color w:val="auto"/>
        </w:rPr>
        <w:t>affected or prejudiced by actions or inactions of our licensees, our licensors and their counsel that took place prior to the date upon which we assumed control over patent prosecution.</w:t>
      </w:r>
    </w:p>
    <w:p>
      <w:pPr>
        <w:spacing w:after="0" w:line="203"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20"/>
          <w:szCs w:val="20"/>
          <w:b w:val="1"/>
          <w:bCs w:val="1"/>
          <w:i w:val="1"/>
          <w:iCs w:val="1"/>
          <w:color w:val="auto"/>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p>
    <w:p>
      <w:pPr>
        <w:spacing w:after="0" w:line="219"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19"/>
          <w:szCs w:val="19"/>
          <w:color w:val="auto"/>
        </w:rPr>
        <w:t>We entered an exclusive license agreement with WSU for certain licensed patents that include intellectual property that was generated through the use of U.S. government funding, and we received a grant from the NIA of the NIH to support our ACT-AD clinical trial. Pursuant to the Bayh-Dole Act, the U.S. government may have certain rights in any invention developed or reduced to practice with government funding. In addition, in the future we may discover, develop, acquire, or license new intellectual property that has been generated through the use of U.S. government funding or grants in which the U.S. government may have certain rights pursuant to the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exercises its march-in rights in our intellectual property rights that are generated through the use of U.S. government funding or grants, we could be required to license or sublicense intellectual property discovered or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Reporting of a subject invention and compliance with the Bayh-Dole Act requirements were delayed for the patent family directed to methods of treating AD with fosgonimeton. As such, this patent family may be subject to U.S. government action which may include loss of rights in the subject invention, suspending or terminating the grant or future awards, or withholding further awards. Should any of these events occur, it could significantly harm our business, results of operations and prospects. In addition, the Bayh-Dole Act requires that, in certain circumstances, any products embodying intellectual property generated with the use of U.S. government funds or produced through the use of any such intellectual property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which could adversely affect our ability to successfully develop and commercialize our drug products and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Cybersecurity</w:t>
      </w:r>
    </w:p>
    <w:p>
      <w:pPr>
        <w:spacing w:after="0" w:line="288"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102</w:t>
      </w:r>
    </w:p>
    <w:p>
      <w:pPr>
        <w:sectPr>
          <w:pgSz w:w="11880" w:h="15474" w:orient="portrait"/>
          <w:cols w:equalWidth="0" w:num="1">
            <w:col w:w="9360"/>
          </w:cols>
          <w:pgMar w:left="1240" w:top="1255" w:right="1274" w:bottom="0" w:gutter="0" w:footer="0" w:header="0"/>
          <w:type w:val="continuous"/>
        </w:sectPr>
      </w:pPr>
    </w:p>
    <w:bookmarkStart w:id="108" w:name="page109"/>
    <w:bookmarkEnd w:id="108"/>
    <w:p>
      <w:pPr>
        <w:jc w:val="both"/>
        <w:spacing w:after="0" w:line="288" w:lineRule="auto"/>
        <w:rPr>
          <w:sz w:val="20"/>
          <w:szCs w:val="20"/>
          <w:color w:val="auto"/>
        </w:rPr>
      </w:pPr>
      <w:r>
        <w:rPr>
          <w:rFonts w:ascii="Arial" w:cs="Arial" w:eastAsia="Arial" w:hAnsi="Arial"/>
          <w:sz w:val="20"/>
          <w:szCs w:val="20"/>
          <w:b w:val="1"/>
          <w:bCs w:val="1"/>
          <w:i w:val="1"/>
          <w:iCs w:val="1"/>
          <w:color w:val="auto"/>
        </w:rPr>
        <w:t>systems, infrastructure and data, including mobile technologies, to operate our business. The multitude and complexity of our computer systems may fail or suffer security breaches.</w:t>
      </w:r>
    </w:p>
    <w:p>
      <w:pPr>
        <w:spacing w:after="0" w:line="183" w:lineRule="exact"/>
        <w:rPr>
          <w:sz w:val="20"/>
          <w:szCs w:val="20"/>
          <w:color w:val="auto"/>
        </w:rPr>
      </w:pPr>
    </w:p>
    <w:p>
      <w:pPr>
        <w:jc w:val="both"/>
        <w:ind w:firstLine="490"/>
        <w:spacing w:after="0" w:line="242" w:lineRule="auto"/>
        <w:rPr>
          <w:sz w:val="20"/>
          <w:szCs w:val="20"/>
          <w:color w:val="auto"/>
        </w:rPr>
      </w:pPr>
      <w:r>
        <w:rPr>
          <w:rFonts w:ascii="Arial" w:cs="Arial" w:eastAsia="Arial" w:hAnsi="Arial"/>
          <w:sz w:val="20"/>
          <w:szCs w:val="20"/>
          <w:color w:val="auto"/>
        </w:rPr>
        <w:t>As discussed in this report in "Part I, Item I.C—Cybersecurity,” we have implemented various processes and policies for identifying, assessing, and managing material risks from cybersecurity threats. However, despite the implementation of such safeguards and security measures, our internal computer systems and those of our CROs and other contractors and consultants may nevertheless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malicious internet-based activity, online and offline fraud, and other similar activities threaten the confidentiality, integrity, and availability of our personal, sensitive, confidential or proprietary information and information technology systems, and those of the third parties upon which we rely. For example, in April 2023, CRO Evotec SE faced a cybersecurity attack that temporarily disrupted its systems and operations.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spacing w:after="0" w:line="241"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Increases in remote work impacting how our employees work and access our systems could lead to additional opportunities for bad actors to launch cyberattacks or for employees to cause inadvertent security risks or incidents and may amplify the impacts of any security breach or incident.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246"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We may rely on third-party service providers and technologies to operate critical business systems to process sensitive information and other company data in a variety of contexts. We may also rely on third-party service providers to provide certain products or services, or otherwise to operate our business. Our ability to monitor these third parties' information security practices is limited, and these third parties may not have adequate information security measures in place. Security incidents or other interruptions suffered by our third-party service providers could cause us to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239"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auto"/>
        </w:rPr>
        <w:t>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 resources, personal, sensitive, confidential or proprietary information, including protected health information or other patient information, or that prevents access to patient information, as</w:t>
      </w:r>
    </w:p>
    <w:p>
      <w:pPr>
        <w:sectPr>
          <w:pgSz w:w="11880" w:h="15474" w:orient="portrait"/>
          <w:cols w:equalWidth="0" w:num="1">
            <w:col w:w="9360"/>
          </w:cols>
          <w:pgMar w:left="1240" w:top="1259" w:right="1274"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103</w:t>
      </w:r>
    </w:p>
    <w:p>
      <w:pPr>
        <w:sectPr>
          <w:pgSz w:w="11880" w:h="15474" w:orient="portrait"/>
          <w:cols w:equalWidth="0" w:num="1">
            <w:col w:w="9360"/>
          </w:cols>
          <w:pgMar w:left="1240" w:top="1259" w:right="1274" w:bottom="0" w:gutter="0" w:footer="0" w:header="0"/>
          <w:type w:val="continuous"/>
        </w:sectPr>
      </w:pPr>
    </w:p>
    <w:bookmarkStart w:id="109" w:name="page110"/>
    <w:bookmarkEnd w:id="109"/>
    <w:p>
      <w:pPr>
        <w:jc w:val="both"/>
        <w:spacing w:after="0" w:line="246" w:lineRule="auto"/>
        <w:rPr>
          <w:sz w:val="20"/>
          <w:szCs w:val="20"/>
          <w:color w:val="auto"/>
        </w:rPr>
      </w:pPr>
      <w:r>
        <w:rPr>
          <w:rFonts w:ascii="Arial" w:cs="Arial" w:eastAsia="Arial" w:hAnsi="Arial"/>
          <w:sz w:val="20"/>
          <w:szCs w:val="20"/>
          <w:color w:val="auto"/>
        </w:rPr>
        <w:t>well as the perception that any of the foregoing has occurred, could harm our reputation, compel us to comply with federal 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or result in increased costs or loss of revenue or company resources. Moreover, the prevalent use of mobile devices that access confidential information, increase the risk of security breaches and incidents.</w:t>
      </w:r>
    </w:p>
    <w:p>
      <w:pPr>
        <w:spacing w:after="0" w:line="234"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9"/>
          <w:szCs w:val="19"/>
          <w:color w:val="auto"/>
        </w:rPr>
        <w:t>Despite efforts to create security barriers to the above-described threats, it is impossible for us to entirely mitigate these risks. To date, we have not experienced any material impact to our business, financial position or results of operations resulting from cyberattacks or other information security incidents such as phishing, social engineering, ransomware or malware attacks; however, because of the frequently changing attack techniques, along with the increased volume and sophistication of such attacks, our business, financial position or results of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unavailability, or corruption of clinical trial data from completed, ongoing or future clinical trials could result in delays in our regulatory approval efforts and significantly increase our costs to recover or reproduce the data. Any disruption or security breach or incident resulting in loss or unavailability of, or damage to, our data or systems, or inappropriate use, disclosure or modification of personal, sensitive, confidential or proprietary information, could result in us incurring liability and in delays to further development and commercialization of our drug candidates could be delayed. While we have invested, and continue to invest, in the protection of our data and information technology infrastructure, there can be no assurance that our efforts will prevent service interruptions, or prevent or identify vulnerabilities or security breaches or incidents, that could adversely affect our business and operations or result in the loss, unavailability, or corruption of, or inappropriate access to or use of, critical or sensitive information or company resources. Any such interruptions, breaches or incidents, or the perception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p>
    <w:p>
      <w:pPr>
        <w:spacing w:after="0" w:line="200" w:lineRule="exact"/>
        <w:rPr>
          <w:sz w:val="20"/>
          <w:szCs w:val="20"/>
          <w:color w:val="auto"/>
        </w:rPr>
      </w:pPr>
    </w:p>
    <w:p>
      <w:pPr>
        <w:spacing w:after="0" w:line="262"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36"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Data collection is governed by restrictive regulations governing the use, processing and cross-border transfer of personal information.</w:t>
      </w:r>
    </w:p>
    <w:p>
      <w:pPr>
        <w:spacing w:after="0" w:line="183" w:lineRule="exact"/>
        <w:rPr>
          <w:sz w:val="20"/>
          <w:szCs w:val="20"/>
          <w:color w:val="auto"/>
        </w:rPr>
      </w:pPr>
    </w:p>
    <w:p>
      <w:pPr>
        <w:jc w:val="both"/>
        <w:ind w:firstLine="490"/>
        <w:spacing w:after="0" w:line="258" w:lineRule="auto"/>
        <w:rPr>
          <w:sz w:val="20"/>
          <w:szCs w:val="20"/>
          <w:color w:val="auto"/>
        </w:rPr>
      </w:pPr>
      <w:r>
        <w:rPr>
          <w:rFonts w:ascii="Arial" w:cs="Arial" w:eastAsia="Arial" w:hAnsi="Arial"/>
          <w:sz w:val="19"/>
          <w:szCs w:val="19"/>
          <w:color w:val="auto"/>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including personal health data, regarding individuals in the European Economic Area, or EEA,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104</w:t>
      </w:r>
    </w:p>
    <w:p>
      <w:pPr>
        <w:sectPr>
          <w:pgSz w:w="11880" w:h="15474" w:orient="portrait"/>
          <w:cols w:equalWidth="0" w:num="1">
            <w:col w:w="9360"/>
          </w:cols>
          <w:pgMar w:left="1240" w:top="1255" w:right="1274" w:bottom="0" w:gutter="0" w:footer="0" w:header="0"/>
          <w:type w:val="continuous"/>
        </w:sectPr>
      </w:pPr>
    </w:p>
    <w:bookmarkStart w:id="110" w:name="page111"/>
    <w:bookmarkEnd w:id="110"/>
    <w:p>
      <w:pPr>
        <w:jc w:val="both"/>
        <w:ind w:firstLine="1"/>
        <w:spacing w:after="0" w:line="244" w:lineRule="auto"/>
        <w:rPr>
          <w:sz w:val="20"/>
          <w:szCs w:val="20"/>
          <w:color w:val="auto"/>
        </w:rPr>
      </w:pPr>
      <w:r>
        <w:rPr>
          <w:rFonts w:ascii="Arial" w:cs="Arial" w:eastAsia="Arial" w:hAnsi="Arial"/>
          <w:sz w:val="20"/>
          <w:szCs w:val="20"/>
          <w:color w:val="auto"/>
        </w:rPr>
        <w:t>large penalties for violations of the GDPR, including potential fines of up to € 20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subject to uncertainty, including as the result of legal proceedings in the EU. For example, in 2020, the Court of Justice for the EU invalidated the EU-U.S. Privacy Shield and imposed additional obligations in connection with the use of standard contractual clauses approved by the EU Commission. These and other developments with respect to cross-border data transfers may increase the complexity of transferring personal data across borders and may require us to review and amend our mechanisms relating to cross-border data transfer.</w:t>
      </w:r>
    </w:p>
    <w:p>
      <w:pPr>
        <w:spacing w:after="0" w:line="238"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Further, the exit of the United Kingdom, or UK, from the EU has created uncertainty regarding data protection regulation in the UK. The UK has implemented legislation similar to the GDPR, referred to as the UK GDPR, which provides for fines of up to the greater of up to the greater of £17.5 million or 4% of global turnover. The GDPR and UK GDPR increased our responsibility and liability in relation to personal data that we process where subject to these regimes, and we may be required to put in place or modify policies and measures to ensure compliance with the GDPR, including as implemented by individual countries, and the UK GDPR, each of which may require us to modify our policies and procedures and engage in additional contractual negotiations, and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the EEA and the UK.</w:t>
      </w:r>
    </w:p>
    <w:p>
      <w:pPr>
        <w:spacing w:after="0" w:line="238" w:lineRule="exact"/>
        <w:rPr>
          <w:sz w:val="20"/>
          <w:szCs w:val="20"/>
          <w:color w:val="auto"/>
        </w:rPr>
      </w:pPr>
    </w:p>
    <w:p>
      <w:pPr>
        <w:jc w:val="both"/>
        <w:ind w:firstLine="490"/>
        <w:spacing w:after="0" w:line="232" w:lineRule="auto"/>
        <w:rPr>
          <w:sz w:val="20"/>
          <w:szCs w:val="20"/>
          <w:color w:val="auto"/>
        </w:rPr>
      </w:pPr>
      <w:r>
        <w:rPr>
          <w:rFonts w:ascii="Arial" w:cs="Arial" w:eastAsia="Arial" w:hAnsi="Arial"/>
          <w:sz w:val="20"/>
          <w:szCs w:val="20"/>
          <w:color w:val="auto"/>
        </w:rPr>
        <w:t>In addition,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California has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California Privacy Rights Act of 2020 (CPRA), which became operative January 1, 2023, expands the CCPA’s requirements, including applying to personal information of business representatives and employees and establishing a new regulatory agency to implement and enforce the law. Although the CCPA exempts some data processed in the context of clinical trials, the CCPA and CPRA may increase compliance costs and potential liability with respect to other personal data we maintain about California residents. Additionally, numerous other states have proposed or enacted laws addressing privacy and security, including Washington's My Health, My Data Act, and several laws imposing obligations similar to those of the CCPA. The CCPA, CPRA, and other evolving legislation relating to privacy, data protection, and information security may impact our business activities and exemplify the vulnerability of our business to the evolving regulatory environment related to personal data and protected health information.</w:t>
      </w:r>
    </w:p>
    <w:p>
      <w:pPr>
        <w:spacing w:after="0" w:line="244"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color w:val="auto"/>
        </w:rPr>
        <w:t>We may also be bound by contractual obligations related to data privacy and security, and our efforts to comply with such obligations may not be successful. For example, certain privacy laws, such as the GDPR and the CCPA/CPRA, require us to impose specific contractual restrictions on our service providers, and we may also be subject to use and disclosure limitations in our contracts with providers who share information with us for clinical trials. Additionally,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105</w:t>
      </w:r>
    </w:p>
    <w:p>
      <w:pPr>
        <w:sectPr>
          <w:pgSz w:w="11880" w:h="15474" w:orient="portrait"/>
          <w:cols w:equalWidth="0" w:num="1">
            <w:col w:w="9360"/>
          </w:cols>
          <w:pgMar w:left="1240" w:top="1255" w:right="1274" w:bottom="0" w:gutter="0" w:footer="0" w:header="0"/>
          <w:type w:val="continuous"/>
        </w:sectPr>
      </w:pPr>
    </w:p>
    <w:bookmarkStart w:id="111" w:name="page112"/>
    <w:bookmarkEnd w:id="111"/>
    <w:p>
      <w:pPr>
        <w:jc w:val="both"/>
        <w:ind w:firstLine="490"/>
        <w:spacing w:after="0" w:line="235" w:lineRule="auto"/>
        <w:rPr>
          <w:sz w:val="20"/>
          <w:szCs w:val="20"/>
          <w:color w:val="auto"/>
        </w:rPr>
      </w:pPr>
      <w:r>
        <w:rPr>
          <w:rFonts w:ascii="Arial" w:cs="Arial" w:eastAsia="Arial" w:hAnsi="Arial"/>
          <w:sz w:val="20"/>
          <w:szCs w:val="20"/>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business model,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p>
    <w:p>
      <w:pPr>
        <w:spacing w:after="0" w:line="237"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19"/>
          <w:szCs w:val="19"/>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information security could result in governmental investigations, proceedings and enforcement actions (which could result in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laws relating to privacy, data protection, or information security, or breached our contractual obligations, even if we are not found liable, could be expensive and time consuming to defend and could result in adverse publicity that could harm our business.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Ownership of Our Common Stock</w:t>
      </w:r>
    </w:p>
    <w:p>
      <w:pPr>
        <w:spacing w:after="0" w:line="278"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b w:val="1"/>
          <w:bCs w:val="1"/>
          <w:i w:val="1"/>
          <w:iCs w:val="1"/>
          <w:color w:val="auto"/>
        </w:rPr>
        <w:t>We and certain of our directors and executive officers have been, and may in the future be, named as defendants in lawsuits that could result in substantial costs and divert management’s attention.</w:t>
      </w:r>
    </w:p>
    <w:p>
      <w:pPr>
        <w:spacing w:after="0" w:line="207"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19"/>
          <w:szCs w:val="19"/>
          <w:color w:val="auto"/>
        </w:rPr>
        <w:t>As described elsewhere in this report in “Part I, Item 3—Legal Proceedings,” we and certain of our executive officers and directors have been named as defendants in a class action lawsuit that generally alleges that we and certain of our officers and directors violated Sections 10(b) and 20(a) of the Exchange Act and Rule 10b- 5 promulgated thereunder and Sections 11, 12, and 15 of the Securities Act by making allegedly false or misleading statements and omitting material adverse facts regarding our business. Certain of our executive officers and directors have also been named as defendants in derivative actions, which are based on similar allegations, and generally allege that defendants breached their fiduciary duties to us, among other things. We are named as a nominal defendant in these derivative proceedings. These complaints seek unspecified compensatory and punitive damages, and reasonable costs and expenses, including attorneys’ fees, and other relief. As of the date of this report, we are unable to predict the outcome of these matters. Although we have insurance, it provides for a substantial retention of liability and is subject to limitations and may not cover a significant portion, or any, of the expenses or liabilities we may incur or be subject to in connection with class action lawsuit or other litigation to which we are party.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has caused and will continue to cause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and advance our drug candidates, any of which could have a material adverse effect on our business. In addition, additional lawsuits may be filed, the conclusion of which in a manner adverse to us and for which we incur substantial costs or damages not covered by our directors’ and officers’ liability insurance would have a material adverse effect on our financial condition and business.</w:t>
      </w:r>
    </w:p>
    <w:p>
      <w:pPr>
        <w:spacing w:after="0" w:line="253" w:lineRule="exact"/>
        <w:rPr>
          <w:sz w:val="20"/>
          <w:szCs w:val="20"/>
          <w:color w:val="auto"/>
        </w:rPr>
      </w:pPr>
    </w:p>
    <w:p>
      <w:pPr>
        <w:ind w:right="220" w:firstLine="490"/>
        <w:spacing w:after="0" w:line="288" w:lineRule="auto"/>
        <w:rPr>
          <w:sz w:val="20"/>
          <w:szCs w:val="20"/>
          <w:color w:val="auto"/>
        </w:rPr>
      </w:pPr>
      <w:r>
        <w:rPr>
          <w:rFonts w:ascii="Arial" w:cs="Arial" w:eastAsia="Arial" w:hAnsi="Arial"/>
          <w:sz w:val="20"/>
          <w:szCs w:val="20"/>
          <w:b w:val="1"/>
          <w:bCs w:val="1"/>
          <w:i w:val="1"/>
          <w:iCs w:val="1"/>
          <w:color w:val="auto"/>
        </w:rPr>
        <w:t>Actions by activist stockholders have in the past been, and may in the future be, disruptive and could cause uncertainty about the strategic direction of our business.</w:t>
      </w:r>
    </w:p>
    <w:p>
      <w:pPr>
        <w:sectPr>
          <w:pgSz w:w="11880" w:h="15474" w:orient="portrait"/>
          <w:cols w:equalWidth="0" w:num="1">
            <w:col w:w="9360"/>
          </w:cols>
          <w:pgMar w:left="1240" w:top="1247" w:right="1274"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106</w:t>
      </w:r>
    </w:p>
    <w:p>
      <w:pPr>
        <w:sectPr>
          <w:pgSz w:w="11880" w:h="15474" w:orient="portrait"/>
          <w:cols w:equalWidth="0" w:num="1">
            <w:col w:w="9360"/>
          </w:cols>
          <w:pgMar w:left="1240" w:top="1247" w:right="1274" w:bottom="0" w:gutter="0" w:footer="0" w:header="0"/>
          <w:type w:val="continuous"/>
        </w:sectPr>
      </w:pPr>
    </w:p>
    <w:bookmarkStart w:id="112" w:name="page113"/>
    <w:bookmarkEnd w:id="112"/>
    <w:p>
      <w:pPr>
        <w:jc w:val="both"/>
        <w:ind w:firstLine="490"/>
        <w:spacing w:after="0" w:line="248" w:lineRule="auto"/>
        <w:rPr>
          <w:sz w:val="20"/>
          <w:szCs w:val="20"/>
          <w:color w:val="auto"/>
        </w:rPr>
      </w:pPr>
      <w:r>
        <w:rPr>
          <w:rFonts w:ascii="Arial" w:cs="Arial" w:eastAsia="Arial" w:hAnsi="Arial"/>
          <w:sz w:val="19"/>
          <w:szCs w:val="19"/>
          <w:color w:val="auto"/>
        </w:rPr>
        <w:t>Our business could be negatively affected as a result of stockholder activism, which could be disruptive and cause uncertainty about the strategic direction of our business. For example, in February 2022, an activist stockholder announced his intention to nominate himself and one other candidate for election to our board of directors at our 2022 annual meeting of stockholders. While this proxy contest was unsuccessful, stockholder activism could recur and have an adverse effect on our business, results of operations, and financial condition. For example, at times our market capitalization has been less than the aggregate value of our cash, cash equivalents and investments. Other biotechnology companies in this situation have received proposals from shareholder activists to liquidate and return capital to investors.</w:t>
      </w:r>
    </w:p>
    <w:p>
      <w:pPr>
        <w:spacing w:after="0" w:line="222" w:lineRule="exact"/>
        <w:rPr>
          <w:sz w:val="20"/>
          <w:szCs w:val="20"/>
          <w:color w:val="auto"/>
        </w:rPr>
      </w:pPr>
    </w:p>
    <w:p>
      <w:pPr>
        <w:jc w:val="both"/>
        <w:ind w:firstLine="490"/>
        <w:spacing w:after="0" w:line="249" w:lineRule="auto"/>
        <w:rPr>
          <w:sz w:val="20"/>
          <w:szCs w:val="20"/>
          <w:color w:val="auto"/>
        </w:rPr>
      </w:pPr>
      <w:r>
        <w:rPr>
          <w:rFonts w:ascii="Arial" w:cs="Arial" w:eastAsia="Arial" w:hAnsi="Arial"/>
          <w:sz w:val="20"/>
          <w:szCs w:val="20"/>
          <w:color w:val="auto"/>
        </w:rPr>
        <w:t>We strive to maintain constructive communications with our stockholders and welcome their views and opinions with the goal of enhancing value for all stockholders. However, a proxy contest or other activist behaviors could have an adverse effect on us because:</w:t>
      </w:r>
    </w:p>
    <w:p>
      <w:pPr>
        <w:spacing w:after="0" w:line="83" w:lineRule="exact"/>
        <w:rPr>
          <w:sz w:val="20"/>
          <w:szCs w:val="20"/>
          <w:color w:val="auto"/>
        </w:rPr>
      </w:pPr>
    </w:p>
    <w:p>
      <w:pPr>
        <w:jc w:val="both"/>
        <w:ind w:left="980" w:hanging="492"/>
        <w:spacing w:after="0" w:line="254" w:lineRule="auto"/>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responding to actions by activist stockholders can disrupt our operations, is costly and time-consuming, and diverts the attention of our board of directors and senior management team from the pursuit of business strategies, each of which could adversely affect our results of operations and financial condition;</w:t>
      </w:r>
    </w:p>
    <w:p>
      <w:pPr>
        <w:spacing w:after="0" w:line="80" w:lineRule="exact"/>
        <w:rPr>
          <w:rFonts w:ascii="Arial" w:cs="Arial" w:eastAsia="Arial" w:hAnsi="Arial"/>
          <w:sz w:val="20"/>
          <w:szCs w:val="20"/>
          <w:color w:val="auto"/>
        </w:rPr>
      </w:pPr>
    </w:p>
    <w:p>
      <w:pPr>
        <w:jc w:val="both"/>
        <w:ind w:left="980" w:hanging="492"/>
        <w:spacing w:after="0" w:line="248" w:lineRule="auto"/>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perceived uncertainties as to our future direction as a result of changes to the composition of our board of directors may lead to the perception of a change in the direction of our business, as well as instability or lack of continuity, all of which may be exploited by our competitors, may result in the loss of potential business opportunities, may cause concern for those enrolling in our clinical trials, and make it more difficult to attract and retain qualified personnel and business partners;</w:t>
      </w:r>
    </w:p>
    <w:p>
      <w:pPr>
        <w:spacing w:after="0" w:line="87" w:lineRule="exact"/>
        <w:rPr>
          <w:rFonts w:ascii="Arial" w:cs="Arial" w:eastAsia="Arial" w:hAnsi="Arial"/>
          <w:sz w:val="20"/>
          <w:szCs w:val="20"/>
          <w:color w:val="auto"/>
        </w:rPr>
      </w:pPr>
    </w:p>
    <w:p>
      <w:pPr>
        <w:ind w:left="980" w:hanging="492"/>
        <w:spacing w:after="0" w:line="283" w:lineRule="auto"/>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actions by activist stockholders may interfere with any efforts that we undertake in the future to raise capital;</w:t>
      </w:r>
    </w:p>
    <w:p>
      <w:pPr>
        <w:spacing w:after="0" w:line="50" w:lineRule="exact"/>
        <w:rPr>
          <w:rFonts w:ascii="Arial" w:cs="Arial" w:eastAsia="Arial" w:hAnsi="Arial"/>
          <w:sz w:val="20"/>
          <w:szCs w:val="20"/>
          <w:color w:val="auto"/>
        </w:rPr>
      </w:pPr>
    </w:p>
    <w:p>
      <w:pPr>
        <w:jc w:val="both"/>
        <w:ind w:left="980" w:hanging="492"/>
        <w:spacing w:after="0" w:line="262" w:lineRule="auto"/>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actions by activist stockholders could cause significant fluctuations in our stock price based on temporary or speculative market perceptions or other factors that do not necessarily reflect the underlying fundamentals and prospects of our business; and</w:t>
      </w:r>
    </w:p>
    <w:p>
      <w:pPr>
        <w:spacing w:after="0" w:line="71" w:lineRule="exact"/>
        <w:rPr>
          <w:rFonts w:ascii="Arial" w:cs="Arial" w:eastAsia="Arial" w:hAnsi="Arial"/>
          <w:sz w:val="20"/>
          <w:szCs w:val="20"/>
          <w:color w:val="auto"/>
        </w:rPr>
      </w:pPr>
    </w:p>
    <w:p>
      <w:pPr>
        <w:jc w:val="both"/>
        <w:ind w:left="980" w:hanging="492"/>
        <w:spacing w:after="0" w:line="261" w:lineRule="auto"/>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if individuals are elected to our board of directors with a specific agenda as a result of a proxy contest, it may adversely affect our ability to effectively implement our business strategy and to create additional value for our stockholders.</w:t>
      </w:r>
    </w:p>
    <w:p>
      <w:pPr>
        <w:spacing w:after="0" w:line="219" w:lineRule="exact"/>
        <w:rPr>
          <w:sz w:val="20"/>
          <w:szCs w:val="20"/>
          <w:color w:val="auto"/>
        </w:rPr>
      </w:pPr>
    </w:p>
    <w:p>
      <w:pPr>
        <w:ind w:right="40" w:firstLine="490"/>
        <w:spacing w:after="0" w:line="261" w:lineRule="auto"/>
        <w:rPr>
          <w:sz w:val="20"/>
          <w:szCs w:val="20"/>
          <w:color w:val="auto"/>
        </w:rPr>
      </w:pPr>
      <w:r>
        <w:rPr>
          <w:rFonts w:ascii="Arial" w:cs="Arial" w:eastAsia="Arial" w:hAnsi="Arial"/>
          <w:sz w:val="20"/>
          <w:szCs w:val="20"/>
          <w:color w:val="auto"/>
        </w:rPr>
        <w:t>Even if a proxy contest or other activist efforts are not successful, the increased costs that we would bear and the distraction of our board of directors and senior management could negatively impact our business, although we cannot predict with certainty the extent of such negative impacts.</w:t>
      </w:r>
    </w:p>
    <w:p>
      <w:pPr>
        <w:spacing w:after="0" w:line="215" w:lineRule="exact"/>
        <w:rPr>
          <w:sz w:val="20"/>
          <w:szCs w:val="20"/>
          <w:color w:val="auto"/>
        </w:rPr>
      </w:pPr>
    </w:p>
    <w:p>
      <w:pPr>
        <w:jc w:val="both"/>
        <w:ind w:firstLine="490"/>
        <w:spacing w:after="0" w:line="279" w:lineRule="auto"/>
        <w:rPr>
          <w:sz w:val="20"/>
          <w:szCs w:val="20"/>
          <w:color w:val="auto"/>
        </w:rPr>
      </w:pPr>
      <w:r>
        <w:rPr>
          <w:rFonts w:ascii="Arial" w:cs="Arial" w:eastAsia="Arial" w:hAnsi="Arial"/>
          <w:sz w:val="20"/>
          <w:szCs w:val="20"/>
          <w:b w:val="1"/>
          <w:bCs w:val="1"/>
          <w:i w:val="1"/>
          <w:iCs w:val="1"/>
          <w:color w:val="auto"/>
        </w:rPr>
        <w:t>We do not know whether an active market for our common stock will be sustained, and, as a result, it may be difficult for you to sell your shares of our common stock.</w:t>
      </w:r>
    </w:p>
    <w:p>
      <w:pPr>
        <w:spacing w:after="0" w:line="183" w:lineRule="exact"/>
        <w:rPr>
          <w:sz w:val="20"/>
          <w:szCs w:val="20"/>
          <w:color w:val="auto"/>
        </w:rPr>
      </w:pPr>
    </w:p>
    <w:p>
      <w:pPr>
        <w:jc w:val="both"/>
        <w:ind w:firstLine="490"/>
        <w:spacing w:after="0"/>
        <w:rPr>
          <w:sz w:val="20"/>
          <w:szCs w:val="20"/>
          <w:color w:val="auto"/>
        </w:rPr>
      </w:pPr>
      <w:r>
        <w:rPr>
          <w:rFonts w:ascii="Arial" w:cs="Arial" w:eastAsia="Arial" w:hAnsi="Arial"/>
          <w:sz w:val="20"/>
          <w:szCs w:val="20"/>
          <w:color w:val="auto"/>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drug product pipeline may not meet the expectations of public market analysts and investors, and, as a result of these and other factors, the price of our common stock may fall.</w:t>
      </w:r>
    </w:p>
    <w:p>
      <w:pPr>
        <w:spacing w:after="0" w:line="245"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20"/>
          <w:szCs w:val="20"/>
          <w:b w:val="1"/>
          <w:bCs w:val="1"/>
          <w:i w:val="1"/>
          <w:iCs w:val="1"/>
          <w:color w:val="auto"/>
        </w:rPr>
        <w:t>The market price of our common stock has been and may continue to be volatile, which could result in substantial losses for investors.</w:t>
      </w:r>
    </w:p>
    <w:p>
      <w:pPr>
        <w:spacing w:after="0" w:line="183"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73" w:lineRule="exact"/>
        <w:rPr>
          <w:sz w:val="20"/>
          <w:szCs w:val="20"/>
          <w:color w:val="auto"/>
        </w:rPr>
      </w:pPr>
    </w:p>
    <w:p>
      <w:pPr>
        <w:ind w:left="980" w:hanging="491"/>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results of nonclinical studies and clinical trials;</w:t>
      </w:r>
    </w:p>
    <w:p>
      <w:pPr>
        <w:sectPr>
          <w:pgSz w:w="11880" w:h="15474" w:orient="portrait"/>
          <w:cols w:equalWidth="0" w:num="1">
            <w:col w:w="9360"/>
          </w:cols>
          <w:pgMar w:left="1240" w:top="1244"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107</w:t>
      </w:r>
    </w:p>
    <w:p>
      <w:pPr>
        <w:sectPr>
          <w:pgSz w:w="11880" w:h="15474" w:orient="portrait"/>
          <w:cols w:equalWidth="0" w:num="1">
            <w:col w:w="9360"/>
          </w:cols>
          <w:pgMar w:left="1240" w:top="1244" w:right="1274" w:bottom="0" w:gutter="0" w:footer="0" w:header="0"/>
          <w:type w:val="continuous"/>
        </w:sectPr>
      </w:pPr>
    </w:p>
    <w:bookmarkStart w:id="113" w:name="page114"/>
    <w:bookmarkEnd w:id="113"/>
    <w:p>
      <w:pPr>
        <w:ind w:left="980" w:hanging="491"/>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potential impact of health epidemics, including COVID-19, on our business;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success of existing or new competitive products or technologies;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timing and results of clinical trials for our current drug candidates and any future drug candidates that we may develop;</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commencement or termination of collaborations for our drug candidates;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failure or discontinuation of any of our drug candidates;</w:t>
      </w:r>
    </w:p>
    <w:p>
      <w:pPr>
        <w:spacing w:after="0" w:line="13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results of nonclinical studies, clinical trials or regulatory approvals of drug candidates of our competitors, or announcements about new research programs or drug candidates of our competitors;</w:t>
      </w:r>
    </w:p>
    <w:p>
      <w:pPr>
        <w:spacing w:after="0" w:line="7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investor reactions to other companies’ drug development results, including product failures or negative responses from regulatory authorities;</w:t>
      </w:r>
    </w:p>
    <w:p>
      <w:pPr>
        <w:spacing w:after="0" w:line="51" w:lineRule="exact"/>
        <w:rPr>
          <w:rFonts w:ascii="Arial" w:cs="Arial" w:eastAsia="Arial" w:hAnsi="Arial"/>
          <w:sz w:val="20"/>
          <w:szCs w:val="20"/>
          <w:color w:val="auto"/>
        </w:rPr>
      </w:pPr>
    </w:p>
    <w:p>
      <w:pPr>
        <w:ind w:left="980" w:hanging="491"/>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regulatory or legal developments in the United States and other countries;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developments or disputes concerning patent applications, issued patents or other proprietary rights;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recruitment or departure of key personnel;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negative press coverage;</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status of ongoing litigation and government investigations and potential commencement of additional litigation or investigations;</w:t>
      </w:r>
    </w:p>
    <w:p>
      <w:pPr>
        <w:spacing w:after="0" w:line="5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results of the investigation by the independent special committee of the board of directors and the separate ongoing investigation by WSU;</w:t>
      </w:r>
    </w:p>
    <w:p>
      <w:pPr>
        <w:spacing w:after="0" w:line="51"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level of expenses related to any of our research programs, drug candidates that we may develop;</w:t>
      </w:r>
    </w:p>
    <w:p>
      <w:pPr>
        <w:spacing w:after="0" w:line="50" w:lineRule="exact"/>
        <w:rPr>
          <w:rFonts w:ascii="Arial" w:cs="Arial" w:eastAsia="Arial" w:hAnsi="Arial"/>
          <w:sz w:val="20"/>
          <w:szCs w:val="20"/>
          <w:color w:val="auto"/>
        </w:rPr>
      </w:pPr>
    </w:p>
    <w:p>
      <w:pPr>
        <w:ind w:left="980" w:hanging="491"/>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results of our efforts to develop additional drug candidates or drug products;</w:t>
      </w:r>
    </w:p>
    <w:p>
      <w:pPr>
        <w:spacing w:after="0" w:line="133"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actual or anticipated changes in estimates as to financial results, development timelines or recommendations by securities analysts;</w:t>
      </w:r>
    </w:p>
    <w:p>
      <w:pPr>
        <w:spacing w:after="0" w:line="51" w:lineRule="exact"/>
        <w:rPr>
          <w:rFonts w:ascii="Arial" w:cs="Arial" w:eastAsia="Arial" w:hAnsi="Arial"/>
          <w:sz w:val="20"/>
          <w:szCs w:val="20"/>
          <w:color w:val="auto"/>
        </w:rPr>
      </w:pPr>
    </w:p>
    <w:p>
      <w:pPr>
        <w:ind w:left="980" w:hanging="492"/>
        <w:spacing w:after="0" w:line="282" w:lineRule="auto"/>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announcement or expectation of additional financing efforts, including, but not limited to, under our ATM offering;</w:t>
      </w:r>
    </w:p>
    <w:p>
      <w:pPr>
        <w:spacing w:after="0" w:line="52" w:lineRule="exact"/>
        <w:rPr>
          <w:rFonts w:ascii="Arial" w:cs="Arial" w:eastAsia="Arial" w:hAnsi="Arial"/>
          <w:sz w:val="20"/>
          <w:szCs w:val="20"/>
          <w:color w:val="auto"/>
        </w:rPr>
      </w:pPr>
    </w:p>
    <w:p>
      <w:pPr>
        <w:ind w:left="980" w:hanging="492"/>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sales of our common stock by us, our insiders, or other stockholders;</w:t>
      </w:r>
    </w:p>
    <w:p>
      <w:pPr>
        <w:spacing w:after="0" w:line="133" w:lineRule="exact"/>
        <w:rPr>
          <w:rFonts w:ascii="Arial" w:cs="Arial" w:eastAsia="Arial" w:hAnsi="Arial"/>
          <w:sz w:val="20"/>
          <w:szCs w:val="20"/>
          <w:color w:val="auto"/>
        </w:rPr>
      </w:pPr>
    </w:p>
    <w:p>
      <w:pPr>
        <w:ind w:left="980" w:hanging="492"/>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variations in our financial results or those of companies that are perceived to be similar to us;</w:t>
      </w:r>
    </w:p>
    <w:p>
      <w:pPr>
        <w:spacing w:after="0" w:line="133" w:lineRule="exact"/>
        <w:rPr>
          <w:rFonts w:ascii="Arial" w:cs="Arial" w:eastAsia="Arial" w:hAnsi="Arial"/>
          <w:sz w:val="20"/>
          <w:szCs w:val="20"/>
          <w:color w:val="auto"/>
        </w:rPr>
      </w:pPr>
    </w:p>
    <w:p>
      <w:pPr>
        <w:ind w:left="980" w:hanging="492"/>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changes in estimates or recommendations by securities analysts, if any, that cover our stock;</w:t>
      </w:r>
    </w:p>
    <w:p>
      <w:pPr>
        <w:spacing w:after="0" w:line="133" w:lineRule="exact"/>
        <w:rPr>
          <w:rFonts w:ascii="Arial" w:cs="Arial" w:eastAsia="Arial" w:hAnsi="Arial"/>
          <w:sz w:val="20"/>
          <w:szCs w:val="20"/>
          <w:color w:val="auto"/>
        </w:rPr>
      </w:pPr>
    </w:p>
    <w:p>
      <w:pPr>
        <w:ind w:left="980" w:hanging="492"/>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changes in the structure of healthcare payment systems;</w:t>
      </w:r>
    </w:p>
    <w:p>
      <w:pPr>
        <w:spacing w:after="0" w:line="133" w:lineRule="exact"/>
        <w:rPr>
          <w:rFonts w:ascii="Arial" w:cs="Arial" w:eastAsia="Arial" w:hAnsi="Arial"/>
          <w:sz w:val="20"/>
          <w:szCs w:val="20"/>
          <w:color w:val="auto"/>
        </w:rPr>
      </w:pPr>
    </w:p>
    <w:p>
      <w:pPr>
        <w:ind w:left="980" w:hanging="492"/>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market conditions in the pharmaceutical and biotechnology sectors;</w:t>
      </w:r>
    </w:p>
    <w:p>
      <w:pPr>
        <w:spacing w:after="0" w:line="133" w:lineRule="exact"/>
        <w:rPr>
          <w:rFonts w:ascii="Arial" w:cs="Arial" w:eastAsia="Arial" w:hAnsi="Arial"/>
          <w:sz w:val="20"/>
          <w:szCs w:val="20"/>
          <w:color w:val="auto"/>
        </w:rPr>
      </w:pPr>
    </w:p>
    <w:p>
      <w:pPr>
        <w:ind w:left="980" w:hanging="492"/>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volatility with the banking system;</w:t>
      </w:r>
    </w:p>
    <w:p>
      <w:pPr>
        <w:spacing w:after="0" w:line="133" w:lineRule="exact"/>
        <w:rPr>
          <w:rFonts w:ascii="Arial" w:cs="Arial" w:eastAsia="Arial" w:hAnsi="Arial"/>
          <w:sz w:val="20"/>
          <w:szCs w:val="20"/>
          <w:color w:val="auto"/>
        </w:rPr>
      </w:pPr>
    </w:p>
    <w:p>
      <w:pPr>
        <w:ind w:left="980" w:hanging="492"/>
        <w:spacing w:after="0" w:line="282" w:lineRule="auto"/>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direct or indirect impacts on our business, our suppliers and other third parties and our clinical sites as a result of geopolitical events, including the Russia-Ukraine war;</w:t>
      </w:r>
    </w:p>
    <w:p>
      <w:pPr>
        <w:spacing w:after="0" w:line="52" w:lineRule="exact"/>
        <w:rPr>
          <w:rFonts w:ascii="Arial" w:cs="Arial" w:eastAsia="Arial" w:hAnsi="Arial"/>
          <w:sz w:val="20"/>
          <w:szCs w:val="20"/>
          <w:color w:val="auto"/>
        </w:rPr>
      </w:pPr>
    </w:p>
    <w:p>
      <w:pPr>
        <w:ind w:left="980" w:hanging="492"/>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general economic, industry, and market conditions; and</w:t>
      </w:r>
    </w:p>
    <w:p>
      <w:pPr>
        <w:spacing w:after="0" w:line="133" w:lineRule="exact"/>
        <w:rPr>
          <w:rFonts w:ascii="Arial" w:cs="Arial" w:eastAsia="Arial" w:hAnsi="Arial"/>
          <w:sz w:val="20"/>
          <w:szCs w:val="20"/>
          <w:color w:val="auto"/>
        </w:rPr>
      </w:pPr>
    </w:p>
    <w:p>
      <w:pPr>
        <w:ind w:left="980" w:hanging="492"/>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other factors described in this “Part I, Item 1A—Risk Factors” section.</w:t>
      </w:r>
    </w:p>
    <w:p>
      <w:pPr>
        <w:spacing w:after="0" w:line="281"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w:t>
      </w:r>
    </w:p>
    <w:p>
      <w:pPr>
        <w:sectPr>
          <w:pgSz w:w="11880" w:h="15474" w:orient="portrait"/>
          <w:cols w:equalWidth="0" w:num="1">
            <w:col w:w="9360"/>
          </w:cols>
          <w:pgMar w:left="1240" w:top="1268" w:right="1274"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108</w:t>
      </w:r>
    </w:p>
    <w:p>
      <w:pPr>
        <w:sectPr>
          <w:pgSz w:w="11880" w:h="15474" w:orient="portrait"/>
          <w:cols w:equalWidth="0" w:num="1">
            <w:col w:w="9360"/>
          </w:cols>
          <w:pgMar w:left="1240" w:top="1268" w:right="1274" w:bottom="0" w:gutter="0" w:footer="0" w:header="0"/>
          <w:type w:val="continuous"/>
        </w:sectPr>
      </w:pPr>
    </w:p>
    <w:bookmarkStart w:id="114" w:name="page115"/>
    <w:bookmarkEnd w:id="114"/>
    <w:p>
      <w:pPr>
        <w:jc w:val="both"/>
        <w:spacing w:after="0" w:line="248" w:lineRule="auto"/>
        <w:rPr>
          <w:sz w:val="20"/>
          <w:szCs w:val="20"/>
          <w:color w:val="auto"/>
        </w:rPr>
      </w:pPr>
      <w:r>
        <w:rPr>
          <w:rFonts w:ascii="Arial" w:cs="Arial" w:eastAsia="Arial" w:hAnsi="Arial"/>
          <w:sz w:val="20"/>
          <w:szCs w:val="20"/>
          <w:color w:val="auto"/>
        </w:rPr>
        <w:t>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38"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A significant portion of our total outstanding shares may be sold into the market in the near future, which could cause the market price of our common stock to decline significantly, even if our business is doing well.</w:t>
      </w:r>
    </w:p>
    <w:p>
      <w:pPr>
        <w:spacing w:after="0" w:line="207"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w:t>
      </w:r>
    </w:p>
    <w:p>
      <w:pPr>
        <w:spacing w:after="0" w:line="233"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Moreover, as of December 31, 2023, the holders of approximately 5.7 million shares of our common stock are eligible to exercise certain rights, subject to various conditions and limitations, to require us to file registration statements covering their shares or to include their shares in registration statements that we may file for ourselves or other stockholders. 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239"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Our directors, executive officers and significant stockholders own a substantial percentage of our common stock, which could limit your ability to affect the outcome of key transactions, including a change of control.</w:t>
      </w:r>
    </w:p>
    <w:p>
      <w:pPr>
        <w:spacing w:after="0" w:line="207"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9"/>
          <w:szCs w:val="19"/>
          <w:color w:val="auto"/>
        </w:rPr>
        <w:t>Our directors, executive officers, significant holders of our outstanding common stock and their respective affiliates beneficially own a substantial amount of our outstanding common stock as of December 31, 2023.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22"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We are an “emerging growth company,” and the reduced disclosure requirements applicable to emerging growth companies may make our common stock less attractive to investors.</w:t>
      </w:r>
    </w:p>
    <w:p>
      <w:pPr>
        <w:spacing w:after="0" w:line="183"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9"/>
          <w:szCs w:val="19"/>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the Sarbanes-Oxley Act of 2002, or the Sarbanes-Oxley Act,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109</w:t>
      </w:r>
    </w:p>
    <w:p>
      <w:pPr>
        <w:sectPr>
          <w:pgSz w:w="11880" w:h="15474" w:orient="portrait"/>
          <w:cols w:equalWidth="0" w:num="1">
            <w:col w:w="9360"/>
          </w:cols>
          <w:pgMar w:left="1240" w:top="1255" w:right="1274" w:bottom="0" w:gutter="0" w:footer="0" w:header="0"/>
          <w:type w:val="continuous"/>
        </w:sectPr>
      </w:pPr>
    </w:p>
    <w:bookmarkStart w:id="115" w:name="page116"/>
    <w:bookmarkEnd w:id="115"/>
    <w:p>
      <w:pPr>
        <w:jc w:val="both"/>
        <w:spacing w:after="0" w:line="261" w:lineRule="auto"/>
        <w:rPr>
          <w:sz w:val="20"/>
          <w:szCs w:val="20"/>
          <w:color w:val="auto"/>
        </w:rPr>
      </w:pPr>
      <w:r>
        <w:rPr>
          <w:rFonts w:ascii="Arial" w:cs="Arial" w:eastAsia="Arial" w:hAnsi="Arial"/>
          <w:sz w:val="20"/>
          <w:szCs w:val="20"/>
          <w:color w:val="auto"/>
        </w:rPr>
        <w:t>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23"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Failure to build and maintain our finance infrastructure and improve our accounting systems and controls could impair our ability to comply with the financial reporting and internal controls requirements for publicly traded companies.</w:t>
      </w:r>
    </w:p>
    <w:p>
      <w:pPr>
        <w:spacing w:after="0" w:line="207"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As a public company, we operate in an increasingly demanding regulatory environment, which requires us to comply with the Sarbanes-Oxley Act, the regulations of The Nasdaq Global Select Market,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spacing w:after="0" w:line="222" w:lineRule="exact"/>
        <w:rPr>
          <w:sz w:val="20"/>
          <w:szCs w:val="20"/>
          <w:color w:val="auto"/>
        </w:rPr>
      </w:pPr>
    </w:p>
    <w:p>
      <w:pPr>
        <w:jc w:val="both"/>
        <w:ind w:firstLine="490"/>
        <w:spacing w:after="0" w:line="258" w:lineRule="auto"/>
        <w:rPr>
          <w:sz w:val="20"/>
          <w:szCs w:val="20"/>
          <w:color w:val="auto"/>
        </w:rPr>
      </w:pPr>
      <w:r>
        <w:rPr>
          <w:rFonts w:ascii="Arial" w:cs="Arial" w:eastAsia="Arial" w:hAnsi="Arial"/>
          <w:sz w:val="19"/>
          <w:szCs w:val="19"/>
          <w:color w:val="auto"/>
        </w:rPr>
        <w:t>The process of building and maintaining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27"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38"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47"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amended and restated certificate of incorporation and amended and restated bylaws:</w:t>
      </w:r>
    </w:p>
    <w:p>
      <w:pPr>
        <w:spacing w:after="0" w:line="87" w:lineRule="exact"/>
        <w:rPr>
          <w:sz w:val="20"/>
          <w:szCs w:val="20"/>
          <w:color w:val="auto"/>
        </w:rPr>
      </w:pPr>
    </w:p>
    <w:p>
      <w:pPr>
        <w:ind w:left="980" w:hanging="491"/>
        <w:spacing w:after="0" w:line="283" w:lineRule="auto"/>
        <w:tabs>
          <w:tab w:leader="none" w:pos="9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permit the board of directors to issue up to 100,000,000 shares of preferred stock, with any rights, preferences and privileges as they may designate;</w:t>
      </w:r>
    </w:p>
    <w:p>
      <w:pPr>
        <w:spacing w:after="0" w:line="50"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provide that the authorized number of directors may be changed only by resolution of the board of directors;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110</w:t>
      </w:r>
    </w:p>
    <w:p>
      <w:pPr>
        <w:sectPr>
          <w:pgSz w:w="11880" w:h="15474" w:orient="portrait"/>
          <w:cols w:equalWidth="0" w:num="1">
            <w:col w:w="9360"/>
          </w:cols>
          <w:pgMar w:left="1240" w:top="1255" w:right="1274" w:bottom="0" w:gutter="0" w:footer="0" w:header="0"/>
          <w:type w:val="continuous"/>
        </w:sectPr>
      </w:pPr>
    </w:p>
    <w:bookmarkStart w:id="116" w:name="page117"/>
    <w:bookmarkEnd w:id="116"/>
    <w:p>
      <w:pPr>
        <w:jc w:val="both"/>
        <w:ind w:left="980" w:hanging="491"/>
        <w:spacing w:after="0" w:line="261"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provide that all vacancies, including newly-created directorships, may, except as otherwise required by law, be filled by the affirmative vote of a majority of directors then in office, even if less than a quorum;</w:t>
      </w:r>
    </w:p>
    <w:p>
      <w:pPr>
        <w:spacing w:after="0" w:line="72" w:lineRule="exact"/>
        <w:rPr>
          <w:rFonts w:ascii="Arial" w:cs="Arial" w:eastAsia="Arial" w:hAnsi="Arial"/>
          <w:sz w:val="20"/>
          <w:szCs w:val="20"/>
          <w:color w:val="auto"/>
        </w:rPr>
      </w:pPr>
    </w:p>
    <w:p>
      <w:pPr>
        <w:ind w:left="980" w:hanging="491"/>
        <w:spacing w:after="0"/>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divide the board of directors into three classes;</w:t>
      </w:r>
    </w:p>
    <w:p>
      <w:pPr>
        <w:spacing w:after="0" w:line="133"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provide that a director may only be removed from the board of directors by the stockholders for cause;</w:t>
      </w:r>
    </w:p>
    <w:p>
      <w:pPr>
        <w:spacing w:after="0" w:line="50"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require that any action to be taken by our stockholders must be effected at a duly called annual or special meeting of stockholders and may not be taken by written consent;</w:t>
      </w:r>
    </w:p>
    <w:p>
      <w:pPr>
        <w:spacing w:after="0" w:line="51" w:lineRule="exact"/>
        <w:rPr>
          <w:rFonts w:ascii="Arial" w:cs="Arial" w:eastAsia="Arial" w:hAnsi="Arial"/>
          <w:sz w:val="20"/>
          <w:szCs w:val="20"/>
          <w:color w:val="auto"/>
        </w:rPr>
      </w:pPr>
    </w:p>
    <w:p>
      <w:pPr>
        <w:jc w:val="both"/>
        <w:ind w:left="980" w:hanging="491"/>
        <w:spacing w:after="0" w:line="254"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80"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72" w:lineRule="exact"/>
        <w:rPr>
          <w:rFonts w:ascii="Arial" w:cs="Arial" w:eastAsia="Arial" w:hAnsi="Arial"/>
          <w:sz w:val="20"/>
          <w:szCs w:val="20"/>
          <w:color w:val="auto"/>
        </w:rPr>
      </w:pPr>
    </w:p>
    <w:p>
      <w:pPr>
        <w:ind w:left="980" w:hanging="491"/>
        <w:spacing w:after="0" w:line="283"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provide that special meetings of our stockholders may be called only by the chairman of the board, our chief executive officer or by the board of directors; and</w:t>
      </w:r>
    </w:p>
    <w:p>
      <w:pPr>
        <w:spacing w:after="0" w:line="51"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180"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320"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9"/>
          <w:szCs w:val="19"/>
          <w:b w:val="1"/>
          <w:bCs w:val="1"/>
          <w:i w:val="1"/>
          <w:iCs w:val="1"/>
          <w:color w:val="auto"/>
        </w:rPr>
        <w:t>Our amended and restated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39"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Our amended and restated bylaws provide that the Court of Chancery of the State of Delaware (or, if the Court of Chancery does not have jurisdiction, another state court in Delaware or the federal district court for the District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amended and restated bylaws; any action to interpret, apply, enforce or determine the validity of our certificate of incorporation or our amended and restated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188" w:lineRule="exact"/>
        <w:rPr>
          <w:sz w:val="20"/>
          <w:szCs w:val="20"/>
          <w:color w:val="auto"/>
        </w:rPr>
      </w:pPr>
    </w:p>
    <w:p>
      <w:pPr>
        <w:jc w:val="both"/>
        <w:ind w:firstLine="490"/>
        <w:spacing w:after="0" w:line="266" w:lineRule="auto"/>
        <w:rPr>
          <w:sz w:val="20"/>
          <w:szCs w:val="20"/>
          <w:color w:val="auto"/>
        </w:rPr>
      </w:pPr>
      <w:r>
        <w:rPr>
          <w:rFonts w:ascii="Arial" w:cs="Arial" w:eastAsia="Arial" w:hAnsi="Arial"/>
          <w:sz w:val="19"/>
          <w:szCs w:val="19"/>
          <w:color w:val="auto"/>
        </w:rPr>
        <w:t>Our amended and restated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w:t>
      </w:r>
    </w:p>
    <w:p>
      <w:pPr>
        <w:sectPr>
          <w:pgSz w:w="11880" w:h="15474" w:orient="portrait"/>
          <w:cols w:equalWidth="0" w:num="1">
            <w:col w:w="9360"/>
          </w:cols>
          <w:pgMar w:left="1240" w:top="1268"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111</w:t>
      </w:r>
    </w:p>
    <w:p>
      <w:pPr>
        <w:sectPr>
          <w:pgSz w:w="11880" w:h="15474" w:orient="portrait"/>
          <w:cols w:equalWidth="0" w:num="1">
            <w:col w:w="9360"/>
          </w:cols>
          <w:pgMar w:left="1240" w:top="1268" w:right="1274" w:bottom="0" w:gutter="0" w:footer="0" w:header="0"/>
          <w:type w:val="continuous"/>
        </w:sectPr>
      </w:pPr>
    </w:p>
    <w:bookmarkStart w:id="117" w:name="page118"/>
    <w:bookmarkEnd w:id="117"/>
    <w:p>
      <w:pPr>
        <w:jc w:val="both"/>
        <w:ind w:right="20"/>
        <w:spacing w:after="0" w:line="282" w:lineRule="auto"/>
        <w:rPr>
          <w:sz w:val="20"/>
          <w:szCs w:val="20"/>
          <w:color w:val="auto"/>
        </w:rPr>
      </w:pPr>
      <w:r>
        <w:rPr>
          <w:rFonts w:ascii="Arial" w:cs="Arial" w:eastAsia="Arial" w:hAnsi="Arial"/>
          <w:sz w:val="20"/>
          <w:szCs w:val="20"/>
          <w:color w:val="auto"/>
        </w:rPr>
        <w:t>is uncertainty as to whether other courts would enforce such provisions and that investors cannot waive compliance with the federal securities laws and the rules and regulations thereunder.</w:t>
      </w:r>
    </w:p>
    <w:p>
      <w:pPr>
        <w:spacing w:after="0" w:line="159" w:lineRule="exact"/>
        <w:rPr>
          <w:sz w:val="20"/>
          <w:szCs w:val="20"/>
          <w:color w:val="auto"/>
        </w:rPr>
      </w:pPr>
    </w:p>
    <w:p>
      <w:pPr>
        <w:jc w:val="both"/>
        <w:ind w:right="20" w:firstLine="490"/>
        <w:spacing w:after="0" w:line="247" w:lineRule="auto"/>
        <w:rPr>
          <w:sz w:val="20"/>
          <w:szCs w:val="20"/>
          <w:color w:val="auto"/>
        </w:rPr>
      </w:pPr>
      <w:r>
        <w:rPr>
          <w:rFonts w:ascii="Arial" w:cs="Arial" w:eastAsia="Arial" w:hAnsi="Arial"/>
          <w:sz w:val="20"/>
          <w:szCs w:val="20"/>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Risk Factors</w:t>
      </w:r>
    </w:p>
    <w:p>
      <w:pPr>
        <w:spacing w:after="0" w:line="127" w:lineRule="exact"/>
        <w:rPr>
          <w:sz w:val="20"/>
          <w:szCs w:val="20"/>
          <w:color w:val="auto"/>
        </w:rPr>
      </w:pPr>
    </w:p>
    <w:p>
      <w:pPr>
        <w:jc w:val="both"/>
        <w:ind w:right="20" w:firstLine="490"/>
        <w:spacing w:after="0" w:line="289" w:lineRule="auto"/>
        <w:rPr>
          <w:sz w:val="20"/>
          <w:szCs w:val="20"/>
          <w:color w:val="auto"/>
        </w:rPr>
      </w:pPr>
      <w:r>
        <w:rPr>
          <w:rFonts w:ascii="Arial" w:cs="Arial" w:eastAsia="Arial" w:hAnsi="Arial"/>
          <w:sz w:val="20"/>
          <w:szCs w:val="20"/>
          <w:b w:val="1"/>
          <w:bCs w:val="1"/>
          <w:i w:val="1"/>
          <w:iCs w:val="1"/>
          <w:color w:val="191919"/>
        </w:rPr>
        <w:t>Our advisors and consultants are classified as independent contractors, and we can face consequences if it is determined that they are misclassified as such.</w:t>
      </w:r>
    </w:p>
    <w:p>
      <w:pPr>
        <w:spacing w:after="0" w:line="22" w:lineRule="exact"/>
        <w:rPr>
          <w:sz w:val="20"/>
          <w:szCs w:val="20"/>
          <w:color w:val="auto"/>
        </w:rPr>
      </w:pPr>
    </w:p>
    <w:p>
      <w:pPr>
        <w:jc w:val="both"/>
        <w:ind w:right="20" w:firstLine="490"/>
        <w:spacing w:after="0" w:line="242" w:lineRule="auto"/>
        <w:rPr>
          <w:sz w:val="20"/>
          <w:szCs w:val="20"/>
          <w:color w:val="auto"/>
        </w:rPr>
      </w:pPr>
      <w:r>
        <w:rPr>
          <w:rFonts w:ascii="Arial" w:cs="Arial" w:eastAsia="Arial" w:hAnsi="Arial"/>
          <w:sz w:val="20"/>
          <w:szCs w:val="20"/>
          <w:color w:val="191919"/>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cs="Arial" w:eastAsia="Arial" w:hAnsi="Arial"/>
          <w:sz w:val="20"/>
          <w:szCs w:val="20"/>
          <w:color w:val="000000"/>
        </w:rPr>
        <w:t>divergent</w:t>
      </w:r>
      <w:r>
        <w:rPr>
          <w:rFonts w:ascii="Arial" w:cs="Arial" w:eastAsia="Arial" w:hAnsi="Arial"/>
          <w:sz w:val="20"/>
          <w:szCs w:val="20"/>
          <w:color w:val="191919"/>
        </w:rPr>
        <w:t xml:space="preserve">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328"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20"/>
          <w:szCs w:val="20"/>
          <w:b w:val="1"/>
          <w:bCs w:val="1"/>
          <w:i w:val="1"/>
          <w:iCs w:val="1"/>
          <w:color w:val="auto"/>
        </w:rPr>
        <w:t xml:space="preserve">If </w:t>
      </w:r>
      <w:r>
        <w:rPr>
          <w:rFonts w:ascii="Arial" w:cs="Arial" w:eastAsia="Arial" w:hAnsi="Arial"/>
          <w:sz w:val="20"/>
          <w:szCs w:val="20"/>
          <w:b w:val="1"/>
          <w:bCs w:val="1"/>
          <w:i w:val="1"/>
          <w:iCs w:val="1"/>
          <w:color w:val="191919"/>
        </w:rPr>
        <w:t>securities</w:t>
      </w:r>
      <w:r>
        <w:rPr>
          <w:rFonts w:ascii="Arial" w:cs="Arial" w:eastAsia="Arial" w:hAnsi="Arial"/>
          <w:sz w:val="20"/>
          <w:szCs w:val="20"/>
          <w:b w:val="1"/>
          <w:bCs w:val="1"/>
          <w:i w:val="1"/>
          <w:iCs w:val="1"/>
          <w:color w:val="auto"/>
        </w:rPr>
        <w:t xml:space="preserve"> analysts do not publish research or reports about our business or if they publish negative evaluations of our stock, the price of our stock could decline.</w:t>
      </w:r>
    </w:p>
    <w:p>
      <w:pPr>
        <w:spacing w:after="0" w:line="24" w:lineRule="exact"/>
        <w:rPr>
          <w:sz w:val="20"/>
          <w:szCs w:val="20"/>
          <w:color w:val="auto"/>
        </w:rPr>
      </w:pPr>
    </w:p>
    <w:p>
      <w:pPr>
        <w:jc w:val="both"/>
        <w:ind w:right="20" w:firstLine="490"/>
        <w:spacing w:after="0" w:line="248" w:lineRule="auto"/>
        <w:rPr>
          <w:sz w:val="20"/>
          <w:szCs w:val="20"/>
          <w:color w:val="auto"/>
        </w:rPr>
      </w:pPr>
      <w:r>
        <w:rPr>
          <w:rFonts w:ascii="Arial" w:cs="Arial" w:eastAsia="Arial" w:hAnsi="Arial"/>
          <w:sz w:val="20"/>
          <w:szCs w:val="20"/>
          <w:color w:val="auto"/>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318" w:lineRule="exact"/>
        <w:rPr>
          <w:sz w:val="20"/>
          <w:szCs w:val="20"/>
          <w:color w:val="auto"/>
        </w:rPr>
      </w:pPr>
    </w:p>
    <w:p>
      <w:pPr>
        <w:jc w:val="both"/>
        <w:ind w:right="20" w:firstLine="490"/>
        <w:spacing w:after="0" w:line="264" w:lineRule="auto"/>
        <w:rPr>
          <w:sz w:val="20"/>
          <w:szCs w:val="20"/>
          <w:color w:val="auto"/>
        </w:rPr>
      </w:pPr>
      <w:r>
        <w:rPr>
          <w:rFonts w:ascii="Arial" w:cs="Arial" w:eastAsia="Arial" w:hAnsi="Arial"/>
          <w:sz w:val="20"/>
          <w:szCs w:val="20"/>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47" w:lineRule="exact"/>
        <w:rPr>
          <w:sz w:val="20"/>
          <w:szCs w:val="20"/>
          <w:color w:val="auto"/>
        </w:rPr>
      </w:pPr>
    </w:p>
    <w:p>
      <w:pPr>
        <w:jc w:val="both"/>
        <w:ind w:right="20" w:firstLine="490"/>
        <w:spacing w:after="0" w:line="248" w:lineRule="auto"/>
        <w:rPr>
          <w:sz w:val="20"/>
          <w:szCs w:val="20"/>
          <w:color w:val="auto"/>
        </w:rPr>
      </w:pPr>
      <w:r>
        <w:rPr>
          <w:rFonts w:ascii="Arial" w:cs="Arial" w:eastAsia="Arial" w:hAnsi="Arial"/>
          <w:sz w:val="20"/>
          <w:szCs w:val="20"/>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hired, and we expect that</w:t>
      </w:r>
    </w:p>
    <w:p>
      <w:pPr>
        <w:sectPr>
          <w:pgSz w:w="11880" w:h="15474" w:orient="portrait"/>
          <w:cols w:equalWidth="0" w:num="1">
            <w:col w:w="9380"/>
          </w:cols>
          <w:pgMar w:left="1240" w:top="1255" w:right="1254"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112</w:t>
      </w:r>
    </w:p>
    <w:p>
      <w:pPr>
        <w:sectPr>
          <w:pgSz w:w="11880" w:h="15474" w:orient="portrait"/>
          <w:cols w:equalWidth="0" w:num="1">
            <w:col w:w="9380"/>
          </w:cols>
          <w:pgMar w:left="1240" w:top="1255" w:right="1254" w:bottom="0" w:gutter="0" w:footer="0" w:header="0"/>
          <w:type w:val="continuous"/>
        </w:sectPr>
      </w:pPr>
    </w:p>
    <w:bookmarkStart w:id="118" w:name="page119"/>
    <w:bookmarkEnd w:id="118"/>
    <w:p>
      <w:pPr>
        <w:jc w:val="both"/>
        <w:spacing w:after="0" w:line="257" w:lineRule="auto"/>
        <w:rPr>
          <w:sz w:val="20"/>
          <w:szCs w:val="20"/>
          <w:color w:val="auto"/>
        </w:rPr>
      </w:pPr>
      <w:r>
        <w:rPr>
          <w:rFonts w:ascii="Arial" w:cs="Arial" w:eastAsia="Arial" w:hAnsi="Arial"/>
          <w:sz w:val="19"/>
          <w:szCs w:val="19"/>
          <w:color w:val="auto"/>
        </w:rPr>
        <w:t>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continue to evaluate and monitor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312"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If we are unable to maintain effective internal controls, our business, financial position and results of operations could be adversely affected.</w:t>
      </w:r>
    </w:p>
    <w:p>
      <w:pPr>
        <w:spacing w:after="0" w:line="22"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20"/>
          <w:szCs w:val="20"/>
          <w:color w:val="auto"/>
        </w:rPr>
        <w:t>As a public company, we are subject to reporting and other obligations under the Exchange Act, including the requirements of Sarbanes-Oxley Act Section 404, which require annual management assessments of the effectiveness of our internal control over financial reporting.</w:t>
      </w:r>
    </w:p>
    <w:p>
      <w:pPr>
        <w:spacing w:after="0" w:line="177"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These reporting and other obligations place significant demands on our management and administrative and operational resources, including accounting resources.</w:t>
      </w:r>
    </w:p>
    <w:p>
      <w:pPr>
        <w:spacing w:after="0" w:line="194"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318"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20"/>
          <w:szCs w:val="20"/>
          <w:b w:val="1"/>
          <w:bCs w:val="1"/>
          <w:i w:val="1"/>
          <w:iCs w:val="1"/>
          <w:color w:val="auto"/>
        </w:rPr>
        <w:t>Attention to ESG (environmental, social and governance) matters may cause us to incur additional costs or expose us to additional risks.</w:t>
      </w:r>
    </w:p>
    <w:p>
      <w:pPr>
        <w:spacing w:after="0" w:line="24"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A variety of stakeholder groups, including investors, governmental and nongovernmental organizations are focused on corporate environmental, social and governance, or ESG, practices. Our ESG practices may not meet the standards of our investors or other stakeholders, and they as well as advocacy groups may campaign for us to change our business, operations or practices to better address ESG-related concerns. A failure, or perceived failure, of us to respond to any such campaigns could harm our business and reputation and have a negative impact on the market price of our common stock. Moreover, if ESG best practices, reporting standards and disclosure requirements continue to develop, we may incur increasing costs related to ESG monitoring and reporting.</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None.</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113</w:t>
      </w:r>
    </w:p>
    <w:p>
      <w:pPr>
        <w:sectPr>
          <w:pgSz w:w="11880" w:h="15474" w:orient="portrait"/>
          <w:cols w:equalWidth="0" w:num="1">
            <w:col w:w="9360"/>
          </w:cols>
          <w:pgMar w:left="1240" w:top="1255" w:right="1274" w:bottom="0" w:gutter="0" w:footer="0" w:header="0"/>
          <w:type w:val="continuous"/>
        </w:sectPr>
      </w:pPr>
    </w:p>
    <w:bookmarkStart w:id="119" w:name="page120"/>
    <w:bookmarkEnd w:id="119"/>
    <w:p>
      <w:pPr>
        <w:spacing w:after="0"/>
        <w:rPr>
          <w:sz w:val="20"/>
          <w:szCs w:val="20"/>
          <w:color w:val="auto"/>
        </w:rPr>
      </w:pPr>
      <w:r>
        <w:rPr>
          <w:rFonts w:ascii="Arial" w:cs="Arial" w:eastAsia="Arial" w:hAnsi="Arial"/>
          <w:sz w:val="20"/>
          <w:szCs w:val="20"/>
          <w:b w:val="1"/>
          <w:bCs w:val="1"/>
          <w:color w:val="auto"/>
        </w:rPr>
        <w:t>Item 1C. Cybersecurity.</w:t>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Cybersecurity Risk Management Strategy</w:t>
      </w:r>
    </w:p>
    <w:p>
      <w:pPr>
        <w:spacing w:after="0" w:line="125"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20"/>
          <w:szCs w:val="20"/>
          <w:color w:val="auto"/>
        </w:rPr>
        <w:t>We have implemented various processes and policies for identifying, assessing, and managing material risks from cybersecurity threats. Our cybersecurity risk management strategy is designed following the Cybersecurity Framework set by the National Institute of Standard and Technology, or NIST.</w:t>
      </w:r>
    </w:p>
    <w:p>
      <w:pPr>
        <w:spacing w:after="0" w:line="60"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We assess our information technology, or IT, environment against the NIST Cybersecurity Framework, as well as various cyber-attack vectors, working to identify and remediate risks. We implement reasonable administrative, technical and procedural safeguards to manage cybersecurity risks, for example, by enforcing single sign-on or multi-factor authentication where supported, and the use of mobile device management to secure company resources on employee personal devices. Additionally, we engage third-party cybersecurity experts to assess the security of our network and perform continuous system monitoring, and we engage a third party to perform internal audits of our IT General Controls, or ITGCs. We have implemented certain processes to oversee and identify risks from cybersecurity threats associated with our use of third-party service providers, for example, by evaluating such service providers’ own cybersecurity processes and reviewing available certification and audit reports, including International Organization for Standardization, or ISO, certifications for information security management systems, and System and Organization Controls, or SOC, reports.</w:t>
      </w:r>
    </w:p>
    <w:p>
      <w:pPr>
        <w:spacing w:after="0" w:line="86"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At this time, we have not experienced cybersecurity incidents, or are aware of any risks from cybersecurity threats, that have materially affected or are reasonably likely to materially affect us, including our business strategy, results of operations, or financial condition.</w:t>
      </w:r>
    </w:p>
    <w:p>
      <w:pPr>
        <w:spacing w:after="0" w:line="296" w:lineRule="exact"/>
        <w:rPr>
          <w:sz w:val="20"/>
          <w:szCs w:val="20"/>
          <w:color w:val="auto"/>
        </w:rPr>
      </w:pPr>
    </w:p>
    <w:p>
      <w:pPr>
        <w:jc w:val="center"/>
        <w:ind w:right="6820"/>
        <w:spacing w:after="0"/>
        <w:rPr>
          <w:sz w:val="20"/>
          <w:szCs w:val="20"/>
          <w:color w:val="auto"/>
        </w:rPr>
      </w:pPr>
      <w:r>
        <w:rPr>
          <w:rFonts w:ascii="Arial" w:cs="Arial" w:eastAsia="Arial" w:hAnsi="Arial"/>
          <w:sz w:val="19"/>
          <w:szCs w:val="19"/>
          <w:b w:val="1"/>
          <w:bCs w:val="1"/>
          <w:color w:val="auto"/>
        </w:rPr>
        <w:t>Cybersecurity Governance</w:t>
      </w:r>
    </w:p>
    <w:p>
      <w:pPr>
        <w:spacing w:after="0" w:line="143" w:lineRule="exact"/>
        <w:rPr>
          <w:sz w:val="20"/>
          <w:szCs w:val="20"/>
          <w:color w:val="auto"/>
        </w:rPr>
      </w:pPr>
    </w:p>
    <w:p>
      <w:pPr>
        <w:jc w:val="center"/>
        <w:ind w:right="6780"/>
        <w:spacing w:after="0"/>
        <w:rPr>
          <w:sz w:val="20"/>
          <w:szCs w:val="20"/>
          <w:color w:val="auto"/>
        </w:rPr>
      </w:pPr>
      <w:r>
        <w:rPr>
          <w:rFonts w:ascii="Arial" w:cs="Arial" w:eastAsia="Arial" w:hAnsi="Arial"/>
          <w:sz w:val="20"/>
          <w:szCs w:val="20"/>
          <w:i w:val="1"/>
          <w:iCs w:val="1"/>
          <w:color w:val="auto"/>
        </w:rPr>
        <w:t>Board of Directors</w:t>
      </w:r>
    </w:p>
    <w:p>
      <w:pPr>
        <w:spacing w:after="0" w:line="113"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Our board of directors is responsible for general oversight and regular review of information regarding our risks, including cybersecurity risks. Members of management communicate an overview of our current cybersecurity environment to our board of directors at least annually and provide updates to our board of directors regarding cybersecurity matters periodically throughout the year. Additionally, our third-party auditors inform the audit committee of our board of directors of our ITGC framework and control testing results, which include controls related to cybersecurity risks. Further, management has established cybersecurity incident response processes for escalating the communication of cybersecurity incidents up to the board of directors, as appropriate.</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20"/>
          <w:szCs w:val="20"/>
          <w:i w:val="1"/>
          <w:iCs w:val="1"/>
          <w:color w:val="auto"/>
        </w:rPr>
        <w:t>Management</w:t>
      </w:r>
    </w:p>
    <w:p>
      <w:pPr>
        <w:spacing w:after="0" w:line="113"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Material risks from cybersecurity threats are assessed and managed by a dedicated team comprised of internal and external IT professionals experienced in cybersecurity threat risk management, who ultimately report to our chief operating officer. Our chief operating officer has extensive strategic and operational experience at several life sciences companies, leading a wide range of business functions, including IT. Our technology team leader has over 20 years of experience with IT and cybersecurity risk management, having served in senior executive-level IT positions at multiple Fortune 500 companies and companies within the life sciences industry.</w:t>
      </w:r>
    </w:p>
    <w:p>
      <w:pPr>
        <w:spacing w:after="0" w:line="73"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The technology team leader oversees our internal team of IT professionals, which continuously monitors our IT environment for cybersecurity threats and incidents. Our IT professionals routinely report on cybersecurity incident prevention, detection, mitigation, and remediation efforts to our technology team leader and chief operating officer. Additionally, we have established policies addressing processes for responding to potential cybersecurity incidents, including assessment, communication, and remediation</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114</w:t>
      </w:r>
    </w:p>
    <w:p>
      <w:pPr>
        <w:sectPr>
          <w:pgSz w:w="11880" w:h="15474" w:orient="portrait"/>
          <w:cols w:equalWidth="0" w:num="1">
            <w:col w:w="9360"/>
          </w:cols>
          <w:pgMar w:left="1240" w:top="1251" w:right="1274" w:bottom="0" w:gutter="0" w:footer="0" w:header="0"/>
          <w:type w:val="continuous"/>
        </w:sectPr>
      </w:pPr>
    </w:p>
    <w:bookmarkStart w:id="120" w:name="page121"/>
    <w:bookmarkEnd w:id="120"/>
    <w:p>
      <w:pPr>
        <w:jc w:val="both"/>
        <w:spacing w:after="0" w:line="282" w:lineRule="auto"/>
        <w:rPr>
          <w:sz w:val="20"/>
          <w:szCs w:val="20"/>
          <w:color w:val="auto"/>
        </w:rPr>
      </w:pPr>
      <w:r>
        <w:rPr>
          <w:rFonts w:ascii="Arial" w:cs="Arial" w:eastAsia="Arial" w:hAnsi="Arial"/>
          <w:sz w:val="20"/>
          <w:szCs w:val="20"/>
          <w:color w:val="auto"/>
        </w:rPr>
        <w:t>protocols. Our incident response processes further provide for the escalation of cybersecurity incidents to our executive management team and board of directors, as appropriate.</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124"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Our corporate headquarters is located in Bothell, Washington, where we currently lease approximately 19,326 square feet of laboratory and office space, which leases expire in August 2027. We believe these facilities will be adequate for the foreseeable future and that suitable additional or substitute space will be available as and when needed.</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125"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From time to time, we are subject to various legal proceedings or claims that arise in the ordinary course of business. The following is a brief description of the more significant legal proceedings in which we are involved.</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Class Actions</w:t>
      </w:r>
    </w:p>
    <w:p>
      <w:pPr>
        <w:spacing w:after="0" w:line="123"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 xml:space="preserve">On June 25, 2021, plaintiffs Fan Wang and Hang Gao filed a putative securities class action lawsuit in the U.S. District Court for the Western District of Washington against us and our former chief executive officer, Dr. Leen Kawas, captioned </w:t>
      </w:r>
      <w:r>
        <w:rPr>
          <w:rFonts w:ascii="Arial" w:cs="Arial" w:eastAsia="Arial" w:hAnsi="Arial"/>
          <w:sz w:val="20"/>
          <w:szCs w:val="20"/>
          <w:i w:val="1"/>
          <w:iCs w:val="1"/>
          <w:color w:val="auto"/>
        </w:rPr>
        <w:t>Wang v. Athira Pharma, Inc., et al.</w:t>
      </w:r>
      <w:r>
        <w:rPr>
          <w:rFonts w:ascii="Arial" w:cs="Arial" w:eastAsia="Arial" w:hAnsi="Arial"/>
          <w:sz w:val="20"/>
          <w:szCs w:val="20"/>
          <w:color w:val="auto"/>
        </w:rPr>
        <w:t xml:space="preserve">, No. 2:21-cv-00861. Plaintiffs Wang and Gao assert claims under Sections 10(b) and 20(a) of the Exchange Act, and SEC Rule 10b-5, alleging that the defendants made materially false and misleading statements and omitted material adverse facts regarding our business. Specifically, the </w:t>
      </w:r>
      <w:r>
        <w:rPr>
          <w:rFonts w:ascii="Arial" w:cs="Arial" w:eastAsia="Arial" w:hAnsi="Arial"/>
          <w:sz w:val="20"/>
          <w:szCs w:val="20"/>
          <w:i w:val="1"/>
          <w:iCs w:val="1"/>
          <w:color w:val="auto"/>
        </w:rPr>
        <w:t>Wang</w:t>
      </w:r>
      <w:r>
        <w:rPr>
          <w:rFonts w:ascii="Arial" w:cs="Arial" w:eastAsia="Arial" w:hAnsi="Arial"/>
          <w:sz w:val="20"/>
          <w:szCs w:val="20"/>
          <w:color w:val="auto"/>
        </w:rPr>
        <w:t xml:space="preserve"> plaintiffs allege that we failed to disclose to investors that certain research conducted by Dr. Kawas was allegedly tainted by scientific misconduct during her doctoral work at WSU including the manipulation of data, and that as a result, the defendants’ positive statements about our business, operations, and prospects were materially misleading. The </w:t>
      </w:r>
      <w:r>
        <w:rPr>
          <w:rFonts w:ascii="Arial" w:cs="Arial" w:eastAsia="Arial" w:hAnsi="Arial"/>
          <w:sz w:val="20"/>
          <w:szCs w:val="20"/>
          <w:i w:val="1"/>
          <w:iCs w:val="1"/>
          <w:color w:val="auto"/>
        </w:rPr>
        <w:t>Wang</w:t>
      </w:r>
      <w:r>
        <w:rPr>
          <w:rFonts w:ascii="Arial" w:cs="Arial" w:eastAsia="Arial" w:hAnsi="Arial"/>
          <w:sz w:val="20"/>
          <w:szCs w:val="20"/>
          <w:color w:val="auto"/>
        </w:rPr>
        <w:t xml:space="preserve"> plaintiffs seek unspecified compensatory and punitive damages, and reasonable costs and expenses, including attorneys’ fees.</w:t>
      </w:r>
    </w:p>
    <w:p>
      <w:pPr>
        <w:spacing w:after="0" w:line="199"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 xml:space="preserve">That same day, on June 25, 2021, plaintiff Harshdeep Jawandha filed a putative securities class action lawsuit in the U.S. District Court for the Western District of Washington against us, Dr. Kawas, our then chief financial officer, certain members of our board of directors at the time of our IPO, as well as the IPO underwriters, captioned </w:t>
      </w:r>
      <w:r>
        <w:rPr>
          <w:rFonts w:ascii="Arial" w:cs="Arial" w:eastAsia="Arial" w:hAnsi="Arial"/>
          <w:sz w:val="20"/>
          <w:szCs w:val="20"/>
          <w:i w:val="1"/>
          <w:iCs w:val="1"/>
          <w:color w:val="auto"/>
        </w:rPr>
        <w:t>Jawandha v. Athira Pharma, Inc., et al.</w:t>
      </w:r>
      <w:r>
        <w:rPr>
          <w:rFonts w:ascii="Arial" w:cs="Arial" w:eastAsia="Arial" w:hAnsi="Arial"/>
          <w:sz w:val="20"/>
          <w:szCs w:val="20"/>
          <w:color w:val="auto"/>
        </w:rPr>
        <w:t xml:space="preserve">, No. 2:21-cv-00862. The </w:t>
      </w:r>
      <w:r>
        <w:rPr>
          <w:rFonts w:ascii="Arial" w:cs="Arial" w:eastAsia="Arial" w:hAnsi="Arial"/>
          <w:sz w:val="20"/>
          <w:szCs w:val="20"/>
          <w:i w:val="1"/>
          <w:iCs w:val="1"/>
          <w:color w:val="auto"/>
        </w:rPr>
        <w:t>Jawandha</w:t>
      </w:r>
      <w:r>
        <w:rPr>
          <w:rFonts w:ascii="Arial" w:cs="Arial" w:eastAsia="Arial" w:hAnsi="Arial"/>
          <w:sz w:val="20"/>
          <w:szCs w:val="20"/>
          <w:color w:val="auto"/>
        </w:rPr>
        <w:t xml:space="preserve"> complaint asserts violations of Sections 11 and 15 of the Securities Act, alleging that that our IPO registration statement was materially false and misleading because it omitted to state that certain of Dr. Kawas’s published doctoral research papers at WSU contained allegedly improperly altered images, that the research was allegedly foundational to Athira’s efforts to develop treatments for Alzheimer’s, that, as a result, and that the defendants’ positive statements about our business, operations, and prospects were materially misleading. The </w:t>
      </w:r>
      <w:r>
        <w:rPr>
          <w:rFonts w:ascii="Arial" w:cs="Arial" w:eastAsia="Arial" w:hAnsi="Arial"/>
          <w:sz w:val="20"/>
          <w:szCs w:val="20"/>
          <w:i w:val="1"/>
          <w:iCs w:val="1"/>
          <w:color w:val="auto"/>
        </w:rPr>
        <w:t>Jawandha</w:t>
      </w:r>
      <w:r>
        <w:rPr>
          <w:rFonts w:ascii="Arial" w:cs="Arial" w:eastAsia="Arial" w:hAnsi="Arial"/>
          <w:sz w:val="20"/>
          <w:szCs w:val="20"/>
          <w:color w:val="auto"/>
        </w:rPr>
        <w:t xml:space="preserve"> plaintiff seeks unspecified compensatory damages, and reasonable costs and expenses, including attorneys’ fees.</w:t>
      </w:r>
    </w:p>
    <w:p>
      <w:pPr>
        <w:spacing w:after="0" w:line="198"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 xml:space="preserve">Also on June 25, 2021, plaintiffs Timothy Slyne and Tai Slyne filed a putative securities class action lawsuit in the U.S. District Court for the Western District of Washington against us, Dr. Kawas, our then chief financial officer, and the same members of our board of directors and underwriters as in the </w:t>
      </w:r>
      <w:r>
        <w:rPr>
          <w:rFonts w:ascii="Arial" w:cs="Arial" w:eastAsia="Arial" w:hAnsi="Arial"/>
          <w:sz w:val="20"/>
          <w:szCs w:val="20"/>
          <w:i w:val="1"/>
          <w:iCs w:val="1"/>
          <w:color w:val="auto"/>
        </w:rPr>
        <w:t>Jawandha</w:t>
      </w:r>
      <w:r>
        <w:rPr>
          <w:rFonts w:ascii="Arial" w:cs="Arial" w:eastAsia="Arial" w:hAnsi="Arial"/>
          <w:sz w:val="20"/>
          <w:szCs w:val="20"/>
          <w:color w:val="auto"/>
        </w:rPr>
        <w:t xml:space="preserve"> complaint, captioned </w:t>
      </w:r>
      <w:r>
        <w:rPr>
          <w:rFonts w:ascii="Arial" w:cs="Arial" w:eastAsia="Arial" w:hAnsi="Arial"/>
          <w:sz w:val="20"/>
          <w:szCs w:val="20"/>
          <w:i w:val="1"/>
          <w:iCs w:val="1"/>
          <w:color w:val="auto"/>
        </w:rPr>
        <w:t>Slyne v. Athira Pharma, Inc. et al.</w:t>
      </w:r>
      <w:r>
        <w:rPr>
          <w:rFonts w:ascii="Arial" w:cs="Arial" w:eastAsia="Arial" w:hAnsi="Arial"/>
          <w:sz w:val="20"/>
          <w:szCs w:val="20"/>
          <w:color w:val="auto"/>
        </w:rPr>
        <w:t xml:space="preserve">, No. 2:21-cv-00864. The </w:t>
      </w:r>
      <w:r>
        <w:rPr>
          <w:rFonts w:ascii="Arial" w:cs="Arial" w:eastAsia="Arial" w:hAnsi="Arial"/>
          <w:sz w:val="20"/>
          <w:szCs w:val="20"/>
          <w:i w:val="1"/>
          <w:iCs w:val="1"/>
          <w:color w:val="auto"/>
        </w:rPr>
        <w:t>Slyne</w:t>
      </w:r>
      <w:r>
        <w:rPr>
          <w:rFonts w:ascii="Arial" w:cs="Arial" w:eastAsia="Arial" w:hAnsi="Arial"/>
          <w:sz w:val="20"/>
          <w:szCs w:val="20"/>
          <w:color w:val="auto"/>
        </w:rPr>
        <w:t xml:space="preserve"> complaint asserts violations of Sections 11 and 15 of the Securities Act, alleging that purported issues with Dr. Kawas’s doctoral research at WSU should have been disclosed in our IPO registration statement. The </w:t>
      </w:r>
      <w:r>
        <w:rPr>
          <w:rFonts w:ascii="Arial" w:cs="Arial" w:eastAsia="Arial" w:hAnsi="Arial"/>
          <w:sz w:val="20"/>
          <w:szCs w:val="20"/>
          <w:i w:val="1"/>
          <w:iCs w:val="1"/>
          <w:color w:val="auto"/>
        </w:rPr>
        <w:t>Slyne</w:t>
      </w:r>
      <w:r>
        <w:rPr>
          <w:rFonts w:ascii="Arial" w:cs="Arial" w:eastAsia="Arial" w:hAnsi="Arial"/>
          <w:sz w:val="20"/>
          <w:szCs w:val="20"/>
          <w:color w:val="auto"/>
        </w:rPr>
        <w:t xml:space="preserve"> plaintiffs seek unspecified compensatory damages, reasonable costs and expenses, including attorneys’ fees, and injunctive and other equitable relief.</w:t>
      </w:r>
    </w:p>
    <w:p>
      <w:pPr>
        <w:spacing w:after="0" w:line="194"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On August 9, 2021, the court issued an order consolidating the three cases. On October 5, 2021, the district court issued an order appointing lead plaintiffs and approved their selection of lead and liaison counsel.</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115</w:t>
      </w:r>
    </w:p>
    <w:p>
      <w:pPr>
        <w:sectPr>
          <w:pgSz w:w="11880" w:h="15474" w:orient="portrait"/>
          <w:cols w:equalWidth="0" w:num="1">
            <w:col w:w="9360"/>
          </w:cols>
          <w:pgMar w:left="1240" w:top="1255" w:right="1274" w:bottom="0" w:gutter="0" w:footer="0" w:header="0"/>
          <w:type w:val="continuous"/>
        </w:sectPr>
      </w:pPr>
    </w:p>
    <w:bookmarkStart w:id="121" w:name="page122"/>
    <w:bookmarkEnd w:id="121"/>
    <w:p>
      <w:pPr>
        <w:jc w:val="both"/>
        <w:ind w:firstLine="490"/>
        <w:spacing w:after="0" w:line="242" w:lineRule="auto"/>
        <w:rPr>
          <w:sz w:val="20"/>
          <w:szCs w:val="20"/>
          <w:color w:val="auto"/>
        </w:rPr>
      </w:pPr>
      <w:r>
        <w:rPr>
          <w:rFonts w:ascii="Arial" w:cs="Arial" w:eastAsia="Arial" w:hAnsi="Arial"/>
          <w:sz w:val="20"/>
          <w:szCs w:val="20"/>
          <w:color w:val="auto"/>
        </w:rPr>
        <w:t>On January 7, 2022, lead plaintiffs filed a consolidated amended complaint, which asserts violations of Sections 10(b) and 20(a) of the Exchange Act and SEC Rule 10b-5 and Sections 11, 12, and 15 of the Securities Act. The consolidated amended complaint is brought against us, Dr. Kawas, our then chief financial officer, certain members of our board of directors at the time of our IPO and secondary public offering, or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 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spacing w:after="0" w:line="206" w:lineRule="exact"/>
        <w:rPr>
          <w:sz w:val="20"/>
          <w:szCs w:val="20"/>
          <w:color w:val="auto"/>
        </w:rPr>
      </w:pPr>
    </w:p>
    <w:p>
      <w:pPr>
        <w:jc w:val="both"/>
        <w:ind w:firstLine="489"/>
        <w:spacing w:after="0" w:line="267" w:lineRule="auto"/>
        <w:rPr>
          <w:sz w:val="20"/>
          <w:szCs w:val="20"/>
          <w:color w:val="auto"/>
        </w:rPr>
      </w:pPr>
      <w:r>
        <w:rPr>
          <w:rFonts w:ascii="Arial" w:cs="Arial" w:eastAsia="Arial" w:hAnsi="Arial"/>
          <w:sz w:val="19"/>
          <w:szCs w:val="19"/>
          <w:color w:val="auto"/>
        </w:rPr>
        <w:t>On August 12, 2022, defendant Dr. Kawas filed a motion for partial reconsideration of the court’s July 29, 2022 order. On October 4, 2022, the court denied the motion. On October 24, 2022, the parties filed a</w:t>
      </w:r>
    </w:p>
    <w:p>
      <w:pPr>
        <w:spacing w:after="0" w:line="1" w:lineRule="exact"/>
        <w:rPr>
          <w:sz w:val="20"/>
          <w:szCs w:val="20"/>
          <w:color w:val="auto"/>
        </w:rPr>
      </w:pPr>
    </w:p>
    <w:p>
      <w:pPr>
        <w:jc w:val="both"/>
        <w:spacing w:after="0" w:line="243" w:lineRule="auto"/>
        <w:tabs>
          <w:tab w:leader="none" w:pos="298" w:val="left"/>
        </w:tabs>
        <w:numPr>
          <w:ilvl w:val="0"/>
          <w:numId w:val="55"/>
        </w:numPr>
        <w:rPr>
          <w:rFonts w:ascii="Arial" w:cs="Arial" w:eastAsia="Arial" w:hAnsi="Arial"/>
          <w:sz w:val="20"/>
          <w:szCs w:val="20"/>
          <w:color w:val="auto"/>
        </w:rPr>
      </w:pPr>
      <w:r>
        <w:rPr>
          <w:rFonts w:ascii="Arial" w:cs="Arial" w:eastAsia="Arial" w:hAnsi="Arial"/>
          <w:sz w:val="20"/>
          <w:szCs w:val="20"/>
          <w:color w:val="auto"/>
        </w:rPr>
        <w:t>joint status report and discovery plan and (2) stipulation and case scheduling order, wherein the parties proposed deadlines for material case events, including the completion of fact discovery, expert discovery, and dispositive motion practice. On November 2, 2022, the court entered an order setting certain case deadlines. On November 4, 2022, we and Dr. Kawas filed our individual answers to the consolidated amended complaint. In mid-November 2022, the parties began conducting fact discovery.</w:t>
      </w:r>
    </w:p>
    <w:p>
      <w:pPr>
        <w:spacing w:after="0" w:line="200" w:lineRule="exact"/>
        <w:rPr>
          <w:sz w:val="20"/>
          <w:szCs w:val="20"/>
          <w:color w:val="auto"/>
        </w:rPr>
      </w:pPr>
    </w:p>
    <w:p>
      <w:pPr>
        <w:jc w:val="both"/>
        <w:ind w:firstLine="489"/>
        <w:spacing w:after="0" w:line="243" w:lineRule="auto"/>
        <w:rPr>
          <w:sz w:val="20"/>
          <w:szCs w:val="20"/>
          <w:color w:val="auto"/>
        </w:rPr>
      </w:pPr>
      <w:r>
        <w:rPr>
          <w:rFonts w:ascii="Arial" w:cs="Arial" w:eastAsia="Arial" w:hAnsi="Arial"/>
          <w:sz w:val="20"/>
          <w:szCs w:val="20"/>
          <w:color w:val="auto"/>
        </w:rPr>
        <w:t>On March 10, 2023, following a mediation and the parties’ agreement in principle to settle the securities class action for $10.0 million, the court entered a stipulated order setting a deadline of April 28, 2023 for the parties to file a stipulation of settlement and for lead plaintiffs to file a motion for preliminary approval of the settlement, which the parties filed on that date. The settlement is subject to preliminary and final approval by the U.S. District Court for the Western District of Washington. On May 31, 2023, the court issued a minute order requiring the parties to file a joint status report on or before June 30, 2023 addressing several aspects of the proposed settlement, including revision of certain notices to putative class members regarding the settlement, which the parties filed on that date. On September 27, 2023, the court issued an order denying plaintiffs’ motion for preliminary approval without prejudice, citing the motion’s failure to satisfy the court’s questions and concerns regarding traceability of certain Securities Act claims. The court permitted plaintiffs to file a renewed motion for preliminary approval, which plaintiffs filed on December 15, 2023.</w:t>
      </w:r>
    </w:p>
    <w:p>
      <w:pPr>
        <w:spacing w:after="0" w:line="206" w:lineRule="exact"/>
        <w:rPr>
          <w:sz w:val="20"/>
          <w:szCs w:val="20"/>
          <w:color w:val="auto"/>
        </w:rPr>
      </w:pPr>
    </w:p>
    <w:p>
      <w:pPr>
        <w:jc w:val="both"/>
        <w:ind w:firstLine="489"/>
        <w:spacing w:after="0" w:line="248" w:lineRule="auto"/>
        <w:rPr>
          <w:sz w:val="20"/>
          <w:szCs w:val="20"/>
          <w:color w:val="auto"/>
        </w:rPr>
      </w:pPr>
      <w:r>
        <w:rPr>
          <w:rFonts w:ascii="Arial" w:cs="Arial" w:eastAsia="Arial" w:hAnsi="Arial"/>
          <w:sz w:val="20"/>
          <w:szCs w:val="20"/>
          <w:color w:val="auto"/>
        </w:rPr>
        <w:t>On February 15, 2024, the court issued an order granting in part and deferring in part plaintiffs’ renewed motion for preliminary approval and ordered the parties to submit a joint status report by March 15, 2024 proposing a date on which the court may schedule the final approval hearing, among other things. In its order, the court preliminarily approved the proposed settlement and certified a class and two subclasses. The court deferred ruling in part as to the proposed notices and claim form relating to the settlement.</w:t>
      </w:r>
    </w:p>
    <w:p>
      <w:pPr>
        <w:spacing w:after="0" w:line="194" w:lineRule="exact"/>
        <w:rPr>
          <w:sz w:val="20"/>
          <w:szCs w:val="20"/>
          <w:color w:val="auto"/>
        </w:rPr>
      </w:pPr>
    </w:p>
    <w:p>
      <w:pPr>
        <w:jc w:val="both"/>
        <w:ind w:firstLine="489"/>
        <w:spacing w:after="0" w:line="248" w:lineRule="auto"/>
        <w:rPr>
          <w:sz w:val="20"/>
          <w:szCs w:val="20"/>
          <w:color w:val="auto"/>
        </w:rPr>
      </w:pPr>
      <w:r>
        <w:rPr>
          <w:rFonts w:ascii="Arial" w:cs="Arial" w:eastAsia="Arial" w:hAnsi="Arial"/>
          <w:sz w:val="20"/>
          <w:szCs w:val="20"/>
          <w:color w:val="auto"/>
        </w:rPr>
        <w:t>As a result of the foregoing, we recorded a legal settlement expense of $10.0 million in operating expenses in the fourth quarter of 2022 and an accrued liability of $10.0 million on the accompanying consolidated balance sheets. Additionally, we recorded an insurance recovery of $1.6 million in operating expenses in the fourth quarter of 2023 and an insurance recovery receivable of $1.6 million on the accompanying consolidated balance sheets. This insurance recovery represents the amount of the settlement to be covered by our insurers.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Derivative Actions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116</w:t>
      </w:r>
    </w:p>
    <w:p>
      <w:pPr>
        <w:sectPr>
          <w:pgSz w:w="11880" w:h="15474" w:orient="portrait"/>
          <w:cols w:equalWidth="0" w:num="1">
            <w:col w:w="9360"/>
          </w:cols>
          <w:pgMar w:left="1240" w:top="1255" w:right="1274" w:bottom="0" w:gutter="0" w:footer="0" w:header="0"/>
          <w:type w:val="continuous"/>
        </w:sectPr>
      </w:pPr>
    </w:p>
    <w:bookmarkStart w:id="122" w:name="page123"/>
    <w:bookmarkEnd w:id="122"/>
    <w:p>
      <w:pPr>
        <w:jc w:val="both"/>
        <w:ind w:firstLine="490"/>
        <w:spacing w:after="0" w:line="258" w:lineRule="auto"/>
        <w:rPr>
          <w:sz w:val="20"/>
          <w:szCs w:val="20"/>
          <w:color w:val="auto"/>
        </w:rPr>
      </w:pPr>
      <w:r>
        <w:rPr>
          <w:rFonts w:ascii="Arial" w:cs="Arial" w:eastAsia="Arial" w:hAnsi="Arial"/>
          <w:sz w:val="19"/>
          <w:szCs w:val="19"/>
          <w:color w:val="auto"/>
        </w:rPr>
        <w:t xml:space="preserve">On April 14, 2022, a shareholder derivative action was filed by plaintiff Stephen Bushansky in the U.S. District Court for the Western District of Washington against certain current and former members of our board of directors, captioned </w:t>
      </w:r>
      <w:r>
        <w:rPr>
          <w:rFonts w:ascii="Arial" w:cs="Arial" w:eastAsia="Arial" w:hAnsi="Arial"/>
          <w:sz w:val="19"/>
          <w:szCs w:val="19"/>
          <w:i w:val="1"/>
          <w:iCs w:val="1"/>
          <w:color w:val="auto"/>
        </w:rPr>
        <w:t>Bushansky v. Kawas et al.</w:t>
      </w:r>
      <w:r>
        <w:rPr>
          <w:rFonts w:ascii="Arial" w:cs="Arial" w:eastAsia="Arial" w:hAnsi="Arial"/>
          <w:sz w:val="19"/>
          <w:szCs w:val="19"/>
          <w:color w:val="auto"/>
        </w:rPr>
        <w:t>, No. 2:22-cv-497. Plaintiff purports to bring the action derivatively on our behalf, and we are a nominal defendant to the action. The derivative complaint alleges that our board of directors breached its fiduciary duties by failing to prevent alleged misstatements in our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 defendants, restitution, declaratory relief, and an award of costs and expenses to the derivative plaintiff, including attorneys’ fees.</w:t>
      </w:r>
    </w:p>
    <w:p>
      <w:pPr>
        <w:spacing w:after="0" w:line="187"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 xml:space="preserve">On May 6, 2022, a second shareholder derivative action was filed by plaintiff Thomas Houlihan in the U.S. District Court for the Western District of Washington against certain of our current and former directors and officers, captioned </w:t>
      </w:r>
      <w:r>
        <w:rPr>
          <w:rFonts w:ascii="Arial" w:cs="Arial" w:eastAsia="Arial" w:hAnsi="Arial"/>
          <w:sz w:val="19"/>
          <w:szCs w:val="19"/>
          <w:i w:val="1"/>
          <w:iCs w:val="1"/>
          <w:color w:val="auto"/>
        </w:rPr>
        <w:t>Houlihan v. Kawas et al</w:t>
      </w:r>
      <w:r>
        <w:rPr>
          <w:rFonts w:ascii="Arial" w:cs="Arial" w:eastAsia="Arial" w:hAnsi="Arial"/>
          <w:sz w:val="19"/>
          <w:szCs w:val="19"/>
          <w:color w:val="auto"/>
        </w:rPr>
        <w:t>., No. 2:22-cv-620. Plaintiff purports to bring the action derivatively on our behalf, and we are a nominal defendant to the action. The derivative complaint alleges that certain of our current and former directors and officers breached their fiduciary duties by failing to prevent alleged misstatements in our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spacing w:after="0" w:line="182"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20"/>
          <w:szCs w:val="20"/>
          <w:color w:val="auto"/>
        </w:rPr>
        <w:t>On May 26, 2022, the court issued an order consolidating the cases and staying them until further order of the court. We believe we have adequate reserves related to this matter as of the balance sheet date.</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Investigations</w:t>
      </w:r>
    </w:p>
    <w:p>
      <w:pPr>
        <w:spacing w:after="0" w:line="243"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In November 2022, we received a Civil Investigative Demand from the Civil Division of the Department of Justice, or the Demand. The Demand seeks documents and information relating to our relationship with WSU, certain of our grant applications in 2016 and 2019 with the NIH and our receipt of a NIH grant in 2020. We are cooperating with the Department of Justice with respect to the Demand.</w:t>
      </w:r>
    </w:p>
    <w:p>
      <w:pPr>
        <w:spacing w:after="0" w:line="187"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In February 2023, the SEC sent us a subpoena seeking documents and information relating to, among other things, our former chief executive officer's alterations of images in certain research papers. We are cooperating with the SEC with respect to the subpoena.</w:t>
      </w:r>
    </w:p>
    <w:p>
      <w:pPr>
        <w:spacing w:after="0" w:line="180"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We cannot predict the outcome of these lawsuits or government investigations. Failure by us to obtain a favorable resolution of these actions could have a material adverse effect on our business, results of operations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Not applicable.</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117</w:t>
      </w:r>
    </w:p>
    <w:p>
      <w:pPr>
        <w:sectPr>
          <w:pgSz w:w="11880" w:h="15474" w:orient="portrait"/>
          <w:cols w:equalWidth="0" w:num="1">
            <w:col w:w="9360"/>
          </w:cols>
          <w:pgMar w:left="1240" w:top="1255" w:right="1274" w:bottom="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20"/>
          <w:szCs w:val="20"/>
          <w:b w:val="1"/>
          <w:bCs w:val="1"/>
          <w:color w:val="auto"/>
        </w:rPr>
        <w:t>PART II</w:t>
      </w:r>
    </w:p>
    <w:p>
      <w:pPr>
        <w:spacing w:after="0" w:line="239" w:lineRule="exact"/>
        <w:rPr>
          <w:sz w:val="20"/>
          <w:szCs w:val="20"/>
          <w:color w:val="auto"/>
        </w:rPr>
      </w:pPr>
    </w:p>
    <w:p>
      <w:pPr>
        <w:jc w:val="both"/>
        <w:spacing w:after="0" w:line="298"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 for Common Stock</w:t>
      </w:r>
    </w:p>
    <w:p>
      <w:pPr>
        <w:spacing w:after="0" w:line="123"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color w:val="auto"/>
        </w:rPr>
        <w:t>Our common stock began trading on The Nasdaq Global Select Market under the symbol “ATHA” on September 18, 2020. Prior to that date, there was no public trading market for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 of Record</w:t>
      </w:r>
    </w:p>
    <w:p>
      <w:pPr>
        <w:spacing w:after="0" w:line="123"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20"/>
          <w:szCs w:val="20"/>
          <w:color w:val="auto"/>
        </w:rPr>
        <w:t>As of February 16, 2024, there were approximately 42 holders of record of our common stock. Because many of our shares are held by brokers and other institutions on behalf of shareholders, we are unable to estimate the total number of shareholders represented by these record holders.</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125"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We currently intend to retain all available funds and future earnings to fund the development and growth of our business and we do not anticipate paying any cash dividends in the foreseeable future.</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None.</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Performance Graph</w:t>
      </w:r>
    </w:p>
    <w:p>
      <w:pPr>
        <w:spacing w:after="0" w:line="125"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color w:val="auto"/>
        </w:rPr>
        <w:t>As a smaller reporting company, we are not required to provide the information requested by this item pursuant to Item 201(e) of Regulation S-K.</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Repurchases of Equity Securities</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118</w:t>
      </w:r>
    </w:p>
    <w:p>
      <w:pPr>
        <w:sectPr>
          <w:pgSz w:w="11880" w:h="15474" w:orient="portrait"/>
          <w:cols w:equalWidth="0" w:num="1">
            <w:col w:w="9360"/>
          </w:cols>
          <w:pgMar w:left="1240" w:top="1251" w:right="1274" w:bottom="0" w:gutter="0" w:footer="0" w:header="0"/>
          <w:type w:val="continuous"/>
        </w:sectPr>
      </w:pPr>
    </w:p>
    <w:bookmarkStart w:id="124" w:name="page125"/>
    <w:bookmarkEnd w:id="124"/>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131"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i w:val="1"/>
          <w:iCs w:val="1"/>
          <w:color w:val="auto"/>
        </w:rPr>
        <w:t>You should read the following management’s discussion and analysis of financial condition and results of operations in conjunction with our consolidated financial statements and notes thereto included in Part II, Item 8 of this Annual Report on Form 10-K.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Annual Report on Form 10-K titled “Risk Factors” and elsewhere in this report. You should carefully read the “Risk Factors” to gain an understanding of the important factors that could cause actual results to differ materially from our forward-looking statements. Please also see the section of this report titled “Special Note Regarding Forward-Looking Statements.”</w:t>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24"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We are a late clinical-stage biopharmaceutical company focused on developing small molecules engineered to restore neuronal health and slow neurodegeneration. Our approach is designed to modulate the neurotrophic HGF system, that is critical to normal brain function and may play a key role in maintaining the health and functioning of neuronal networks. We believe that by acting on the neurotrophic HGF system and its multiple downstream signaling pathways, we may be able to enhance the body’s natural ability to protect and repair neuronal networks by reducing inflammation, promoting regeneration, and reducing disease-specific protein pathologies, thereby positively impacting the course of disease. We aim to achieve these goals by advancing our pipeline of novel small molecule compounds which are designed to and have exhibited properties in enhancing the neurotrophic HGF system in either the CNS, by crossing the BBB, or the PNS.</w:t>
      </w:r>
    </w:p>
    <w:p>
      <w:pPr>
        <w:spacing w:after="0" w:line="202"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Our lead drug candidate, fosgonimeton, is a potentially first-in-class, small molecule drug candidate designed to positively modulate the neurotrophic HGF system for potential treatment of CNS disorders. The effects of fosgonimeton in its primary target indication, AD, are currently being evaluated in multiple clinical trials:</w:t>
      </w:r>
    </w:p>
    <w:p>
      <w:pPr>
        <w:spacing w:after="0" w:line="200" w:lineRule="exact"/>
        <w:rPr>
          <w:sz w:val="20"/>
          <w:szCs w:val="20"/>
          <w:color w:val="auto"/>
        </w:rPr>
      </w:pPr>
    </w:p>
    <w:p>
      <w:pPr>
        <w:jc w:val="both"/>
        <w:ind w:left="720" w:hanging="361"/>
        <w:spacing w:after="0" w:line="243" w:lineRule="auto"/>
        <w:tabs>
          <w:tab w:leader="none" w:pos="721" w:val="left"/>
        </w:tabs>
        <w:numPr>
          <w:ilvl w:val="0"/>
          <w:numId w:val="56"/>
        </w:numPr>
        <w:rPr>
          <w:rFonts w:ascii="Arial" w:cs="Arial" w:eastAsia="Arial" w:hAnsi="Arial"/>
          <w:sz w:val="20"/>
          <w:szCs w:val="20"/>
          <w:color w:val="auto"/>
        </w:rPr>
      </w:pPr>
      <w:r>
        <w:rPr>
          <w:rFonts w:ascii="Arial" w:cs="Arial" w:eastAsia="Arial" w:hAnsi="Arial"/>
          <w:sz w:val="20"/>
          <w:szCs w:val="20"/>
          <w:color w:val="auto"/>
        </w:rPr>
        <w:t>ACT-AD* was a randomized, double-blind, placebo-controlled, parallel-group 26-week exploratory Phase 2 clinical trial in mild-to-moderate AD, with ERP P300 latency as the primary endpoint. Initiated in November 2020, the trial was designed to better characterize the overall effects of fosgonimeton on working memory processing speed and cognitive measures and inform the Phase 2/3 LIFT-AD trial. Topline results for this exploratory Phase 2 ACT-AD trial were announced in June 2022, and the primary and all secondary endpoints were not met by protocoled analysis. However, a post hoc analysis of results from ACT-AD in a pre-specified subgroup suggested positive effects on measures of cognition, function and neurodegeneration in participants taking fosgonimeton alone without background AChEIs. Additionally, data from post hoc analysis of plasma biomarkers from participants on fosgonimeton without background AChEIs showed descriptive improvements (non-statistically significant) in markers of neuroinflammation and AD-specific protein pathologies when compared to placebo. Fosgonimeton was generally well tolerated in the ACT-AD study, with a favorable safety profile, and there were no treatment related serious adverse events or deaths observed.</w:t>
      </w:r>
    </w:p>
    <w:p>
      <w:pPr>
        <w:spacing w:after="0" w:line="213" w:lineRule="exact"/>
        <w:rPr>
          <w:rFonts w:ascii="Arial" w:cs="Arial" w:eastAsia="Arial" w:hAnsi="Arial"/>
          <w:sz w:val="20"/>
          <w:szCs w:val="20"/>
          <w:color w:val="auto"/>
        </w:rPr>
      </w:pPr>
    </w:p>
    <w:p>
      <w:pPr>
        <w:jc w:val="both"/>
        <w:ind w:left="720" w:hanging="362"/>
        <w:spacing w:after="0" w:line="246" w:lineRule="auto"/>
        <w:tabs>
          <w:tab w:leader="none" w:pos="721" w:val="left"/>
        </w:tabs>
        <w:numPr>
          <w:ilvl w:val="0"/>
          <w:numId w:val="56"/>
        </w:numPr>
        <w:rPr>
          <w:rFonts w:ascii="Arial" w:cs="Arial" w:eastAsia="Arial" w:hAnsi="Arial"/>
          <w:sz w:val="20"/>
          <w:szCs w:val="20"/>
          <w:color w:val="auto"/>
        </w:rPr>
      </w:pPr>
      <w:r>
        <w:rPr>
          <w:rFonts w:ascii="Arial" w:cs="Arial" w:eastAsia="Arial" w:hAnsi="Arial"/>
          <w:sz w:val="20"/>
          <w:szCs w:val="20"/>
          <w:color w:val="auto"/>
        </w:rPr>
        <w:t>LIFT-AD is a randomized, double-blind, placebo-controlled, parallel-group 26-week Phase 2/3 clinical trial with fosgonimeton for the treatment of mild-to-moderate AD. In September 2020, we began site initiation and patient screening for LIFT-AD. The primary endpoint for the Phase 2/3 LIFT-AD trial will be measured by the GST, which is a composite score that combines the scores from cognition (ADAS-Cog11), and function (ADCS-ADL23). Guided by the results from the completed exploratory ACT-AD Phase 2 trial, in September 2022, we proactively amended LIFT-AD to focus on participants not on background AChEIs. In October 2022, we announced that following an unblinded interim efficacy and futility analysis, an independent DMC recommended</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119</w:t>
      </w:r>
    </w:p>
    <w:p>
      <w:pPr>
        <w:sectPr>
          <w:pgSz w:w="11880" w:h="15474" w:orient="portrait"/>
          <w:cols w:equalWidth="0" w:num="1">
            <w:col w:w="9360"/>
          </w:cols>
          <w:pgMar w:left="1240" w:top="1251" w:right="1274" w:bottom="0" w:gutter="0" w:footer="0" w:header="0"/>
          <w:type w:val="continuous"/>
        </w:sectPr>
      </w:pPr>
    </w:p>
    <w:bookmarkStart w:id="125" w:name="page126"/>
    <w:bookmarkEnd w:id="125"/>
    <w:p>
      <w:pPr>
        <w:jc w:val="both"/>
        <w:ind w:left="720"/>
        <w:spacing w:after="0" w:line="256" w:lineRule="auto"/>
        <w:rPr>
          <w:sz w:val="20"/>
          <w:szCs w:val="20"/>
          <w:color w:val="auto"/>
        </w:rPr>
      </w:pPr>
      <w:r>
        <w:rPr>
          <w:rFonts w:ascii="Arial" w:cs="Arial" w:eastAsia="Arial" w:hAnsi="Arial"/>
          <w:sz w:val="19"/>
          <w:szCs w:val="19"/>
          <w:color w:val="auto"/>
        </w:rPr>
        <w:t>continuation of the LIFT-AD trial. The committee also determined that, with the additional enrollment of fewer than 150 participants for a total enrollment of less than 300 participants without background AChEIs, the amended trial will be well powered for the primary endpoint given the preliminary effect size observed. In May 2023, we further amended LIFT-AD to focus on 40 mg dosing, which we have selected for further development and as the potential dose for regulatory approval of fosgonimeton in this indication. This selection was based on a review of the totality of the preclinical and clinical data, biomarker results, observations from the open label extension study and in consultation with independent regulatory and biostatistical consultants based on patients treated with 40 mg fosgonimeton without concomitant AChEIs. In January 2024 we announced the completion of enrollment with a total of 318 patients randomized. We expect to report topline LIFT-AD results in the second half of 2024. In July 2023, we completed an end of Phase 2 meeting with the FDA to gain alignment on our plans for the continued clinical development of fosgonimeton as a treatment for mild-to-moderate AD. During this meeting we provided an update and discussed with the FDA the ongoing LIFT-AD trial, including use of the 40 mg dose, concomitant AChEIs use, biomarker analyses including NfL, and the SAP. The FDA noted the importance of showing effects on both cognition (ADAS-Cog11) and function (ADCS-ADL23) in the trial population. The FDA is open to ongoing dialogue with us regarding the LIFT-AD trial once completed as well as other aspects of our program to develop fosgonimeton as a potential treatment for mild-to-moderate AD.</w:t>
      </w:r>
    </w:p>
    <w:p>
      <w:pPr>
        <w:spacing w:after="0" w:line="199" w:lineRule="exact"/>
        <w:rPr>
          <w:sz w:val="20"/>
          <w:szCs w:val="20"/>
          <w:color w:val="auto"/>
        </w:rPr>
      </w:pPr>
    </w:p>
    <w:p>
      <w:pPr>
        <w:jc w:val="both"/>
        <w:ind w:left="720" w:hanging="361"/>
        <w:spacing w:after="0" w:line="259" w:lineRule="auto"/>
        <w:tabs>
          <w:tab w:leader="none" w:pos="7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July 2021, we announced that we are enrolling participants into a 26-week OLEX trial* for our LIFT-AD and ACT-AD clinical trials, allowing us to collect up to a total of one year of safety data with fosgonimeton. In May 2022, we announced that we extended the 26-week OLEX for our LIFT-AD and ACT-AD clinical trials for an additional 12 months, enabling eligible participants who have completed either trial and elect to participate in the ongoing OLEX to receive up to 18 months of open-label treatment with fosgonimeton. In May 2023, we amended the OLEX to further extend the trial by an additional 12 months. Eligible participants who have completed the LIFT-AD or ACT-AD trials and elect to participate in the ongoing OLEX may now receive up to 30 months of open-label treatment, which allows us to collect up to 36 months total of long-term exposure data.</w:t>
      </w:r>
    </w:p>
    <w:p>
      <w:pPr>
        <w:spacing w:after="0" w:line="195" w:lineRule="exact"/>
        <w:rPr>
          <w:rFonts w:ascii="Arial" w:cs="Arial" w:eastAsia="Arial" w:hAnsi="Arial"/>
          <w:sz w:val="19"/>
          <w:szCs w:val="19"/>
          <w:color w:val="auto"/>
        </w:rPr>
      </w:pPr>
    </w:p>
    <w:p>
      <w:pPr>
        <w:jc w:val="both"/>
        <w:ind w:left="720"/>
        <w:spacing w:after="0" w:line="251" w:lineRule="auto"/>
        <w:rPr>
          <w:rFonts w:ascii="Arial" w:cs="Arial" w:eastAsia="Arial" w:hAnsi="Arial"/>
          <w:sz w:val="19"/>
          <w:szCs w:val="19"/>
          <w:color w:val="auto"/>
        </w:rPr>
      </w:pPr>
      <w:r>
        <w:rPr>
          <w:rFonts w:ascii="Arial" w:cs="Arial" w:eastAsia="Arial" w:hAnsi="Arial"/>
          <w:sz w:val="20"/>
          <w:szCs w:val="20"/>
          <w:i w:val="1"/>
          <w:iCs w:val="1"/>
          <w:color w:val="auto"/>
        </w:rPr>
        <w:t>*The ACT-AD trial and the related OLEX for ACT-AD participants have been supported by a grant from the National Institute on Aging of the National Institutes of Health under Award Number R01AG06268. The information presented is solely the responsibility of Athira and does not necessarily represent the official views of the National Institutes of Health.</w:t>
      </w:r>
    </w:p>
    <w:p>
      <w:pPr>
        <w:spacing w:after="0" w:line="190" w:lineRule="exact"/>
        <w:rPr>
          <w:sz w:val="20"/>
          <w:szCs w:val="20"/>
          <w:color w:val="auto"/>
        </w:rPr>
      </w:pPr>
    </w:p>
    <w:p>
      <w:pPr>
        <w:jc w:val="both"/>
        <w:ind w:firstLine="490"/>
        <w:spacing w:after="0" w:line="272" w:lineRule="auto"/>
        <w:rPr>
          <w:sz w:val="20"/>
          <w:szCs w:val="20"/>
          <w:color w:val="auto"/>
        </w:rPr>
      </w:pPr>
      <w:r>
        <w:rPr>
          <w:rFonts w:ascii="Arial" w:cs="Arial" w:eastAsia="Arial" w:hAnsi="Arial"/>
          <w:sz w:val="19"/>
          <w:szCs w:val="19"/>
          <w:color w:val="auto"/>
        </w:rPr>
        <w:t>The following figure illustrates the current development stage of our proprietary drug candidates and early discovery and development programs. Our pipeline consists of both BBB permeable and peripherally restricted drug candidates for CNS, PNS and other indications. In addition, we are exploring the use of our ATH compounds in additional indications in the CNS and PNS as we aim to improve neuronal health in</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120</w:t>
      </w:r>
    </w:p>
    <w:p>
      <w:pPr>
        <w:sectPr>
          <w:pgSz w:w="11880" w:h="15474" w:orient="portrait"/>
          <w:cols w:equalWidth="0" w:num="1">
            <w:col w:w="9360"/>
          </w:cols>
          <w:pgMar w:left="1240" w:top="1255" w:right="1274" w:bottom="0" w:gutter="0" w:footer="0" w:header="0"/>
          <w:type w:val="continuous"/>
        </w:sectPr>
      </w:pPr>
    </w:p>
    <w:bookmarkStart w:id="126" w:name="page127"/>
    <w:bookmarkEnd w:id="126"/>
    <w:p>
      <w:pPr>
        <w:jc w:val="both"/>
        <w:spacing w:after="0" w:line="282" w:lineRule="auto"/>
        <w:rPr>
          <w:sz w:val="20"/>
          <w:szCs w:val="20"/>
          <w:color w:val="auto"/>
        </w:rPr>
      </w:pPr>
      <w:r>
        <w:rPr>
          <w:rFonts w:ascii="Arial" w:cs="Arial" w:eastAsia="Arial" w:hAnsi="Arial"/>
          <w:sz w:val="20"/>
          <w:szCs w:val="20"/>
          <w:color w:val="auto"/>
        </w:rPr>
        <w:t>multiple neurodegenerative diseases. Our drug discovery efforts are focused on designing and testing new early compounds to enhance the HGF/MET system for a variety of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943600" cy="2562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extLst>
                    </a:blip>
                    <a:srcRect/>
                    <a:stretch>
                      <a:fillRect/>
                    </a:stretch>
                  </pic:blipFill>
                  <pic:spPr bwMode="auto">
                    <a:xfrm>
                      <a:off x="0" y="0"/>
                      <a:ext cx="5943600" cy="256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180"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drug products approved for commercial sale, and we have not generated any revenues related to our drug products since inception. Our ability to generate drug product revenue sufficient to achieve profitability, if ever, will depend on the successful development of one or more of our drug candidates which we expect will take a number of years.</w:t>
      </w:r>
    </w:p>
    <w:p>
      <w:pPr>
        <w:spacing w:after="0" w:line="194"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9"/>
          <w:szCs w:val="19"/>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drug candidates. We utilize third-party CMOs to manufacture and supply our preclinical and clinical materials during the development of our drug candidates. We believe the synthesis of fosgonimeton is reliable and reproducible and the synthetic methods can be further optimized to enable large- 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drug candidates that are cost-effective to manufacture and easily transferable to third party CMOs. We expect to use similar contract resources for commercialization of our drug products, at least until our resources and operations are at a scale that justifies investment in internal manufacturing capabilities.</w:t>
      </w:r>
    </w:p>
    <w:p>
      <w:pPr>
        <w:spacing w:after="0" w:line="192" w:lineRule="exact"/>
        <w:rPr>
          <w:sz w:val="20"/>
          <w:szCs w:val="20"/>
          <w:color w:val="auto"/>
        </w:rPr>
      </w:pPr>
    </w:p>
    <w:p>
      <w:pPr>
        <w:jc w:val="both"/>
        <w:ind w:firstLine="489"/>
        <w:spacing w:after="0" w:line="267" w:lineRule="auto"/>
        <w:rPr>
          <w:sz w:val="20"/>
          <w:szCs w:val="20"/>
          <w:color w:val="auto"/>
        </w:rPr>
      </w:pPr>
      <w:r>
        <w:rPr>
          <w:rFonts w:ascii="Arial" w:cs="Arial" w:eastAsia="Arial" w:hAnsi="Arial"/>
          <w:sz w:val="19"/>
          <w:szCs w:val="19"/>
          <w:color w:val="auto"/>
        </w:rPr>
        <w:t>Given our stage of development, we have not yet established a commercial organization or distribution capabilities. We intend to build a commercial infrastructure to support sales of our drug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174" w:lineRule="exact"/>
        <w:rPr>
          <w:sz w:val="20"/>
          <w:szCs w:val="20"/>
          <w:color w:val="auto"/>
        </w:rPr>
      </w:pPr>
    </w:p>
    <w:p>
      <w:pPr>
        <w:jc w:val="both"/>
        <w:ind w:firstLine="490"/>
        <w:spacing w:after="0" w:line="311" w:lineRule="auto"/>
        <w:rPr>
          <w:sz w:val="20"/>
          <w:szCs w:val="20"/>
          <w:color w:val="auto"/>
        </w:rPr>
      </w:pPr>
      <w:r>
        <w:rPr>
          <w:rFonts w:ascii="Arial" w:cs="Arial" w:eastAsia="Arial" w:hAnsi="Arial"/>
          <w:sz w:val="19"/>
          <w:szCs w:val="19"/>
          <w:color w:val="auto"/>
        </w:rPr>
        <w:t>To date, we have funded our operations primarily through proceeds from the sale of equity securities, including proceeds from the sale and issuance of common stock in our IPO and in a subsequent follow-on</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121</w:t>
      </w:r>
    </w:p>
    <w:p>
      <w:pPr>
        <w:sectPr>
          <w:pgSz w:w="11880" w:h="15474" w:orient="portrait"/>
          <w:cols w:equalWidth="0" w:num="1">
            <w:col w:w="9360"/>
          </w:cols>
          <w:pgMar w:left="1240" w:top="1255" w:right="1274" w:bottom="0" w:gutter="0" w:footer="0" w:header="0"/>
          <w:type w:val="continuous"/>
        </w:sectPr>
      </w:pPr>
    </w:p>
    <w:bookmarkStart w:id="127" w:name="page128"/>
    <w:bookmarkEnd w:id="127"/>
    <w:p>
      <w:pPr>
        <w:jc w:val="both"/>
        <w:ind w:left="1"/>
        <w:spacing w:after="0" w:line="246" w:lineRule="auto"/>
        <w:rPr>
          <w:sz w:val="20"/>
          <w:szCs w:val="20"/>
          <w:color w:val="auto"/>
        </w:rPr>
      </w:pPr>
      <w:r>
        <w:rPr>
          <w:rFonts w:ascii="Arial" w:cs="Arial" w:eastAsia="Arial" w:hAnsi="Arial"/>
          <w:sz w:val="20"/>
          <w:szCs w:val="20"/>
          <w:color w:val="auto"/>
        </w:rPr>
        <w:t>public offering, the sale and issuance of convertible preferred stock, common stock warrants, and convertible notes, and to a lesser extent from grant income and stock option exercises. From inception to December 31, 2023, we have raised aggregate net cash proceeds of approximately $407.4 million primarily from the issuance of our common stock (excluding option exercises), convertible preferred stock, common stock warrants, and convertible notes. We have incurred significant operating losses to date. Our net losses were $117.7 million and $95.6 million for the years ended December 30, 2023 and 2022, respectively. As of December 31, 2023, we had an accumulated deficit of $309.2 million and cash, cash equivalents and investments of $147.4 million.</w:t>
      </w:r>
    </w:p>
    <w:p>
      <w:pPr>
        <w:spacing w:after="0" w:line="194" w:lineRule="exact"/>
        <w:rPr>
          <w:sz w:val="20"/>
          <w:szCs w:val="20"/>
          <w:color w:val="auto"/>
        </w:rPr>
      </w:pPr>
    </w:p>
    <w:p>
      <w:pPr>
        <w:ind w:left="481"/>
        <w:spacing w:after="0"/>
        <w:rPr>
          <w:sz w:val="20"/>
          <w:szCs w:val="20"/>
          <w:color w:val="auto"/>
        </w:rPr>
      </w:pPr>
      <w:r>
        <w:rPr>
          <w:rFonts w:ascii="Arial" w:cs="Arial" w:eastAsia="Arial" w:hAnsi="Arial"/>
          <w:sz w:val="20"/>
          <w:szCs w:val="20"/>
          <w:color w:val="auto"/>
        </w:rPr>
        <w:t>We expect to continue to incur increasing operating losses for the foreseeable future as we:</w:t>
      </w:r>
    </w:p>
    <w:p>
      <w:pPr>
        <w:spacing w:after="0" w:line="134" w:lineRule="exact"/>
        <w:rPr>
          <w:sz w:val="20"/>
          <w:szCs w:val="20"/>
          <w:color w:val="auto"/>
        </w:rPr>
      </w:pPr>
    </w:p>
    <w:p>
      <w:pPr>
        <w:ind w:left="361" w:hanging="360"/>
        <w:spacing w:after="0" w:line="282" w:lineRule="auto"/>
        <w:tabs>
          <w:tab w:leader="none" w:pos="361" w:val="left"/>
        </w:tabs>
        <w:numPr>
          <w:ilvl w:val="0"/>
          <w:numId w:val="58"/>
        </w:numPr>
        <w:rPr>
          <w:rFonts w:ascii="Arial" w:cs="Arial" w:eastAsia="Arial" w:hAnsi="Arial"/>
          <w:sz w:val="20"/>
          <w:szCs w:val="20"/>
          <w:color w:val="auto"/>
        </w:rPr>
      </w:pPr>
      <w:r>
        <w:rPr>
          <w:rFonts w:ascii="Arial" w:cs="Arial" w:eastAsia="Arial" w:hAnsi="Arial"/>
          <w:sz w:val="20"/>
          <w:szCs w:val="20"/>
          <w:color w:val="auto"/>
        </w:rPr>
        <w:t>continue to advance fosgonimeton and our other drug candidates through preclinical studies and clinical trials, and continue the open label extension of the ACT-AD and LIFT-AD trials;</w:t>
      </w:r>
    </w:p>
    <w:p>
      <w:pPr>
        <w:spacing w:after="0" w:line="52" w:lineRule="exact"/>
        <w:rPr>
          <w:rFonts w:ascii="Arial" w:cs="Arial" w:eastAsia="Arial" w:hAnsi="Arial"/>
          <w:sz w:val="20"/>
          <w:szCs w:val="20"/>
          <w:color w:val="auto"/>
        </w:rPr>
      </w:pPr>
    </w:p>
    <w:p>
      <w:pPr>
        <w:ind w:left="361" w:hanging="361"/>
        <w:spacing w:after="0"/>
        <w:tabs>
          <w:tab w:leader="none" w:pos="361" w:val="left"/>
        </w:tabs>
        <w:numPr>
          <w:ilvl w:val="0"/>
          <w:numId w:val="58"/>
        </w:numPr>
        <w:rPr>
          <w:rFonts w:ascii="Arial" w:cs="Arial" w:eastAsia="Arial" w:hAnsi="Arial"/>
          <w:sz w:val="20"/>
          <w:szCs w:val="20"/>
          <w:color w:val="auto"/>
        </w:rPr>
      </w:pPr>
      <w:r>
        <w:rPr>
          <w:rFonts w:ascii="Arial" w:cs="Arial" w:eastAsia="Arial" w:hAnsi="Arial"/>
          <w:sz w:val="20"/>
          <w:szCs w:val="20"/>
          <w:color w:val="auto"/>
        </w:rPr>
        <w:t>expand our pipeline of drug candidates;</w:t>
      </w:r>
    </w:p>
    <w:p>
      <w:pPr>
        <w:spacing w:after="0" w:line="133" w:lineRule="exact"/>
        <w:rPr>
          <w:rFonts w:ascii="Arial" w:cs="Arial" w:eastAsia="Arial" w:hAnsi="Arial"/>
          <w:sz w:val="20"/>
          <w:szCs w:val="20"/>
          <w:color w:val="auto"/>
        </w:rPr>
      </w:pPr>
    </w:p>
    <w:p>
      <w:pPr>
        <w:ind w:left="361" w:hanging="361"/>
        <w:spacing w:after="0"/>
        <w:tabs>
          <w:tab w:leader="none" w:pos="361" w:val="left"/>
        </w:tabs>
        <w:numPr>
          <w:ilvl w:val="0"/>
          <w:numId w:val="58"/>
        </w:numPr>
        <w:rPr>
          <w:rFonts w:ascii="Arial" w:cs="Arial" w:eastAsia="Arial" w:hAnsi="Arial"/>
          <w:sz w:val="20"/>
          <w:szCs w:val="20"/>
          <w:color w:val="auto"/>
        </w:rPr>
      </w:pPr>
      <w:r>
        <w:rPr>
          <w:rFonts w:ascii="Arial" w:cs="Arial" w:eastAsia="Arial" w:hAnsi="Arial"/>
          <w:sz w:val="20"/>
          <w:szCs w:val="20"/>
          <w:color w:val="auto"/>
        </w:rPr>
        <w:t>continue to grow our discovery organization and invest in the ATH platform;</w:t>
      </w:r>
    </w:p>
    <w:p>
      <w:pPr>
        <w:spacing w:after="0" w:line="133" w:lineRule="exact"/>
        <w:rPr>
          <w:rFonts w:ascii="Arial" w:cs="Arial" w:eastAsia="Arial" w:hAnsi="Arial"/>
          <w:sz w:val="20"/>
          <w:szCs w:val="20"/>
          <w:color w:val="auto"/>
        </w:rPr>
      </w:pPr>
    </w:p>
    <w:p>
      <w:pPr>
        <w:ind w:left="361" w:hanging="361"/>
        <w:spacing w:after="0"/>
        <w:tabs>
          <w:tab w:leader="none" w:pos="361" w:val="left"/>
        </w:tabs>
        <w:numPr>
          <w:ilvl w:val="0"/>
          <w:numId w:val="58"/>
        </w:numPr>
        <w:rPr>
          <w:rFonts w:ascii="Arial" w:cs="Arial" w:eastAsia="Arial" w:hAnsi="Arial"/>
          <w:sz w:val="20"/>
          <w:szCs w:val="20"/>
          <w:color w:val="auto"/>
        </w:rPr>
      </w:pPr>
      <w:r>
        <w:rPr>
          <w:rFonts w:ascii="Arial" w:cs="Arial" w:eastAsia="Arial" w:hAnsi="Arial"/>
          <w:sz w:val="20"/>
          <w:szCs w:val="20"/>
          <w:color w:val="auto"/>
        </w:rPr>
        <w:t>ramp up manufacturing activities;</w:t>
      </w:r>
    </w:p>
    <w:p>
      <w:pPr>
        <w:spacing w:after="0" w:line="133" w:lineRule="exact"/>
        <w:rPr>
          <w:rFonts w:ascii="Arial" w:cs="Arial" w:eastAsia="Arial" w:hAnsi="Arial"/>
          <w:sz w:val="20"/>
          <w:szCs w:val="20"/>
          <w:color w:val="auto"/>
        </w:rPr>
      </w:pPr>
    </w:p>
    <w:p>
      <w:pPr>
        <w:ind w:left="361" w:hanging="361"/>
        <w:spacing w:after="0"/>
        <w:tabs>
          <w:tab w:leader="none" w:pos="361" w:val="left"/>
        </w:tabs>
        <w:numPr>
          <w:ilvl w:val="0"/>
          <w:numId w:val="58"/>
        </w:numPr>
        <w:rPr>
          <w:rFonts w:ascii="Arial" w:cs="Arial" w:eastAsia="Arial" w:hAnsi="Arial"/>
          <w:sz w:val="20"/>
          <w:szCs w:val="20"/>
          <w:color w:val="auto"/>
        </w:rPr>
      </w:pPr>
      <w:r>
        <w:rPr>
          <w:rFonts w:ascii="Arial" w:cs="Arial" w:eastAsia="Arial" w:hAnsi="Arial"/>
          <w:sz w:val="20"/>
          <w:szCs w:val="20"/>
          <w:color w:val="auto"/>
        </w:rPr>
        <w:t>attract, hire and retain additional personnel;</w:t>
      </w:r>
    </w:p>
    <w:p>
      <w:pPr>
        <w:spacing w:after="0" w:line="133" w:lineRule="exact"/>
        <w:rPr>
          <w:rFonts w:ascii="Arial" w:cs="Arial" w:eastAsia="Arial" w:hAnsi="Arial"/>
          <w:sz w:val="20"/>
          <w:szCs w:val="20"/>
          <w:color w:val="auto"/>
        </w:rPr>
      </w:pPr>
    </w:p>
    <w:p>
      <w:pPr>
        <w:ind w:left="361" w:hanging="361"/>
        <w:spacing w:after="0"/>
        <w:tabs>
          <w:tab w:leader="none" w:pos="361" w:val="left"/>
        </w:tabs>
        <w:numPr>
          <w:ilvl w:val="0"/>
          <w:numId w:val="58"/>
        </w:numPr>
        <w:rPr>
          <w:rFonts w:ascii="Arial" w:cs="Arial" w:eastAsia="Arial" w:hAnsi="Arial"/>
          <w:sz w:val="20"/>
          <w:szCs w:val="20"/>
          <w:color w:val="auto"/>
        </w:rPr>
      </w:pPr>
      <w:r>
        <w:rPr>
          <w:rFonts w:ascii="Arial" w:cs="Arial" w:eastAsia="Arial" w:hAnsi="Arial"/>
          <w:sz w:val="20"/>
          <w:szCs w:val="20"/>
          <w:color w:val="auto"/>
        </w:rPr>
        <w:t>obtain, maintain, expand and protect our intellectual property portfolio;</w:t>
      </w:r>
    </w:p>
    <w:p>
      <w:pPr>
        <w:spacing w:after="0" w:line="133" w:lineRule="exact"/>
        <w:rPr>
          <w:rFonts w:ascii="Arial" w:cs="Arial" w:eastAsia="Arial" w:hAnsi="Arial"/>
          <w:sz w:val="20"/>
          <w:szCs w:val="20"/>
          <w:color w:val="auto"/>
        </w:rPr>
      </w:pPr>
    </w:p>
    <w:p>
      <w:pPr>
        <w:ind w:left="361" w:hanging="361"/>
        <w:spacing w:after="0"/>
        <w:tabs>
          <w:tab w:leader="none" w:pos="361" w:val="left"/>
        </w:tabs>
        <w:numPr>
          <w:ilvl w:val="0"/>
          <w:numId w:val="58"/>
        </w:numPr>
        <w:rPr>
          <w:rFonts w:ascii="Arial" w:cs="Arial" w:eastAsia="Arial" w:hAnsi="Arial"/>
          <w:sz w:val="20"/>
          <w:szCs w:val="20"/>
          <w:color w:val="auto"/>
        </w:rPr>
      </w:pPr>
      <w:r>
        <w:rPr>
          <w:rFonts w:ascii="Arial" w:cs="Arial" w:eastAsia="Arial" w:hAnsi="Arial"/>
          <w:sz w:val="20"/>
          <w:szCs w:val="20"/>
          <w:color w:val="auto"/>
        </w:rPr>
        <w:t>operate as a public company;</w:t>
      </w:r>
    </w:p>
    <w:p>
      <w:pPr>
        <w:spacing w:after="0" w:line="133" w:lineRule="exact"/>
        <w:rPr>
          <w:rFonts w:ascii="Arial" w:cs="Arial" w:eastAsia="Arial" w:hAnsi="Arial"/>
          <w:sz w:val="20"/>
          <w:szCs w:val="20"/>
          <w:color w:val="auto"/>
        </w:rPr>
      </w:pPr>
    </w:p>
    <w:p>
      <w:pPr>
        <w:ind w:left="361" w:hanging="361"/>
        <w:spacing w:after="0"/>
        <w:tabs>
          <w:tab w:leader="none" w:pos="361" w:val="left"/>
        </w:tabs>
        <w:numPr>
          <w:ilvl w:val="0"/>
          <w:numId w:val="58"/>
        </w:numPr>
        <w:rPr>
          <w:rFonts w:ascii="Arial" w:cs="Arial" w:eastAsia="Arial" w:hAnsi="Arial"/>
          <w:sz w:val="20"/>
          <w:szCs w:val="20"/>
          <w:color w:val="auto"/>
        </w:rPr>
      </w:pPr>
      <w:r>
        <w:rPr>
          <w:rFonts w:ascii="Arial" w:cs="Arial" w:eastAsia="Arial" w:hAnsi="Arial"/>
          <w:sz w:val="20"/>
          <w:szCs w:val="20"/>
          <w:color w:val="auto"/>
        </w:rPr>
        <w:t>expand our laboratory and office facilities;</w:t>
      </w:r>
    </w:p>
    <w:p>
      <w:pPr>
        <w:spacing w:after="0" w:line="132" w:lineRule="exact"/>
        <w:rPr>
          <w:rFonts w:ascii="Arial" w:cs="Arial" w:eastAsia="Arial" w:hAnsi="Arial"/>
          <w:sz w:val="20"/>
          <w:szCs w:val="20"/>
          <w:color w:val="auto"/>
        </w:rPr>
      </w:pPr>
    </w:p>
    <w:p>
      <w:pPr>
        <w:ind w:left="361" w:hanging="361"/>
        <w:spacing w:after="0"/>
        <w:tabs>
          <w:tab w:leader="none" w:pos="361" w:val="left"/>
        </w:tabs>
        <w:numPr>
          <w:ilvl w:val="0"/>
          <w:numId w:val="58"/>
        </w:numPr>
        <w:rPr>
          <w:rFonts w:ascii="Arial" w:cs="Arial" w:eastAsia="Arial" w:hAnsi="Arial"/>
          <w:sz w:val="20"/>
          <w:szCs w:val="20"/>
          <w:color w:val="auto"/>
        </w:rPr>
      </w:pPr>
      <w:r>
        <w:rPr>
          <w:rFonts w:ascii="Arial" w:cs="Arial" w:eastAsia="Arial" w:hAnsi="Arial"/>
          <w:sz w:val="20"/>
          <w:szCs w:val="20"/>
          <w:color w:val="auto"/>
        </w:rPr>
        <w:t>implement and maintain operational, financial and management information systems;</w:t>
      </w:r>
    </w:p>
    <w:p>
      <w:pPr>
        <w:spacing w:after="0" w:line="133" w:lineRule="exact"/>
        <w:rPr>
          <w:rFonts w:ascii="Arial" w:cs="Arial" w:eastAsia="Arial" w:hAnsi="Arial"/>
          <w:sz w:val="20"/>
          <w:szCs w:val="20"/>
          <w:color w:val="auto"/>
        </w:rPr>
      </w:pPr>
    </w:p>
    <w:p>
      <w:pPr>
        <w:ind w:left="361" w:hanging="361"/>
        <w:spacing w:after="0"/>
        <w:tabs>
          <w:tab w:leader="none" w:pos="361" w:val="left"/>
        </w:tabs>
        <w:numPr>
          <w:ilvl w:val="0"/>
          <w:numId w:val="58"/>
        </w:numPr>
        <w:rPr>
          <w:rFonts w:ascii="Arial" w:cs="Arial" w:eastAsia="Arial" w:hAnsi="Arial"/>
          <w:sz w:val="20"/>
          <w:szCs w:val="20"/>
          <w:color w:val="auto"/>
        </w:rPr>
      </w:pPr>
      <w:r>
        <w:rPr>
          <w:rFonts w:ascii="Arial" w:cs="Arial" w:eastAsia="Arial" w:hAnsi="Arial"/>
          <w:sz w:val="20"/>
          <w:szCs w:val="20"/>
          <w:color w:val="auto"/>
        </w:rPr>
        <w:t>seek regulatory approval for any drug candidates that successfully complete clinical trials;</w:t>
      </w:r>
    </w:p>
    <w:p>
      <w:pPr>
        <w:spacing w:after="0" w:line="133" w:lineRule="exact"/>
        <w:rPr>
          <w:rFonts w:ascii="Arial" w:cs="Arial" w:eastAsia="Arial" w:hAnsi="Arial"/>
          <w:sz w:val="20"/>
          <w:szCs w:val="20"/>
          <w:color w:val="auto"/>
        </w:rPr>
      </w:pPr>
    </w:p>
    <w:p>
      <w:pPr>
        <w:ind w:left="361" w:hanging="361"/>
        <w:spacing w:after="0" w:line="283" w:lineRule="auto"/>
        <w:tabs>
          <w:tab w:leader="none" w:pos="361" w:val="left"/>
        </w:tabs>
        <w:numPr>
          <w:ilvl w:val="0"/>
          <w:numId w:val="58"/>
        </w:numPr>
        <w:rPr>
          <w:rFonts w:ascii="Arial" w:cs="Arial" w:eastAsia="Arial" w:hAnsi="Arial"/>
          <w:sz w:val="20"/>
          <w:szCs w:val="20"/>
          <w:color w:val="auto"/>
        </w:rPr>
      </w:pPr>
      <w:r>
        <w:rPr>
          <w:rFonts w:ascii="Arial" w:cs="Arial" w:eastAsia="Arial" w:hAnsi="Arial"/>
          <w:sz w:val="20"/>
          <w:szCs w:val="20"/>
          <w:color w:val="auto"/>
        </w:rPr>
        <w:t>establish a sales, marketing and distribution infrastructure to commercialize any drug candidate for which we may obtain marketing approval; and</w:t>
      </w:r>
    </w:p>
    <w:p>
      <w:pPr>
        <w:spacing w:after="0" w:line="51" w:lineRule="exact"/>
        <w:rPr>
          <w:rFonts w:ascii="Arial" w:cs="Arial" w:eastAsia="Arial" w:hAnsi="Arial"/>
          <w:sz w:val="20"/>
          <w:szCs w:val="20"/>
          <w:color w:val="auto"/>
        </w:rPr>
      </w:pPr>
    </w:p>
    <w:p>
      <w:pPr>
        <w:ind w:left="361" w:hanging="361"/>
        <w:spacing w:after="0" w:line="282" w:lineRule="auto"/>
        <w:tabs>
          <w:tab w:leader="none" w:pos="361" w:val="left"/>
        </w:tabs>
        <w:numPr>
          <w:ilvl w:val="0"/>
          <w:numId w:val="58"/>
        </w:numPr>
        <w:rPr>
          <w:rFonts w:ascii="Arial" w:cs="Arial" w:eastAsia="Arial" w:hAnsi="Arial"/>
          <w:sz w:val="20"/>
          <w:szCs w:val="20"/>
          <w:color w:val="auto"/>
        </w:rPr>
      </w:pPr>
      <w:r>
        <w:rPr>
          <w:rFonts w:ascii="Arial" w:cs="Arial" w:eastAsia="Arial" w:hAnsi="Arial"/>
          <w:sz w:val="20"/>
          <w:szCs w:val="20"/>
          <w:color w:val="auto"/>
        </w:rPr>
        <w:t>incur legal expenses associated with ongoing litigation, as further described in “Part I, Item 3—Legal Proceedings,” and elsewhere in this report.</w:t>
      </w:r>
    </w:p>
    <w:p>
      <w:pPr>
        <w:spacing w:after="0" w:line="159" w:lineRule="exact"/>
        <w:rPr>
          <w:sz w:val="20"/>
          <w:szCs w:val="20"/>
          <w:color w:val="auto"/>
        </w:rPr>
      </w:pPr>
    </w:p>
    <w:p>
      <w:pPr>
        <w:jc w:val="both"/>
        <w:ind w:left="1" w:firstLine="490"/>
        <w:spacing w:after="0" w:line="283" w:lineRule="auto"/>
        <w:rPr>
          <w:sz w:val="20"/>
          <w:szCs w:val="20"/>
          <w:color w:val="auto"/>
        </w:rPr>
      </w:pPr>
      <w:r>
        <w:rPr>
          <w:rFonts w:ascii="Arial" w:cs="Arial" w:eastAsia="Arial" w:hAnsi="Arial"/>
          <w:sz w:val="20"/>
          <w:szCs w:val="20"/>
          <w:color w:val="auto"/>
        </w:rPr>
        <w:t>Our net losses may fluctuate significantly from quarter-to-quarter and year-to-year, depending on the timing of our clinical trials and our expenditures on other research and development activities.</w:t>
      </w:r>
    </w:p>
    <w:p>
      <w:pPr>
        <w:spacing w:after="0" w:line="157" w:lineRule="exact"/>
        <w:rPr>
          <w:sz w:val="20"/>
          <w:szCs w:val="20"/>
          <w:color w:val="auto"/>
        </w:rPr>
      </w:pPr>
    </w:p>
    <w:p>
      <w:pPr>
        <w:jc w:val="both"/>
        <w:ind w:left="1" w:firstLine="490"/>
        <w:spacing w:after="0" w:line="256" w:lineRule="auto"/>
        <w:rPr>
          <w:sz w:val="20"/>
          <w:szCs w:val="20"/>
          <w:color w:val="auto"/>
        </w:rPr>
      </w:pPr>
      <w:r>
        <w:rPr>
          <w:rFonts w:ascii="Arial" w:cs="Arial" w:eastAsia="Arial" w:hAnsi="Arial"/>
          <w:sz w:val="19"/>
          <w:szCs w:val="19"/>
          <w:color w:val="auto"/>
        </w:rPr>
        <w:t>We will require substantial additional funding to support our continuing operations and further the development of our drug candidates. Until such time as we can generate significant revenue from drug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drug candidates. Our ability to raise additional funds may be adversely impacted by potential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sectPr>
          <w:pgSz w:w="11880" w:h="15474" w:orient="portrait"/>
          <w:cols w:equalWidth="0" w:num="1">
            <w:col w:w="9361"/>
          </w:cols>
          <w:pgMar w:left="1239"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122</w:t>
      </w:r>
    </w:p>
    <w:p>
      <w:pPr>
        <w:sectPr>
          <w:pgSz w:w="11880" w:h="15474" w:orient="portrait"/>
          <w:cols w:equalWidth="0" w:num="1">
            <w:col w:w="9361"/>
          </w:cols>
          <w:pgMar w:left="1239" w:top="1255" w:right="1274" w:bottom="0" w:gutter="0" w:footer="0" w:header="0"/>
          <w:type w:val="continuous"/>
        </w:sectPr>
      </w:pPr>
    </w:p>
    <w:bookmarkStart w:id="128" w:name="page129"/>
    <w:bookmarkEnd w:id="128"/>
    <w:p>
      <w:pPr>
        <w:spacing w:after="0"/>
        <w:rPr>
          <w:sz w:val="20"/>
          <w:szCs w:val="20"/>
          <w:color w:val="auto"/>
        </w:rPr>
      </w:pPr>
      <w:r>
        <w:rPr>
          <w:rFonts w:ascii="Arial" w:cs="Arial" w:eastAsia="Arial" w:hAnsi="Arial"/>
          <w:sz w:val="20"/>
          <w:szCs w:val="20"/>
          <w:b w:val="1"/>
          <w:bCs w:val="1"/>
          <w:color w:val="auto"/>
        </w:rPr>
        <w:t>Our Collaboration and Grant Agreements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20"/>
          <w:szCs w:val="20"/>
          <w:i w:val="1"/>
          <w:iCs w:val="1"/>
          <w:color w:val="auto"/>
        </w:rPr>
        <w:t>Amended and Restated WSU License Agreement</w:t>
      </w:r>
    </w:p>
    <w:p>
      <w:pPr>
        <w:spacing w:after="0" w:line="113"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We are party to an amended and restated exclusive license agreement with sublicensing terms with WSU that we entered into in 2015. Under this agreement, we have an exclusive license to make, use, sell, and offer for sale products covered by certain licensed patents, including dihexa, the chemical compound into which fosgonimeton metabolizes following administration. The term of the license continues until the earlier of the date in which no valid claim remains enforceable and the payment of royalties ceases for more than four consecutive quarters after such royalty payments begin.</w:t>
      </w:r>
    </w:p>
    <w:p>
      <w:pPr>
        <w:spacing w:after="0" w:line="194"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color w:val="auto"/>
        </w:rPr>
        <w:t>The initiation of our first Phase 2 clinical trial in September 2020 triggered a $50,000 liability to WSU, which was paid in full as of December 31, 2020.</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We are obligated to pay to WSU the following if the related milestones are reached:</w:t>
      </w:r>
    </w:p>
    <w:p>
      <w:pPr>
        <w:spacing w:after="0" w:line="134" w:lineRule="exact"/>
        <w:rPr>
          <w:sz w:val="20"/>
          <w:szCs w:val="20"/>
          <w:color w:val="auto"/>
        </w:rPr>
      </w:pPr>
    </w:p>
    <w:p>
      <w:pPr>
        <w:ind w:left="980" w:hanging="491"/>
        <w:spacing w:after="0" w:line="283" w:lineRule="auto"/>
        <w:tabs>
          <w:tab w:leader="none" w:pos="9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$300,000 – At initiation of the first Phase 3 clinical trial in the United States, European Union or Japan for the first licensed product.</w:t>
      </w:r>
    </w:p>
    <w:p>
      <w:pPr>
        <w:spacing w:after="0" w:line="51"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$600,000 – Marketing approval in the United States, European Union or Japan for the first licensed product.</w:t>
      </w:r>
    </w:p>
    <w:p>
      <w:pPr>
        <w:spacing w:after="0" w:line="159"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We are obligated to pay WSU a royalty in the mid-single digits of net sales.</w:t>
      </w:r>
    </w:p>
    <w:p>
      <w:pPr>
        <w:spacing w:after="0" w:line="240" w:lineRule="exact"/>
        <w:rPr>
          <w:sz w:val="20"/>
          <w:szCs w:val="20"/>
          <w:color w:val="auto"/>
        </w:rPr>
      </w:pPr>
    </w:p>
    <w:p>
      <w:pPr>
        <w:jc w:val="both"/>
        <w:ind w:firstLine="489"/>
        <w:spacing w:after="0" w:line="254" w:lineRule="auto"/>
        <w:rPr>
          <w:sz w:val="20"/>
          <w:szCs w:val="20"/>
          <w:color w:val="auto"/>
        </w:rPr>
      </w:pPr>
      <w:r>
        <w:rPr>
          <w:rFonts w:ascii="Arial" w:cs="Arial" w:eastAsia="Arial" w:hAnsi="Arial"/>
          <w:sz w:val="20"/>
          <w:szCs w:val="20"/>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sales-based sublicense royalties.</w:t>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National Institutes of Health Grant</w:t>
      </w:r>
    </w:p>
    <w:p>
      <w:pPr>
        <w:spacing w:after="0" w:line="112" w:lineRule="exact"/>
        <w:rPr>
          <w:sz w:val="20"/>
          <w:szCs w:val="20"/>
          <w:color w:val="auto"/>
        </w:rPr>
      </w:pPr>
    </w:p>
    <w:p>
      <w:pPr>
        <w:jc w:val="both"/>
        <w:ind w:firstLine="489"/>
        <w:spacing w:after="0" w:line="243" w:lineRule="auto"/>
        <w:rPr>
          <w:sz w:val="20"/>
          <w:szCs w:val="20"/>
          <w:color w:val="auto"/>
        </w:rPr>
      </w:pPr>
      <w:r>
        <w:rPr>
          <w:rFonts w:ascii="Arial" w:cs="Arial" w:eastAsia="Arial" w:hAnsi="Arial"/>
          <w:sz w:val="20"/>
          <w:szCs w:val="20"/>
          <w:color w:val="auto"/>
        </w:rPr>
        <w:t>In December 2020, we accepted a grant from the NIH to support our ACT-AD Phase 2 clinical trial for fosgonimeton. Under the terms of the agreement and approval received from the NIH, we were awarded an aggregate of $15.2 million, all of which had been received as of December 31, 2023. For additional information regarding this grant, see the section of this report titled “Business—Our Collaboration and Grant Agreements.” We recognized $0.2 million and $5.2 million of income related to our NIH grant during the years ended December 31, 2023 and 2022, respectively. During the years ended December 31, 2023 and 2022, we received cash of $1.4 million and $6.3 million, respectively, in connection with the NIH grant. As of December 31, 2022, we had incurred qualifying expenses in excess of cash received of approximately $1.2 million, which is included in unbilled grant receivable on the consolidated balance sheets. As of December 31, 2023, we had recognized aggregate grant income of $15.2 million in connection with the NIH grant, equal to the total grant amount approved. We will not recognize any additional grant income in connection with the NIH grant in the future.</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Components of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20"/>
          <w:szCs w:val="20"/>
          <w:i w:val="1"/>
          <w:iCs w:val="1"/>
          <w:color w:val="auto"/>
        </w:rPr>
        <w:t>Research and Development</w:t>
      </w:r>
    </w:p>
    <w:p>
      <w:pPr>
        <w:spacing w:after="0" w:line="113"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Research and development expenses consist primarily of direct and indirect costs incurred for our research activities, including development of the ATH platform, our drug discovery efforts and the development of our drug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123</w:t>
      </w:r>
    </w:p>
    <w:p>
      <w:pPr>
        <w:sectPr>
          <w:pgSz w:w="11880" w:h="15474" w:orient="portrait"/>
          <w:cols w:equalWidth="0" w:num="1">
            <w:col w:w="9360"/>
          </w:cols>
          <w:pgMar w:left="1240" w:top="1251" w:right="1274" w:bottom="0" w:gutter="0" w:footer="0" w:header="0"/>
          <w:type w:val="continuous"/>
        </w:sectPr>
      </w:pPr>
    </w:p>
    <w:bookmarkStart w:id="129" w:name="page130"/>
    <w:bookmarkEnd w:id="129"/>
    <w:p>
      <w:pPr>
        <w:jc w:val="both"/>
        <w:ind w:left="2" w:firstLine="490"/>
        <w:spacing w:after="0" w:line="262" w:lineRule="auto"/>
        <w:rPr>
          <w:sz w:val="20"/>
          <w:szCs w:val="20"/>
          <w:color w:val="auto"/>
        </w:rPr>
      </w:pPr>
      <w:r>
        <w:rPr>
          <w:rFonts w:ascii="Arial" w:cs="Arial" w:eastAsia="Arial" w:hAnsi="Arial"/>
          <w:sz w:val="19"/>
          <w:szCs w:val="19"/>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spacing w:after="0" w:line="180" w:lineRule="exact"/>
        <w:rPr>
          <w:sz w:val="20"/>
          <w:szCs w:val="20"/>
          <w:color w:val="auto"/>
        </w:rPr>
      </w:pPr>
    </w:p>
    <w:p>
      <w:pPr>
        <w:jc w:val="both"/>
        <w:ind w:left="2" w:firstLine="490"/>
        <w:spacing w:after="0" w:line="243" w:lineRule="auto"/>
        <w:rPr>
          <w:sz w:val="20"/>
          <w:szCs w:val="20"/>
          <w:color w:val="auto"/>
        </w:rPr>
      </w:pPr>
      <w:r>
        <w:rPr>
          <w:rFonts w:ascii="Arial" w:cs="Arial" w:eastAsia="Arial" w:hAnsi="Arial"/>
          <w:sz w:val="20"/>
          <w:szCs w:val="20"/>
          <w:color w:val="auto"/>
        </w:rPr>
        <w:t>As of the date of this report, we cannot reasonably determine the nature, timing, and estimated costs of the efforts that will be necessary to complete the development of, and obtain regulatory approval for, any of our drug candidates. Drug candidates in later stages of development generally have higher development costs than those in earlier stages. We expect that our research and development expenses will increase for the foreseeable future as we continue to invest in research and development activities related to developing our drug candidates, as our drug candidates advance into later stages of development, as we conduct larger clinical trials, as we seek regulatory approvals for any drug candidates that successfully complete clinical trials, as we expand our drug product pipeline, as we maintain, expand, protect and enforce our intellectual property portfolio, and as we incur expenses associated with hiring additional personnel to support our research and development efforts. In particular, we have seen, and expect to continue to see, our research and development expenses increase as we conduct our clinical trials for fosgonimeton, including open-label extensions for those trials. Additionally, we may experience an overall increase in research and development expenses as a result of inflation.</w:t>
      </w:r>
    </w:p>
    <w:p>
      <w:pPr>
        <w:spacing w:after="0" w:line="204" w:lineRule="exact"/>
        <w:rPr>
          <w:sz w:val="20"/>
          <w:szCs w:val="20"/>
          <w:color w:val="auto"/>
        </w:rPr>
      </w:pPr>
    </w:p>
    <w:p>
      <w:pPr>
        <w:jc w:val="both"/>
        <w:ind w:left="2" w:firstLine="490"/>
        <w:spacing w:after="0" w:line="261" w:lineRule="auto"/>
        <w:rPr>
          <w:sz w:val="20"/>
          <w:szCs w:val="20"/>
          <w:color w:val="auto"/>
        </w:rPr>
      </w:pPr>
      <w:r>
        <w:rPr>
          <w:rFonts w:ascii="Arial" w:cs="Arial" w:eastAsia="Arial" w:hAnsi="Arial"/>
          <w:sz w:val="20"/>
          <w:szCs w:val="20"/>
          <w:color w:val="auto"/>
        </w:rPr>
        <w:t>The process of conducting the necessary clinical research to obtain regulatory approval is costly and time-consuming, and the successful development of our drug candidates is highly uncertain. Our research and development expenses may vary significantly based on factors such as:</w:t>
      </w:r>
    </w:p>
    <w:p>
      <w:pPr>
        <w:spacing w:after="0" w:line="73" w:lineRule="exact"/>
        <w:rPr>
          <w:sz w:val="20"/>
          <w:szCs w:val="20"/>
          <w:color w:val="auto"/>
        </w:rPr>
      </w:pPr>
    </w:p>
    <w:p>
      <w:pPr>
        <w:ind w:left="362" w:hanging="361"/>
        <w:spacing w:after="0"/>
        <w:tabs>
          <w:tab w:leader="none" w:pos="3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number and scope of preclinical and IND-enabling studies;</w:t>
      </w:r>
    </w:p>
    <w:p>
      <w:pPr>
        <w:spacing w:after="0" w:line="133" w:lineRule="exact"/>
        <w:rPr>
          <w:rFonts w:ascii="Arial" w:cs="Arial" w:eastAsia="Arial" w:hAnsi="Arial"/>
          <w:sz w:val="20"/>
          <w:szCs w:val="20"/>
          <w:color w:val="auto"/>
        </w:rPr>
      </w:pPr>
    </w:p>
    <w:p>
      <w:pPr>
        <w:ind w:left="362" w:hanging="361"/>
        <w:spacing w:after="0"/>
        <w:tabs>
          <w:tab w:leader="none" w:pos="3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phases of development of our drug candidates;</w:t>
      </w:r>
    </w:p>
    <w:p>
      <w:pPr>
        <w:spacing w:after="0" w:line="133" w:lineRule="exact"/>
        <w:rPr>
          <w:rFonts w:ascii="Arial" w:cs="Arial" w:eastAsia="Arial" w:hAnsi="Arial"/>
          <w:sz w:val="20"/>
          <w:szCs w:val="20"/>
          <w:color w:val="auto"/>
        </w:rPr>
      </w:pPr>
    </w:p>
    <w:p>
      <w:pPr>
        <w:ind w:left="362" w:hanging="361"/>
        <w:spacing w:after="0"/>
        <w:tabs>
          <w:tab w:leader="none" w:pos="3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progress and results of our research and development activities;</w:t>
      </w:r>
    </w:p>
    <w:p>
      <w:pPr>
        <w:spacing w:after="0" w:line="132" w:lineRule="exact"/>
        <w:rPr>
          <w:rFonts w:ascii="Arial" w:cs="Arial" w:eastAsia="Arial" w:hAnsi="Arial"/>
          <w:sz w:val="20"/>
          <w:szCs w:val="20"/>
          <w:color w:val="auto"/>
        </w:rPr>
      </w:pPr>
    </w:p>
    <w:p>
      <w:pPr>
        <w:ind w:left="362" w:hanging="361"/>
        <w:spacing w:after="0"/>
        <w:tabs>
          <w:tab w:leader="none" w:pos="3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per subject trial costs;</w:t>
      </w:r>
    </w:p>
    <w:p>
      <w:pPr>
        <w:spacing w:after="0" w:line="133" w:lineRule="exact"/>
        <w:rPr>
          <w:rFonts w:ascii="Arial" w:cs="Arial" w:eastAsia="Arial" w:hAnsi="Arial"/>
          <w:sz w:val="20"/>
          <w:szCs w:val="20"/>
          <w:color w:val="auto"/>
        </w:rPr>
      </w:pPr>
    </w:p>
    <w:p>
      <w:pPr>
        <w:jc w:val="both"/>
        <w:ind w:left="362" w:hanging="361"/>
        <w:spacing w:after="0" w:line="311" w:lineRule="auto"/>
        <w:tabs>
          <w:tab w:leader="none" w:pos="362"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number of trials required for regulatory approval, in particular with respect to fosgonimeton for the treatment of mild-to-moderate AD (including any potential confirmatory or Phase 3 registrational trials);</w:t>
      </w:r>
    </w:p>
    <w:p>
      <w:pPr>
        <w:spacing w:after="0" w:line="27" w:lineRule="exact"/>
        <w:rPr>
          <w:rFonts w:ascii="Arial" w:cs="Arial" w:eastAsia="Arial" w:hAnsi="Arial"/>
          <w:sz w:val="19"/>
          <w:szCs w:val="19"/>
          <w:color w:val="auto"/>
        </w:rPr>
      </w:pPr>
    </w:p>
    <w:p>
      <w:pPr>
        <w:ind w:left="362" w:hanging="361"/>
        <w:spacing w:after="0"/>
        <w:tabs>
          <w:tab w:leader="none" w:pos="3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continuation of the open label extension of the ACT-AD and LIFT-AD trials;</w:t>
      </w:r>
    </w:p>
    <w:p>
      <w:pPr>
        <w:spacing w:after="0" w:line="133" w:lineRule="exact"/>
        <w:rPr>
          <w:rFonts w:ascii="Arial" w:cs="Arial" w:eastAsia="Arial" w:hAnsi="Arial"/>
          <w:sz w:val="20"/>
          <w:szCs w:val="20"/>
          <w:color w:val="auto"/>
        </w:rPr>
      </w:pPr>
    </w:p>
    <w:p>
      <w:pPr>
        <w:ind w:left="362" w:hanging="361"/>
        <w:spacing w:after="0"/>
        <w:tabs>
          <w:tab w:leader="none" w:pos="3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number of sites included in the trials;</w:t>
      </w:r>
    </w:p>
    <w:p>
      <w:pPr>
        <w:spacing w:after="0" w:line="133" w:lineRule="exact"/>
        <w:rPr>
          <w:rFonts w:ascii="Arial" w:cs="Arial" w:eastAsia="Arial" w:hAnsi="Arial"/>
          <w:sz w:val="20"/>
          <w:szCs w:val="20"/>
          <w:color w:val="auto"/>
        </w:rPr>
      </w:pPr>
    </w:p>
    <w:p>
      <w:pPr>
        <w:ind w:left="362" w:hanging="361"/>
        <w:spacing w:after="0"/>
        <w:tabs>
          <w:tab w:leader="none" w:pos="3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countries in which the trials are conducted;</w:t>
      </w:r>
    </w:p>
    <w:p>
      <w:pPr>
        <w:spacing w:after="0" w:line="133" w:lineRule="exact"/>
        <w:rPr>
          <w:rFonts w:ascii="Arial" w:cs="Arial" w:eastAsia="Arial" w:hAnsi="Arial"/>
          <w:sz w:val="20"/>
          <w:szCs w:val="20"/>
          <w:color w:val="auto"/>
        </w:rPr>
      </w:pPr>
    </w:p>
    <w:p>
      <w:pPr>
        <w:ind w:left="362" w:hanging="361"/>
        <w:spacing w:after="0"/>
        <w:tabs>
          <w:tab w:leader="none" w:pos="3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length of time required to enroll eligible subjects and initiate clinical trials;</w:t>
      </w:r>
    </w:p>
    <w:p>
      <w:pPr>
        <w:spacing w:after="0" w:line="132" w:lineRule="exact"/>
        <w:rPr>
          <w:rFonts w:ascii="Arial" w:cs="Arial" w:eastAsia="Arial" w:hAnsi="Arial"/>
          <w:sz w:val="20"/>
          <w:szCs w:val="20"/>
          <w:color w:val="auto"/>
        </w:rPr>
      </w:pPr>
    </w:p>
    <w:p>
      <w:pPr>
        <w:ind w:left="362" w:hanging="361"/>
        <w:spacing w:after="0"/>
        <w:tabs>
          <w:tab w:leader="none" w:pos="3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number of subjects that participate in the trials;</w:t>
      </w:r>
    </w:p>
    <w:p>
      <w:pPr>
        <w:spacing w:after="0" w:line="133" w:lineRule="exact"/>
        <w:rPr>
          <w:rFonts w:ascii="Arial" w:cs="Arial" w:eastAsia="Arial" w:hAnsi="Arial"/>
          <w:sz w:val="20"/>
          <w:szCs w:val="20"/>
          <w:color w:val="auto"/>
        </w:rPr>
      </w:pPr>
    </w:p>
    <w:p>
      <w:pPr>
        <w:ind w:left="362" w:hanging="362"/>
        <w:spacing w:after="0"/>
        <w:tabs>
          <w:tab w:leader="none" w:pos="3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drop-out and discontinuation rate of subjects;</w:t>
      </w:r>
    </w:p>
    <w:p>
      <w:pPr>
        <w:spacing w:after="0" w:line="133" w:lineRule="exact"/>
        <w:rPr>
          <w:rFonts w:ascii="Arial" w:cs="Arial" w:eastAsia="Arial" w:hAnsi="Arial"/>
          <w:sz w:val="20"/>
          <w:szCs w:val="20"/>
          <w:color w:val="auto"/>
        </w:rPr>
      </w:pPr>
    </w:p>
    <w:p>
      <w:pPr>
        <w:ind w:left="362" w:hanging="362"/>
        <w:spacing w:after="0"/>
        <w:tabs>
          <w:tab w:leader="none" w:pos="3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potential additional safety monitoring requested by regulatory agencies;</w:t>
      </w:r>
    </w:p>
    <w:p>
      <w:pPr>
        <w:spacing w:after="0" w:line="133" w:lineRule="exact"/>
        <w:rPr>
          <w:rFonts w:ascii="Arial" w:cs="Arial" w:eastAsia="Arial" w:hAnsi="Arial"/>
          <w:sz w:val="20"/>
          <w:szCs w:val="20"/>
          <w:color w:val="auto"/>
        </w:rPr>
      </w:pPr>
    </w:p>
    <w:p>
      <w:pPr>
        <w:ind w:left="362" w:hanging="362"/>
        <w:spacing w:after="0"/>
        <w:tabs>
          <w:tab w:leader="none" w:pos="3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duration of subject participation in the trials and follow-up;</w:t>
      </w:r>
    </w:p>
    <w:p>
      <w:pPr>
        <w:spacing w:after="0" w:line="133" w:lineRule="exact"/>
        <w:rPr>
          <w:rFonts w:ascii="Arial" w:cs="Arial" w:eastAsia="Arial" w:hAnsi="Arial"/>
          <w:sz w:val="20"/>
          <w:szCs w:val="20"/>
          <w:color w:val="auto"/>
        </w:rPr>
      </w:pPr>
    </w:p>
    <w:p>
      <w:pPr>
        <w:ind w:left="362" w:hanging="362"/>
        <w:spacing w:after="0"/>
        <w:tabs>
          <w:tab w:leader="none" w:pos="3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cost and timing of manufacturing of our drug candidates;</w:t>
      </w:r>
    </w:p>
    <w:p>
      <w:pPr>
        <w:spacing w:after="0" w:line="133" w:lineRule="exact"/>
        <w:rPr>
          <w:rFonts w:ascii="Arial" w:cs="Arial" w:eastAsia="Arial" w:hAnsi="Arial"/>
          <w:sz w:val="20"/>
          <w:szCs w:val="20"/>
          <w:color w:val="auto"/>
        </w:rPr>
      </w:pPr>
    </w:p>
    <w:p>
      <w:pPr>
        <w:ind w:left="362" w:hanging="362"/>
        <w:spacing w:after="0"/>
        <w:tabs>
          <w:tab w:leader="none" w:pos="3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receipt of regulatory approvals from applicable regulatory authorities;</w:t>
      </w:r>
    </w:p>
    <w:p>
      <w:pPr>
        <w:spacing w:after="0" w:line="133" w:lineRule="exact"/>
        <w:rPr>
          <w:rFonts w:ascii="Arial" w:cs="Arial" w:eastAsia="Arial" w:hAnsi="Arial"/>
          <w:sz w:val="20"/>
          <w:szCs w:val="20"/>
          <w:color w:val="auto"/>
        </w:rPr>
      </w:pPr>
    </w:p>
    <w:p>
      <w:pPr>
        <w:ind w:left="362" w:hanging="362"/>
        <w:spacing w:after="0"/>
        <w:tabs>
          <w:tab w:leader="none" w:pos="3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timing, receipt and terms of any marketing approvals from applicable regulatory authorities;</w:t>
      </w:r>
    </w:p>
    <w:p>
      <w:pPr>
        <w:spacing w:after="0" w:line="133" w:lineRule="exact"/>
        <w:rPr>
          <w:rFonts w:ascii="Arial" w:cs="Arial" w:eastAsia="Arial" w:hAnsi="Arial"/>
          <w:sz w:val="20"/>
          <w:szCs w:val="20"/>
          <w:color w:val="auto"/>
        </w:rPr>
      </w:pPr>
    </w:p>
    <w:p>
      <w:pPr>
        <w:ind w:left="362" w:hanging="362"/>
        <w:spacing w:after="0"/>
        <w:tabs>
          <w:tab w:leader="none" w:pos="3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hiring and retention of research and development personnel;</w:t>
      </w:r>
    </w:p>
    <w:p>
      <w:pPr>
        <w:spacing w:after="0" w:line="132" w:lineRule="exact"/>
        <w:rPr>
          <w:rFonts w:ascii="Arial" w:cs="Arial" w:eastAsia="Arial" w:hAnsi="Arial"/>
          <w:sz w:val="20"/>
          <w:szCs w:val="20"/>
          <w:color w:val="auto"/>
        </w:rPr>
      </w:pPr>
    </w:p>
    <w:p>
      <w:pPr>
        <w:ind w:left="362" w:hanging="362"/>
        <w:spacing w:after="0"/>
        <w:tabs>
          <w:tab w:leader="none" w:pos="3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degree to which we obtain, maintain, defend and enforce our intellectual property rights;</w:t>
      </w:r>
    </w:p>
    <w:p>
      <w:pPr>
        <w:sectPr>
          <w:pgSz w:w="11880" w:h="15474" w:orient="portrait"/>
          <w:cols w:equalWidth="0" w:num="1">
            <w:col w:w="9362"/>
          </w:cols>
          <w:pgMar w:left="1238"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
        <w:spacing w:after="0"/>
        <w:rPr>
          <w:sz w:val="20"/>
          <w:szCs w:val="20"/>
          <w:color w:val="auto"/>
        </w:rPr>
      </w:pPr>
      <w:r>
        <w:rPr>
          <w:rFonts w:ascii="Arial" w:cs="Arial" w:eastAsia="Arial" w:hAnsi="Arial"/>
          <w:sz w:val="19"/>
          <w:szCs w:val="19"/>
          <w:color w:val="auto"/>
        </w:rPr>
        <w:t>124</w:t>
      </w:r>
    </w:p>
    <w:p>
      <w:pPr>
        <w:sectPr>
          <w:pgSz w:w="11880" w:h="15474" w:orient="portrait"/>
          <w:cols w:equalWidth="0" w:num="1">
            <w:col w:w="9362"/>
          </w:cols>
          <w:pgMar w:left="1238" w:top="1255" w:right="1274" w:bottom="0" w:gutter="0" w:footer="0" w:header="0"/>
          <w:type w:val="continuous"/>
        </w:sectPr>
      </w:pPr>
    </w:p>
    <w:bookmarkStart w:id="130" w:name="page131"/>
    <w:bookmarkEnd w:id="130"/>
    <w:p>
      <w:pPr>
        <w:ind w:left="361" w:hanging="360"/>
        <w:spacing w:after="0" w:line="283" w:lineRule="auto"/>
        <w:tabs>
          <w:tab w:leader="none" w:pos="361"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impact of health epidemics, including COVID-19, on timelines and clinical operations, which may lead to increased costs; and</w:t>
      </w:r>
    </w:p>
    <w:p>
      <w:pPr>
        <w:spacing w:after="0" w:line="50" w:lineRule="exact"/>
        <w:rPr>
          <w:rFonts w:ascii="Arial" w:cs="Arial" w:eastAsia="Arial" w:hAnsi="Arial"/>
          <w:sz w:val="20"/>
          <w:szCs w:val="20"/>
          <w:color w:val="auto"/>
        </w:rPr>
      </w:pPr>
    </w:p>
    <w:p>
      <w:pPr>
        <w:ind w:left="361" w:hanging="361"/>
        <w:spacing w:after="0" w:line="283" w:lineRule="auto"/>
        <w:tabs>
          <w:tab w:leader="none" w:pos="361"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extent to which we establish collaboration, licensing or similar arrangements and the performance of any related third parties.</w:t>
      </w:r>
    </w:p>
    <w:p>
      <w:pPr>
        <w:spacing w:after="0" w:line="158" w:lineRule="exact"/>
        <w:rPr>
          <w:sz w:val="20"/>
          <w:szCs w:val="20"/>
          <w:color w:val="auto"/>
        </w:rPr>
      </w:pPr>
    </w:p>
    <w:p>
      <w:pPr>
        <w:jc w:val="both"/>
        <w:ind w:left="1" w:firstLine="490"/>
        <w:spacing w:after="0" w:line="261" w:lineRule="auto"/>
        <w:rPr>
          <w:sz w:val="20"/>
          <w:szCs w:val="20"/>
          <w:color w:val="auto"/>
        </w:rPr>
      </w:pPr>
      <w:r>
        <w:rPr>
          <w:rFonts w:ascii="Arial" w:cs="Arial" w:eastAsia="Arial" w:hAnsi="Arial"/>
          <w:sz w:val="20"/>
          <w:szCs w:val="20"/>
          <w:color w:val="auto"/>
        </w:rPr>
        <w:t>A change in the outcome of any of these variables with respect to the development of any of our drug candidates could significantly change the costs and timing associated with the development of that drug candidate.</w:t>
      </w:r>
    </w:p>
    <w:p>
      <w:pPr>
        <w:spacing w:after="0" w:line="308" w:lineRule="exact"/>
        <w:rPr>
          <w:sz w:val="20"/>
          <w:szCs w:val="20"/>
          <w:color w:val="auto"/>
        </w:rPr>
      </w:pPr>
    </w:p>
    <w:p>
      <w:pPr>
        <w:ind w:left="481"/>
        <w:spacing w:after="0"/>
        <w:rPr>
          <w:sz w:val="20"/>
          <w:szCs w:val="20"/>
          <w:color w:val="auto"/>
        </w:rPr>
      </w:pPr>
      <w:r>
        <w:rPr>
          <w:rFonts w:ascii="Arial" w:cs="Arial" w:eastAsia="Arial" w:hAnsi="Arial"/>
          <w:sz w:val="20"/>
          <w:szCs w:val="20"/>
          <w:i w:val="1"/>
          <w:iCs w:val="1"/>
          <w:color w:val="auto"/>
        </w:rPr>
        <w:t>General and Administrative</w:t>
      </w:r>
    </w:p>
    <w:p>
      <w:pPr>
        <w:spacing w:after="0" w:line="111" w:lineRule="exact"/>
        <w:rPr>
          <w:sz w:val="20"/>
          <w:szCs w:val="20"/>
          <w:color w:val="auto"/>
        </w:rPr>
      </w:pPr>
    </w:p>
    <w:p>
      <w:pPr>
        <w:jc w:val="both"/>
        <w:ind w:left="1" w:firstLine="490"/>
        <w:spacing w:after="0" w:line="247" w:lineRule="auto"/>
        <w:rPr>
          <w:sz w:val="20"/>
          <w:szCs w:val="20"/>
          <w:color w:val="auto"/>
        </w:rPr>
      </w:pPr>
      <w:r>
        <w:rPr>
          <w:rFonts w:ascii="Arial" w:cs="Arial" w:eastAsia="Arial" w:hAnsi="Arial"/>
          <w:sz w:val="20"/>
          <w:szCs w:val="20"/>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business development fees, consulting fees and facilities and other expenses not otherwise included as research and development expenses. We expense general and administrative costs as incurred.</w:t>
      </w:r>
    </w:p>
    <w:p>
      <w:pPr>
        <w:spacing w:after="0" w:line="194" w:lineRule="exact"/>
        <w:rPr>
          <w:sz w:val="20"/>
          <w:szCs w:val="20"/>
          <w:color w:val="auto"/>
        </w:rPr>
      </w:pPr>
    </w:p>
    <w:p>
      <w:pPr>
        <w:jc w:val="both"/>
        <w:ind w:left="1" w:firstLine="490"/>
        <w:spacing w:after="0" w:line="244" w:lineRule="auto"/>
        <w:rPr>
          <w:sz w:val="20"/>
          <w:szCs w:val="20"/>
          <w:color w:val="auto"/>
        </w:rPr>
      </w:pPr>
      <w:r>
        <w:rPr>
          <w:rFonts w:ascii="Arial" w:cs="Arial" w:eastAsia="Arial" w:hAnsi="Arial"/>
          <w:sz w:val="20"/>
          <w:szCs w:val="20"/>
          <w:color w:val="auto"/>
        </w:rPr>
        <w:t>We expect that our general and administrative expenses will increase for the foreseeable future as we increase our headcount to support our continued research activities and development of our programs. We also anticipate that we will continue to incur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expect continued legal expenses related to our ongoing legal proceedings and proposed settlement to resolve such claims. We also expect to continue to increase the size of our administrative function to support the growth of our business. Additionally, we may experience an overall increase in general and administrative expenses as a result of inflation.</w:t>
      </w:r>
    </w:p>
    <w:p>
      <w:pPr>
        <w:spacing w:after="0" w:line="210" w:lineRule="exact"/>
        <w:rPr>
          <w:sz w:val="20"/>
          <w:szCs w:val="20"/>
          <w:color w:val="auto"/>
        </w:rPr>
      </w:pPr>
    </w:p>
    <w:p>
      <w:pPr>
        <w:ind w:left="481"/>
        <w:spacing w:after="0"/>
        <w:rPr>
          <w:sz w:val="20"/>
          <w:szCs w:val="20"/>
          <w:color w:val="auto"/>
        </w:rPr>
      </w:pPr>
      <w:r>
        <w:rPr>
          <w:rFonts w:ascii="Arial" w:cs="Arial" w:eastAsia="Arial" w:hAnsi="Arial"/>
          <w:sz w:val="20"/>
          <w:szCs w:val="20"/>
          <w:i w:val="1"/>
          <w:iCs w:val="1"/>
          <w:color w:val="auto"/>
        </w:rPr>
        <w:t>Legal Settlement and Insurance Recovery Related to Legal Settlement</w:t>
      </w:r>
    </w:p>
    <w:p>
      <w:pPr>
        <w:spacing w:after="0" w:line="232" w:lineRule="exact"/>
        <w:rPr>
          <w:sz w:val="20"/>
          <w:szCs w:val="20"/>
          <w:color w:val="auto"/>
        </w:rPr>
      </w:pPr>
    </w:p>
    <w:p>
      <w:pPr>
        <w:jc w:val="both"/>
        <w:ind w:left="1" w:firstLine="490"/>
        <w:spacing w:after="0" w:line="261" w:lineRule="auto"/>
        <w:rPr>
          <w:sz w:val="20"/>
          <w:szCs w:val="20"/>
          <w:color w:val="auto"/>
        </w:rPr>
      </w:pPr>
      <w:r>
        <w:rPr>
          <w:rFonts w:ascii="Arial" w:cs="Arial" w:eastAsia="Arial" w:hAnsi="Arial"/>
          <w:sz w:val="20"/>
          <w:szCs w:val="20"/>
          <w:color w:val="auto"/>
        </w:rPr>
        <w:t>Legal settlement expense and insurance recovery related to legal settlement consist of the proposed settlement of the securities class action litigation and the amount to be covered by our insurers. For more information see Part I, Item 3 “Legal Proceedings—Securities Class Actions".</w:t>
      </w:r>
    </w:p>
    <w:p>
      <w:pPr>
        <w:spacing w:after="0" w:line="304" w:lineRule="exact"/>
        <w:rPr>
          <w:sz w:val="20"/>
          <w:szCs w:val="20"/>
          <w:color w:val="auto"/>
        </w:rPr>
      </w:pPr>
    </w:p>
    <w:p>
      <w:pPr>
        <w:ind w:left="1"/>
        <w:spacing w:after="0"/>
        <w:rPr>
          <w:sz w:val="20"/>
          <w:szCs w:val="20"/>
          <w:color w:val="auto"/>
        </w:rPr>
      </w:pPr>
      <w:r>
        <w:rPr>
          <w:rFonts w:ascii="Arial" w:cs="Arial" w:eastAsia="Arial" w:hAnsi="Arial"/>
          <w:sz w:val="20"/>
          <w:szCs w:val="20"/>
          <w:b w:val="1"/>
          <w:bCs w:val="1"/>
          <w:i w:val="1"/>
          <w:iCs w:val="1"/>
          <w:color w:val="auto"/>
        </w:rPr>
        <w:t>Grant Income</w:t>
      </w:r>
    </w:p>
    <w:p>
      <w:pPr>
        <w:spacing w:after="0" w:line="117" w:lineRule="exact"/>
        <w:rPr>
          <w:sz w:val="20"/>
          <w:szCs w:val="20"/>
          <w:color w:val="auto"/>
        </w:rPr>
      </w:pPr>
    </w:p>
    <w:p>
      <w:pPr>
        <w:jc w:val="both"/>
        <w:ind w:left="1" w:firstLine="490"/>
        <w:spacing w:after="0" w:line="254" w:lineRule="auto"/>
        <w:rPr>
          <w:sz w:val="20"/>
          <w:szCs w:val="20"/>
          <w:color w:val="auto"/>
        </w:rPr>
      </w:pPr>
      <w:r>
        <w:rPr>
          <w:rFonts w:ascii="Arial" w:cs="Arial" w:eastAsia="Arial" w:hAnsi="Arial"/>
          <w:sz w:val="20"/>
          <w:szCs w:val="20"/>
          <w:color w:val="auto"/>
        </w:rPr>
        <w:t>Grant income consists of income related to the NIH grant and is recognized as qualifying expenses under the grant agreement are incurred. As of December 31, 2023, we had recognized aggregate grant income of $15.2 million in connection with the NIH grant, equal to the total grant amount approved. We will not recognize additional grant income in connection with the NIH grant in the future.</w:t>
      </w:r>
    </w:p>
    <w:p>
      <w:pPr>
        <w:spacing w:after="0" w:line="310" w:lineRule="exact"/>
        <w:rPr>
          <w:sz w:val="20"/>
          <w:szCs w:val="20"/>
          <w:color w:val="auto"/>
        </w:rPr>
      </w:pPr>
    </w:p>
    <w:p>
      <w:pPr>
        <w:ind w:left="1"/>
        <w:spacing w:after="0"/>
        <w:rPr>
          <w:sz w:val="20"/>
          <w:szCs w:val="20"/>
          <w:color w:val="auto"/>
        </w:rPr>
      </w:pPr>
      <w:r>
        <w:rPr>
          <w:rFonts w:ascii="Arial" w:cs="Arial" w:eastAsia="Arial" w:hAnsi="Arial"/>
          <w:sz w:val="20"/>
          <w:szCs w:val="20"/>
          <w:b w:val="1"/>
          <w:bCs w:val="1"/>
          <w:i w:val="1"/>
          <w:iCs w:val="1"/>
          <w:color w:val="auto"/>
        </w:rPr>
        <w:t>Other Income, Net</w:t>
      </w:r>
    </w:p>
    <w:p>
      <w:pPr>
        <w:spacing w:after="0" w:line="116" w:lineRule="exact"/>
        <w:rPr>
          <w:sz w:val="20"/>
          <w:szCs w:val="20"/>
          <w:color w:val="auto"/>
        </w:rPr>
      </w:pPr>
    </w:p>
    <w:p>
      <w:pPr>
        <w:jc w:val="both"/>
        <w:ind w:left="1" w:firstLine="490"/>
        <w:spacing w:after="0" w:line="254" w:lineRule="auto"/>
        <w:rPr>
          <w:sz w:val="20"/>
          <w:szCs w:val="20"/>
          <w:color w:val="auto"/>
        </w:rPr>
      </w:pPr>
      <w:r>
        <w:rPr>
          <w:rFonts w:ascii="Arial" w:cs="Arial" w:eastAsia="Arial" w:hAnsi="Arial"/>
          <w:sz w:val="20"/>
          <w:szCs w:val="20"/>
          <w:color w:val="auto"/>
        </w:rPr>
        <w:t>Other income, net consists primarily of interest earned on our cash, cash equivalents and investments and the amortization of premiums and accretion of discounts on our available-for-sale securities. Absent further fundraising, we expect interest earned on our cash, cash equivalents and investments to decrease as we continue to expend our cash balances to fund our ongoing operations.</w:t>
      </w:r>
    </w:p>
    <w:p>
      <w:pPr>
        <w:sectPr>
          <w:pgSz w:w="11880" w:h="15474" w:orient="portrait"/>
          <w:cols w:equalWidth="0" w:num="1">
            <w:col w:w="9361"/>
          </w:cols>
          <w:pgMar w:left="1239" w:top="1268"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125</w:t>
      </w:r>
    </w:p>
    <w:p>
      <w:pPr>
        <w:sectPr>
          <w:pgSz w:w="11880" w:h="15474" w:orient="portrait"/>
          <w:cols w:equalWidth="0" w:num="1">
            <w:col w:w="9361"/>
          </w:cols>
          <w:pgMar w:left="1239" w:top="1268" w:right="1274" w:bottom="0" w:gutter="0" w:footer="0" w:header="0"/>
          <w:type w:val="continuous"/>
        </w:sectPr>
      </w:pPr>
    </w:p>
    <w:bookmarkStart w:id="131" w:name="page132"/>
    <w:bookmarkEnd w:id="131"/>
    <w:p>
      <w:pPr>
        <w:spacing w:after="0"/>
        <w:rPr>
          <w:sz w:val="20"/>
          <w:szCs w:val="20"/>
          <w:color w:val="auto"/>
        </w:rPr>
      </w:pPr>
      <w:r>
        <w:rPr>
          <w:rFonts w:ascii="Arial" w:cs="Arial" w:eastAsia="Arial" w:hAnsi="Arial"/>
          <w:sz w:val="20"/>
          <w:szCs w:val="20"/>
          <w:b w:val="1"/>
          <w:bCs w:val="1"/>
          <w:color w:val="auto"/>
        </w:rPr>
        <w:t>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Comparison of the Years Ended December 31, 2023 and 2022</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following table summarizes our results of operations for the periods presented: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4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Year Ended December 31,</w:t>
            </w:r>
          </w:p>
        </w:tc>
        <w:tc>
          <w:tcPr>
            <w:tcW w:w="7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jc w:val="right"/>
              <w:ind w:right="320"/>
              <w:spacing w:after="0" w:line="156" w:lineRule="exact"/>
              <w:rPr>
                <w:sz w:val="20"/>
                <w:szCs w:val="20"/>
                <w:color w:val="auto"/>
              </w:rPr>
            </w:pPr>
            <w:r>
              <w:rPr>
                <w:rFonts w:ascii="Arial" w:cs="Arial" w:eastAsia="Arial" w:hAnsi="Arial"/>
                <w:sz w:val="16"/>
                <w:szCs w:val="16"/>
                <w:b w:val="1"/>
                <w:bCs w:val="1"/>
                <w:color w:val="auto"/>
              </w:rPr>
              <w:t>Dollar</w:t>
            </w:r>
          </w:p>
        </w:tc>
        <w:tc>
          <w:tcPr>
            <w:tcW w:w="760" w:type="dxa"/>
            <w:vAlign w:val="bottom"/>
          </w:tcPr>
          <w:p>
            <w:pPr>
              <w:jc w:val="right"/>
              <w:ind w:right="224"/>
              <w:spacing w:after="0" w:line="156" w:lineRule="exact"/>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82"/>
              <w:spacing w:after="0"/>
              <w:rPr>
                <w:sz w:val="20"/>
                <w:szCs w:val="20"/>
                <w:color w:val="auto"/>
              </w:rPr>
            </w:pPr>
            <w:r>
              <w:rPr>
                <w:rFonts w:ascii="Arial" w:cs="Arial" w:eastAsia="Arial" w:hAnsi="Arial"/>
                <w:sz w:val="16"/>
                <w:szCs w:val="16"/>
                <w:b w:val="1"/>
                <w:bCs w:val="1"/>
                <w:color w:val="auto"/>
              </w:rPr>
              <w:t>2023</w:t>
            </w:r>
          </w:p>
        </w:tc>
        <w:tc>
          <w:tcPr>
            <w:tcW w:w="140" w:type="dxa"/>
            <w:vAlign w:val="bottom"/>
            <w:gridSpan w:val="4"/>
            <w:vMerge w:val="restart"/>
          </w:tcPr>
          <w:p>
            <w:pPr>
              <w:spacing w:after="0"/>
              <w:rPr>
                <w:sz w:val="20"/>
                <w:szCs w:val="20"/>
                <w:color w:val="auto"/>
              </w:rPr>
            </w:pPr>
            <w:r>
              <w:rPr>
                <w:rFonts w:ascii="Arial" w:cs="Arial" w:eastAsia="Arial" w:hAnsi="Arial"/>
                <w:sz w:val="13"/>
                <w:szCs w:val="13"/>
                <w:b w:val="1"/>
                <w:bCs w:val="1"/>
                <w:color w:val="auto"/>
                <w:w w:val="75"/>
              </w:rPr>
              <w:t>(in</w:t>
            </w:r>
          </w:p>
        </w:tc>
        <w:tc>
          <w:tcPr>
            <w:tcW w:w="1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Change</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74"/>
        </w:trPr>
        <w:tc>
          <w:tcPr>
            <w:tcW w:w="4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gridSpan w:val="4"/>
            <w:vMerge w:val="continue"/>
          </w:tcPr>
          <w:p>
            <w:pPr>
              <w:spacing w:after="0"/>
              <w:rPr>
                <w:sz w:val="15"/>
                <w:szCs w:val="15"/>
                <w:color w:val="auto"/>
              </w:rPr>
            </w:pPr>
          </w:p>
        </w:tc>
        <w:tc>
          <w:tcPr>
            <w:tcW w:w="900" w:type="dxa"/>
            <w:vAlign w:val="bottom"/>
            <w:tcBorders>
              <w:top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thousands)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E4E4E4"/>
          </w:tcPr>
          <w:p>
            <w:pPr>
              <w:spacing w:after="0"/>
              <w:rPr>
                <w:sz w:val="20"/>
                <w:szCs w:val="20"/>
                <w:color w:val="auto"/>
              </w:rPr>
            </w:pPr>
            <w:r>
              <w:rPr>
                <w:rFonts w:ascii="Arial" w:cs="Arial" w:eastAsia="Arial" w:hAnsi="Arial"/>
                <w:sz w:val="20"/>
                <w:szCs w:val="20"/>
                <w:color w:val="auto"/>
              </w:rPr>
              <w:t>Operating expenses:</w:t>
            </w: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8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7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80"/>
              <w:spacing w:after="0"/>
              <w:rPr>
                <w:sz w:val="20"/>
                <w:szCs w:val="20"/>
                <w:color w:val="auto"/>
              </w:rPr>
            </w:pPr>
            <w:r>
              <w:rPr>
                <w:rFonts w:ascii="Arial" w:cs="Arial" w:eastAsia="Arial" w:hAnsi="Arial"/>
                <w:sz w:val="20"/>
                <w:szCs w:val="20"/>
                <w:color w:val="auto"/>
              </w:rPr>
              <w:t>Research and development</w:t>
            </w:r>
          </w:p>
        </w:tc>
        <w:tc>
          <w:tcPr>
            <w:tcW w:w="1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4"/>
          </w:tcPr>
          <w:p>
            <w:pPr>
              <w:jc w:val="right"/>
              <w:ind w:right="40"/>
              <w:spacing w:after="0"/>
              <w:rPr>
                <w:sz w:val="20"/>
                <w:szCs w:val="20"/>
                <w:color w:val="auto"/>
              </w:rPr>
            </w:pPr>
            <w:r>
              <w:rPr>
                <w:rFonts w:ascii="Arial" w:cs="Arial" w:eastAsia="Arial" w:hAnsi="Arial"/>
                <w:sz w:val="20"/>
                <w:szCs w:val="20"/>
                <w:color w:val="auto"/>
              </w:rPr>
              <w:t>93,790</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61,464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w w:val="97"/>
              </w:rPr>
              <w:t>$ 32,326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53 %</w:t>
            </w:r>
          </w:p>
        </w:tc>
        <w:tc>
          <w:tcPr>
            <w:tcW w:w="0" w:type="dxa"/>
            <w:vAlign w:val="bottom"/>
          </w:tcPr>
          <w:p>
            <w:pPr>
              <w:spacing w:after="0"/>
              <w:rPr>
                <w:sz w:val="1"/>
                <w:szCs w:val="1"/>
                <w:color w:val="auto"/>
              </w:rPr>
            </w:pPr>
          </w:p>
        </w:tc>
      </w:tr>
      <w:tr>
        <w:trPr>
          <w:trHeight w:val="230"/>
        </w:trPr>
        <w:tc>
          <w:tcPr>
            <w:tcW w:w="4380" w:type="dxa"/>
            <w:vAlign w:val="bottom"/>
            <w:shd w:val="clear" w:color="auto" w:fill="E4E4E4"/>
          </w:tcPr>
          <w:p>
            <w:pPr>
              <w:ind w:left="280"/>
              <w:spacing w:after="0"/>
              <w:rPr>
                <w:sz w:val="20"/>
                <w:szCs w:val="20"/>
                <w:color w:val="auto"/>
              </w:rPr>
            </w:pPr>
            <w:r>
              <w:rPr>
                <w:rFonts w:ascii="Arial" w:cs="Arial" w:eastAsia="Arial" w:hAnsi="Arial"/>
                <w:sz w:val="20"/>
                <w:szCs w:val="20"/>
                <w:color w:val="auto"/>
              </w:rPr>
              <w:t>General and administrative</w:t>
            </w:r>
          </w:p>
        </w:tc>
        <w:tc>
          <w:tcPr>
            <w:tcW w:w="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920" w:type="dxa"/>
            <w:vAlign w:val="bottom"/>
            <w:gridSpan w:val="4"/>
            <w:shd w:val="clear" w:color="auto" w:fill="E4E4E4"/>
          </w:tcPr>
          <w:p>
            <w:pPr>
              <w:jc w:val="right"/>
              <w:ind w:right="40"/>
              <w:spacing w:after="0"/>
              <w:rPr>
                <w:sz w:val="20"/>
                <w:szCs w:val="20"/>
                <w:color w:val="auto"/>
              </w:rPr>
            </w:pPr>
            <w:r>
              <w:rPr>
                <w:rFonts w:ascii="Arial" w:cs="Arial" w:eastAsia="Arial" w:hAnsi="Arial"/>
                <w:sz w:val="20"/>
                <w:szCs w:val="20"/>
                <w:color w:val="auto"/>
              </w:rPr>
              <w:t>33,304</w:t>
            </w: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32,552</w:t>
            </w:r>
          </w:p>
        </w:tc>
        <w:tc>
          <w:tcPr>
            <w:tcW w:w="1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752</w:t>
            </w:r>
          </w:p>
        </w:tc>
        <w:tc>
          <w:tcPr>
            <w:tcW w:w="2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w:t>
            </w:r>
          </w:p>
        </w:tc>
        <w:tc>
          <w:tcPr>
            <w:tcW w:w="1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80"/>
              <w:spacing w:after="0"/>
              <w:rPr>
                <w:sz w:val="20"/>
                <w:szCs w:val="20"/>
                <w:color w:val="auto"/>
              </w:rPr>
            </w:pPr>
            <w:r>
              <w:rPr>
                <w:rFonts w:ascii="Arial" w:cs="Arial" w:eastAsia="Arial" w:hAnsi="Arial"/>
                <w:sz w:val="20"/>
                <w:szCs w:val="20"/>
                <w:color w:val="auto"/>
              </w:rPr>
              <w:t>Legal settlement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5"/>
          </w:tcPr>
          <w:p>
            <w:pPr>
              <w:jc w:val="right"/>
              <w:ind w:right="14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10,000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20"/>
                <w:szCs w:val="20"/>
                <w:color w:val="auto"/>
              </w:rPr>
              <w:t>(10,000 )</w:t>
            </w: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auto"/>
              </w:rPr>
              <w:t>(100 )</w:t>
            </w:r>
          </w:p>
        </w:tc>
        <w:tc>
          <w:tcPr>
            <w:tcW w:w="0" w:type="dxa"/>
            <w:vAlign w:val="bottom"/>
          </w:tcPr>
          <w:p>
            <w:pPr>
              <w:spacing w:after="0"/>
              <w:rPr>
                <w:sz w:val="1"/>
                <w:szCs w:val="1"/>
                <w:color w:val="auto"/>
              </w:rPr>
            </w:pPr>
          </w:p>
        </w:tc>
      </w:tr>
      <w:tr>
        <w:trPr>
          <w:trHeight w:val="250"/>
        </w:trPr>
        <w:tc>
          <w:tcPr>
            <w:tcW w:w="4380" w:type="dxa"/>
            <w:vAlign w:val="bottom"/>
            <w:shd w:val="clear" w:color="auto" w:fill="E4E4E4"/>
          </w:tcPr>
          <w:p>
            <w:pPr>
              <w:ind w:left="280"/>
              <w:spacing w:after="0"/>
              <w:rPr>
                <w:sz w:val="20"/>
                <w:szCs w:val="20"/>
                <w:color w:val="auto"/>
              </w:rPr>
            </w:pPr>
            <w:r>
              <w:rPr>
                <w:rFonts w:ascii="Arial" w:cs="Arial" w:eastAsia="Arial" w:hAnsi="Arial"/>
                <w:sz w:val="20"/>
                <w:szCs w:val="20"/>
                <w:color w:val="auto"/>
              </w:rPr>
              <w:t>Insurance recovery related to legal settlement</w:t>
            </w:r>
          </w:p>
        </w:tc>
        <w:tc>
          <w:tcPr>
            <w:tcW w:w="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920" w:type="dxa"/>
            <w:vAlign w:val="bottom"/>
            <w:gridSpan w:val="4"/>
            <w:shd w:val="clear" w:color="auto" w:fill="E4E4E4"/>
          </w:tcPr>
          <w:p>
            <w:pPr>
              <w:jc w:val="right"/>
              <w:spacing w:after="0"/>
              <w:rPr>
                <w:sz w:val="20"/>
                <w:szCs w:val="20"/>
                <w:color w:val="auto"/>
              </w:rPr>
            </w:pPr>
            <w:r>
              <w:rPr>
                <w:rFonts w:ascii="Arial" w:cs="Arial" w:eastAsia="Arial" w:hAnsi="Arial"/>
                <w:sz w:val="20"/>
                <w:szCs w:val="20"/>
                <w:color w:val="auto"/>
              </w:rPr>
              <w:t>(1,628)</w:t>
            </w: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940" w:type="dxa"/>
            <w:vAlign w:val="bottom"/>
            <w:gridSpan w:val="3"/>
            <w:shd w:val="clear" w:color="auto" w:fill="E4E4E4"/>
          </w:tcPr>
          <w:p>
            <w:pPr>
              <w:jc w:val="right"/>
              <w:ind w:right="160"/>
              <w:spacing w:after="0"/>
              <w:rPr>
                <w:sz w:val="20"/>
                <w:szCs w:val="20"/>
                <w:color w:val="auto"/>
              </w:rPr>
            </w:pPr>
            <w:r>
              <w:rPr>
                <w:rFonts w:ascii="Arial" w:cs="Arial" w:eastAsia="Arial" w:hAnsi="Arial"/>
                <w:sz w:val="20"/>
                <w:szCs w:val="20"/>
                <w:color w:val="auto"/>
              </w:rPr>
              <w:t>—</w:t>
            </w:r>
          </w:p>
        </w:tc>
        <w:tc>
          <w:tcPr>
            <w:tcW w:w="940" w:type="dxa"/>
            <w:vAlign w:val="bottom"/>
            <w:gridSpan w:val="3"/>
            <w:shd w:val="clear" w:color="auto" w:fill="E4E4E4"/>
          </w:tcPr>
          <w:p>
            <w:pPr>
              <w:jc w:val="right"/>
              <w:ind w:right="80"/>
              <w:spacing w:after="0"/>
              <w:rPr>
                <w:sz w:val="20"/>
                <w:szCs w:val="20"/>
                <w:color w:val="auto"/>
              </w:rPr>
            </w:pPr>
            <w:r>
              <w:rPr>
                <w:rFonts w:ascii="Arial" w:cs="Arial" w:eastAsia="Arial" w:hAnsi="Arial"/>
                <w:sz w:val="20"/>
                <w:szCs w:val="20"/>
                <w:color w:val="auto"/>
              </w:rPr>
              <w:t>(1,628 )</w:t>
            </w:r>
          </w:p>
        </w:tc>
        <w:tc>
          <w:tcPr>
            <w:tcW w:w="940" w:type="dxa"/>
            <w:vAlign w:val="bottom"/>
            <w:gridSpan w:val="2"/>
            <w:shd w:val="clear" w:color="auto" w:fill="E4E4E4"/>
          </w:tcPr>
          <w:p>
            <w:pPr>
              <w:jc w:val="right"/>
              <w:ind w:right="120"/>
              <w:spacing w:after="0"/>
              <w:rPr>
                <w:sz w:val="20"/>
                <w:szCs w:val="20"/>
                <w:color w:val="auto"/>
              </w:rPr>
            </w:pPr>
            <w:r>
              <w:rPr>
                <w:rFonts w:ascii="Arial" w:cs="Arial" w:eastAsia="Arial" w:hAnsi="Arial"/>
                <w:sz w:val="20"/>
                <w:szCs w:val="20"/>
                <w:color w:val="auto"/>
              </w:rPr>
              <w:t>(100 )</w:t>
            </w:r>
          </w:p>
        </w:tc>
        <w:tc>
          <w:tcPr>
            <w:tcW w:w="0" w:type="dxa"/>
            <w:vAlign w:val="bottom"/>
          </w:tcPr>
          <w:p>
            <w:pPr>
              <w:spacing w:after="0"/>
              <w:rPr>
                <w:sz w:val="1"/>
                <w:szCs w:val="1"/>
                <w:color w:val="auto"/>
              </w:rPr>
            </w:pPr>
          </w:p>
        </w:tc>
      </w:tr>
      <w:tr>
        <w:trPr>
          <w:trHeight w:val="200"/>
        </w:trPr>
        <w:tc>
          <w:tcPr>
            <w:tcW w:w="4380" w:type="dxa"/>
            <w:vAlign w:val="bottom"/>
            <w:tcBorders>
              <w:top w:val="single" w:sz="8" w:color="E4E4E4"/>
              <w:bottom w:val="single" w:sz="8" w:color="E4E4E4"/>
            </w:tcBorders>
          </w:tcPr>
          <w:p>
            <w:pPr>
              <w:ind w:left="560"/>
              <w:spacing w:after="0" w:line="200" w:lineRule="exact"/>
              <w:rPr>
                <w:sz w:val="20"/>
                <w:szCs w:val="20"/>
                <w:color w:val="auto"/>
              </w:rPr>
            </w:pPr>
            <w:r>
              <w:rPr>
                <w:rFonts w:ascii="Arial" w:cs="Arial" w:eastAsia="Arial" w:hAnsi="Arial"/>
                <w:sz w:val="20"/>
                <w:szCs w:val="20"/>
                <w:color w:val="auto"/>
              </w:rPr>
              <w:t>Total operating expenses</w:t>
            </w:r>
          </w:p>
        </w:tc>
        <w:tc>
          <w:tcPr>
            <w:tcW w:w="60" w:type="dxa"/>
            <w:vAlign w:val="bottom"/>
            <w:tcBorders>
              <w:top w:val="single" w:sz="8" w:color="E4E4E4"/>
              <w:bottom w:val="single" w:sz="8" w:color="E4E4E4"/>
            </w:tcBorders>
          </w:tcPr>
          <w:p>
            <w:pPr>
              <w:spacing w:after="0"/>
              <w:rPr>
                <w:sz w:val="17"/>
                <w:szCs w:val="17"/>
                <w:color w:val="auto"/>
              </w:rPr>
            </w:pPr>
          </w:p>
        </w:tc>
        <w:tc>
          <w:tcPr>
            <w:tcW w:w="20" w:type="dxa"/>
            <w:vAlign w:val="bottom"/>
            <w:tcBorders>
              <w:top w:val="single" w:sz="8" w:color="E4E4E4"/>
              <w:bottom w:val="single" w:sz="8" w:color="E4E4E4"/>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2"/>
          </w:tcPr>
          <w:p>
            <w:pPr>
              <w:jc w:val="right"/>
              <w:spacing w:after="0" w:line="200" w:lineRule="exact"/>
              <w:rPr>
                <w:sz w:val="20"/>
                <w:szCs w:val="20"/>
                <w:color w:val="auto"/>
              </w:rPr>
            </w:pPr>
            <w:r>
              <w:rPr>
                <w:rFonts w:ascii="Arial" w:cs="Arial" w:eastAsia="Arial" w:hAnsi="Arial"/>
                <w:sz w:val="20"/>
                <w:szCs w:val="20"/>
                <w:color w:val="auto"/>
              </w:rPr>
              <w:t>125,466</w:t>
            </w:r>
          </w:p>
        </w:tc>
        <w:tc>
          <w:tcPr>
            <w:tcW w:w="20" w:type="dxa"/>
            <w:vAlign w:val="bottom"/>
            <w:tcBorders>
              <w:top w:val="single" w:sz="8" w:color="E4E4E4"/>
              <w:bottom w:val="single" w:sz="8" w:color="E4E4E4"/>
            </w:tcBorders>
          </w:tcPr>
          <w:p>
            <w:pPr>
              <w:spacing w:after="0"/>
              <w:rPr>
                <w:sz w:val="17"/>
                <w:szCs w:val="17"/>
                <w:color w:val="auto"/>
              </w:rPr>
            </w:pPr>
          </w:p>
        </w:tc>
        <w:tc>
          <w:tcPr>
            <w:tcW w:w="80" w:type="dxa"/>
            <w:vAlign w:val="bottom"/>
            <w:tcBorders>
              <w:top w:val="single" w:sz="8" w:color="E4E4E4"/>
              <w:bottom w:val="single" w:sz="8" w:color="E4E4E4"/>
            </w:tcBorders>
          </w:tcPr>
          <w:p>
            <w:pPr>
              <w:spacing w:after="0"/>
              <w:rPr>
                <w:sz w:val="17"/>
                <w:szCs w:val="17"/>
                <w:color w:val="auto"/>
              </w:rPr>
            </w:pPr>
          </w:p>
        </w:tc>
        <w:tc>
          <w:tcPr>
            <w:tcW w:w="20" w:type="dxa"/>
            <w:vAlign w:val="bottom"/>
            <w:tcBorders>
              <w:top w:val="single" w:sz="8" w:color="E4E4E4"/>
              <w:bottom w:val="single" w:sz="8" w:color="E4E4E4"/>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104,016</w:t>
            </w:r>
          </w:p>
        </w:tc>
        <w:tc>
          <w:tcPr>
            <w:tcW w:w="140" w:type="dxa"/>
            <w:vAlign w:val="bottom"/>
            <w:tcBorders>
              <w:top w:val="single" w:sz="8" w:color="E4E4E4"/>
              <w:bottom w:val="single" w:sz="8" w:color="E4E4E4"/>
            </w:tcBorders>
          </w:tcPr>
          <w:p>
            <w:pPr>
              <w:spacing w:after="0"/>
              <w:rPr>
                <w:sz w:val="17"/>
                <w:szCs w:val="17"/>
                <w:color w:val="auto"/>
              </w:rPr>
            </w:pPr>
          </w:p>
        </w:tc>
        <w:tc>
          <w:tcPr>
            <w:tcW w:w="20" w:type="dxa"/>
            <w:vAlign w:val="bottom"/>
            <w:tcBorders>
              <w:top w:val="single" w:sz="8" w:color="E4E4E4"/>
              <w:bottom w:val="single" w:sz="8" w:color="E4E4E4"/>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21,450</w:t>
            </w:r>
          </w:p>
        </w:tc>
        <w:tc>
          <w:tcPr>
            <w:tcW w:w="20" w:type="dxa"/>
            <w:vAlign w:val="bottom"/>
            <w:tcBorders>
              <w:top w:val="single" w:sz="8" w:color="E4E4E4"/>
            </w:tcBorders>
          </w:tcPr>
          <w:p>
            <w:pPr>
              <w:spacing w:after="0"/>
              <w:rPr>
                <w:sz w:val="17"/>
                <w:szCs w:val="17"/>
                <w:color w:val="auto"/>
              </w:rPr>
            </w:pPr>
          </w:p>
        </w:tc>
        <w:tc>
          <w:tcPr>
            <w:tcW w:w="140" w:type="dxa"/>
            <w:vAlign w:val="bottom"/>
            <w:tcBorders>
              <w:top w:val="single" w:sz="8" w:color="E4E4E4"/>
              <w:bottom w:val="single" w:sz="8" w:color="E4E4E4"/>
            </w:tcBorders>
          </w:tcPr>
          <w:p>
            <w:pPr>
              <w:spacing w:after="0"/>
              <w:rPr>
                <w:sz w:val="17"/>
                <w:szCs w:val="17"/>
                <w:color w:val="auto"/>
              </w:rPr>
            </w:pPr>
          </w:p>
        </w:tc>
        <w:tc>
          <w:tcPr>
            <w:tcW w:w="760" w:type="dxa"/>
            <w:vAlign w:val="bottom"/>
            <w:tcBorders>
              <w:top w:val="single" w:sz="8" w:color="E4E4E4"/>
              <w:bottom w:val="single" w:sz="8" w:color="E4E4E4"/>
            </w:tcBorders>
          </w:tcPr>
          <w:p>
            <w:pPr>
              <w:jc w:val="right"/>
              <w:spacing w:after="0" w:line="200" w:lineRule="exact"/>
              <w:rPr>
                <w:sz w:val="20"/>
                <w:szCs w:val="20"/>
                <w:color w:val="auto"/>
              </w:rPr>
            </w:pPr>
            <w:r>
              <w:rPr>
                <w:rFonts w:ascii="Arial" w:cs="Arial" w:eastAsia="Arial" w:hAnsi="Arial"/>
                <w:sz w:val="20"/>
                <w:szCs w:val="20"/>
                <w:color w:val="auto"/>
              </w:rPr>
              <w:t>21</w:t>
            </w:r>
          </w:p>
        </w:tc>
        <w:tc>
          <w:tcPr>
            <w:tcW w:w="180" w:type="dxa"/>
            <w:vAlign w:val="bottom"/>
            <w:tcBorders>
              <w:top w:val="single" w:sz="8" w:color="E4E4E4"/>
              <w:bottom w:val="single" w:sz="8" w:color="E4E4E4"/>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80" w:type="dxa"/>
            <w:vAlign w:val="bottom"/>
            <w:shd w:val="clear" w:color="auto" w:fill="E4E4E4"/>
          </w:tcPr>
          <w:p>
            <w:pPr>
              <w:spacing w:after="0" w:line="220" w:lineRule="exact"/>
              <w:rPr>
                <w:sz w:val="20"/>
                <w:szCs w:val="20"/>
                <w:color w:val="auto"/>
              </w:rPr>
            </w:pPr>
            <w:r>
              <w:rPr>
                <w:rFonts w:ascii="Arial" w:cs="Arial" w:eastAsia="Arial" w:hAnsi="Arial"/>
                <w:sz w:val="20"/>
                <w:szCs w:val="20"/>
                <w:color w:val="auto"/>
              </w:rPr>
              <w:t>Loss from operations</w:t>
            </w: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20" w:type="dxa"/>
            <w:vAlign w:val="bottom"/>
            <w:gridSpan w:val="4"/>
            <w:shd w:val="clear" w:color="auto" w:fill="E4E4E4"/>
          </w:tcPr>
          <w:p>
            <w:pPr>
              <w:jc w:val="right"/>
              <w:spacing w:after="0" w:line="220" w:lineRule="exact"/>
              <w:rPr>
                <w:sz w:val="20"/>
                <w:szCs w:val="20"/>
                <w:color w:val="auto"/>
              </w:rPr>
            </w:pPr>
            <w:r>
              <w:rPr>
                <w:rFonts w:ascii="Arial" w:cs="Arial" w:eastAsia="Arial" w:hAnsi="Arial"/>
                <w:sz w:val="20"/>
                <w:szCs w:val="20"/>
                <w:color w:val="auto"/>
                <w:w w:val="98"/>
              </w:rPr>
              <w:t>(125,466)</w:t>
            </w: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920" w:type="dxa"/>
            <w:vAlign w:val="bottom"/>
            <w:gridSpan w:val="2"/>
            <w:shd w:val="clear" w:color="auto" w:fill="E4E4E4"/>
          </w:tcPr>
          <w:p>
            <w:pPr>
              <w:jc w:val="right"/>
              <w:spacing w:after="0" w:line="220" w:lineRule="exact"/>
              <w:rPr>
                <w:sz w:val="20"/>
                <w:szCs w:val="20"/>
                <w:color w:val="auto"/>
              </w:rPr>
            </w:pPr>
            <w:r>
              <w:rPr>
                <w:rFonts w:ascii="Arial" w:cs="Arial" w:eastAsia="Arial" w:hAnsi="Arial"/>
                <w:sz w:val="20"/>
                <w:szCs w:val="20"/>
                <w:color w:val="auto"/>
                <w:w w:val="95"/>
              </w:rPr>
              <w:t>(104,016)</w:t>
            </w:r>
          </w:p>
        </w:tc>
        <w:tc>
          <w:tcPr>
            <w:tcW w:w="20" w:type="dxa"/>
            <w:vAlign w:val="bottom"/>
            <w:shd w:val="clear" w:color="auto" w:fill="E4E4E4"/>
          </w:tcPr>
          <w:p>
            <w:pPr>
              <w:spacing w:after="0"/>
              <w:rPr>
                <w:sz w:val="19"/>
                <w:szCs w:val="19"/>
                <w:color w:val="auto"/>
              </w:rPr>
            </w:pPr>
          </w:p>
        </w:tc>
        <w:tc>
          <w:tcPr>
            <w:tcW w:w="940" w:type="dxa"/>
            <w:vAlign w:val="bottom"/>
            <w:gridSpan w:val="3"/>
            <w:shd w:val="clear" w:color="auto" w:fill="E4E4E4"/>
          </w:tcPr>
          <w:p>
            <w:pPr>
              <w:jc w:val="right"/>
              <w:ind w:right="80"/>
              <w:spacing w:after="0" w:line="220" w:lineRule="exact"/>
              <w:rPr>
                <w:sz w:val="20"/>
                <w:szCs w:val="20"/>
                <w:color w:val="auto"/>
              </w:rPr>
            </w:pPr>
            <w:r>
              <w:rPr>
                <w:rFonts w:ascii="Arial" w:cs="Arial" w:eastAsia="Arial" w:hAnsi="Arial"/>
                <w:sz w:val="20"/>
                <w:szCs w:val="20"/>
                <w:color w:val="auto"/>
              </w:rPr>
              <w:t>(21,450 )</w:t>
            </w:r>
          </w:p>
        </w:tc>
        <w:tc>
          <w:tcPr>
            <w:tcW w:w="76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rPr>
              <w:t>21</w:t>
            </w:r>
          </w:p>
        </w:tc>
        <w:tc>
          <w:tcPr>
            <w:tcW w:w="1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20"/>
                <w:szCs w:val="20"/>
                <w:color w:val="auto"/>
              </w:rPr>
              <w:t>Grant income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20"/>
                <w:szCs w:val="20"/>
                <w:color w:val="auto"/>
              </w:rPr>
              <w:t>157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5,161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20"/>
                <w:szCs w:val="20"/>
                <w:color w:val="auto"/>
              </w:rPr>
              <w:t>(5,004 )</w:t>
            </w: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auto"/>
              </w:rPr>
              <w:t>(97 )</w:t>
            </w:r>
          </w:p>
        </w:tc>
        <w:tc>
          <w:tcPr>
            <w:tcW w:w="0" w:type="dxa"/>
            <w:vAlign w:val="bottom"/>
          </w:tcPr>
          <w:p>
            <w:pPr>
              <w:spacing w:after="0"/>
              <w:rPr>
                <w:sz w:val="1"/>
                <w:szCs w:val="1"/>
                <w:color w:val="auto"/>
              </w:rPr>
            </w:pPr>
          </w:p>
        </w:tc>
      </w:tr>
      <w:tr>
        <w:trPr>
          <w:trHeight w:val="250"/>
        </w:trPr>
        <w:tc>
          <w:tcPr>
            <w:tcW w:w="4380" w:type="dxa"/>
            <w:vAlign w:val="bottom"/>
            <w:shd w:val="clear" w:color="auto" w:fill="E4E4E4"/>
          </w:tcPr>
          <w:p>
            <w:pPr>
              <w:spacing w:after="0"/>
              <w:rPr>
                <w:sz w:val="20"/>
                <w:szCs w:val="20"/>
                <w:color w:val="auto"/>
              </w:rPr>
            </w:pPr>
            <w:r>
              <w:rPr>
                <w:rFonts w:ascii="Arial" w:cs="Arial" w:eastAsia="Arial" w:hAnsi="Arial"/>
                <w:sz w:val="20"/>
                <w:szCs w:val="20"/>
                <w:color w:val="auto"/>
              </w:rPr>
              <w:t>Other income, net</w:t>
            </w:r>
          </w:p>
        </w:tc>
        <w:tc>
          <w:tcPr>
            <w:tcW w:w="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920" w:type="dxa"/>
            <w:vAlign w:val="bottom"/>
            <w:gridSpan w:val="4"/>
            <w:shd w:val="clear" w:color="auto" w:fill="E4E4E4"/>
          </w:tcPr>
          <w:p>
            <w:pPr>
              <w:jc w:val="right"/>
              <w:ind w:right="40"/>
              <w:spacing w:after="0"/>
              <w:rPr>
                <w:sz w:val="20"/>
                <w:szCs w:val="20"/>
                <w:color w:val="auto"/>
              </w:rPr>
            </w:pPr>
            <w:r>
              <w:rPr>
                <w:rFonts w:ascii="Arial" w:cs="Arial" w:eastAsia="Arial" w:hAnsi="Arial"/>
                <w:sz w:val="20"/>
                <w:szCs w:val="20"/>
                <w:color w:val="auto"/>
              </w:rPr>
              <w:t>7,637</w:t>
            </w: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3,216</w:t>
            </w:r>
          </w:p>
        </w:tc>
        <w:tc>
          <w:tcPr>
            <w:tcW w:w="1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4,421</w:t>
            </w:r>
          </w:p>
        </w:tc>
        <w:tc>
          <w:tcPr>
            <w:tcW w:w="2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137</w:t>
            </w:r>
          </w:p>
        </w:tc>
        <w:tc>
          <w:tcPr>
            <w:tcW w:w="1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380" w:type="dxa"/>
            <w:vAlign w:val="bottom"/>
            <w:tcBorders>
              <w:top w:val="single" w:sz="8" w:color="E4E4E4"/>
            </w:tcBorders>
          </w:tcPr>
          <w:p>
            <w:pPr>
              <w:spacing w:after="0" w:line="203" w:lineRule="exact"/>
              <w:rPr>
                <w:sz w:val="20"/>
                <w:szCs w:val="20"/>
                <w:color w:val="auto"/>
              </w:rPr>
            </w:pPr>
            <w:r>
              <w:rPr>
                <w:rFonts w:ascii="Arial" w:cs="Arial" w:eastAsia="Arial" w:hAnsi="Arial"/>
                <w:sz w:val="20"/>
                <w:szCs w:val="20"/>
                <w:color w:val="auto"/>
              </w:rPr>
              <w:t>Net loss</w:t>
            </w:r>
          </w:p>
        </w:tc>
        <w:tc>
          <w:tcPr>
            <w:tcW w:w="60" w:type="dxa"/>
            <w:vAlign w:val="bottom"/>
            <w:tcBorders>
              <w:top w:val="single" w:sz="8" w:color="E4E4E4"/>
            </w:tcBorders>
          </w:tcPr>
          <w:p>
            <w:pPr>
              <w:spacing w:after="0"/>
              <w:rPr>
                <w:sz w:val="17"/>
                <w:szCs w:val="17"/>
                <w:color w:val="auto"/>
              </w:rPr>
            </w:pPr>
          </w:p>
        </w:tc>
        <w:tc>
          <w:tcPr>
            <w:tcW w:w="20" w:type="dxa"/>
            <w:vAlign w:val="bottom"/>
            <w:tcBorders>
              <w:top w:val="single" w:sz="8" w:color="E4E4E4"/>
            </w:tcBorders>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20"/>
                <w:szCs w:val="20"/>
                <w:color w:val="auto"/>
                <w:w w:val="98"/>
              </w:rPr>
              <w:t>(117,672</w:t>
            </w:r>
          </w:p>
        </w:tc>
        <w:tc>
          <w:tcPr>
            <w:tcW w:w="100" w:type="dxa"/>
            <w:vAlign w:val="bottom"/>
            <w:tcBorders>
              <w:top w:val="single" w:sz="8" w:color="E4E4E4"/>
            </w:tcBorders>
            <w:gridSpan w:val="2"/>
          </w:tcPr>
          <w:p>
            <w:pPr>
              <w:spacing w:after="0" w:line="203" w:lineRule="exact"/>
              <w:rPr>
                <w:sz w:val="20"/>
                <w:szCs w:val="20"/>
                <w:color w:val="auto"/>
              </w:rPr>
            </w:pPr>
            <w:r>
              <w:rPr>
                <w:rFonts w:ascii="Arial" w:cs="Arial" w:eastAsia="Arial" w:hAnsi="Arial"/>
                <w:sz w:val="20"/>
                <w:szCs w:val="20"/>
                <w:color w:val="auto"/>
              </w:rPr>
              <w:t>)</w:t>
            </w:r>
          </w:p>
        </w:tc>
        <w:tc>
          <w:tcPr>
            <w:tcW w:w="20" w:type="dxa"/>
            <w:vAlign w:val="bottom"/>
            <w:tcBorders>
              <w:top w:val="single" w:sz="8" w:color="E4E4E4"/>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20"/>
                <w:szCs w:val="20"/>
                <w:color w:val="auto"/>
                <w:w w:val="89"/>
              </w:rPr>
              <w:t>$</w:t>
            </w: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20"/>
                <w:szCs w:val="20"/>
                <w:color w:val="auto"/>
              </w:rPr>
              <w:t>(95,639</w:t>
            </w:r>
          </w:p>
        </w:tc>
        <w:tc>
          <w:tcPr>
            <w:tcW w:w="140" w:type="dxa"/>
            <w:vAlign w:val="bottom"/>
            <w:tcBorders>
              <w:top w:val="single" w:sz="8" w:color="E4E4E4"/>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E4E4E4"/>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20"/>
                <w:szCs w:val="20"/>
                <w:color w:val="auto"/>
                <w:w w:val="89"/>
              </w:rPr>
              <w:t>$ (22,033</w:t>
            </w:r>
          </w:p>
        </w:tc>
        <w:tc>
          <w:tcPr>
            <w:tcW w:w="160" w:type="dxa"/>
            <w:vAlign w:val="bottom"/>
            <w:tcBorders>
              <w:top w:val="single" w:sz="8" w:color="E4E4E4"/>
            </w:tcBorders>
            <w:gridSpan w:val="2"/>
          </w:tcPr>
          <w:p>
            <w:pPr>
              <w:jc w:val="right"/>
              <w:ind w:right="80"/>
              <w:spacing w:after="0" w:line="203" w:lineRule="exact"/>
              <w:rPr>
                <w:sz w:val="20"/>
                <w:szCs w:val="20"/>
                <w:color w:val="auto"/>
              </w:rPr>
            </w:pPr>
            <w:r>
              <w:rPr>
                <w:rFonts w:ascii="Arial" w:cs="Arial" w:eastAsia="Arial" w:hAnsi="Arial"/>
                <w:sz w:val="20"/>
                <w:szCs w:val="20"/>
                <w:color w:val="auto"/>
                <w:w w:val="89"/>
              </w:rPr>
              <w:t>)</w:t>
            </w:r>
          </w:p>
        </w:tc>
        <w:tc>
          <w:tcPr>
            <w:tcW w:w="760" w:type="dxa"/>
            <w:vAlign w:val="bottom"/>
            <w:tcBorders>
              <w:top w:val="single" w:sz="8" w:color="E4E4E4"/>
            </w:tcBorders>
          </w:tcPr>
          <w:p>
            <w:pPr>
              <w:jc w:val="right"/>
              <w:spacing w:after="0" w:line="203" w:lineRule="exact"/>
              <w:rPr>
                <w:sz w:val="20"/>
                <w:szCs w:val="20"/>
                <w:color w:val="auto"/>
              </w:rPr>
            </w:pPr>
            <w:r>
              <w:rPr>
                <w:rFonts w:ascii="Arial" w:cs="Arial" w:eastAsia="Arial" w:hAnsi="Arial"/>
                <w:sz w:val="20"/>
                <w:szCs w:val="20"/>
                <w:color w:val="auto"/>
              </w:rPr>
              <w:t>23</w:t>
            </w:r>
          </w:p>
        </w:tc>
        <w:tc>
          <w:tcPr>
            <w:tcW w:w="180" w:type="dxa"/>
            <w:vAlign w:val="bottom"/>
            <w:tcBorders>
              <w:top w:val="single" w:sz="8" w:color="E4E4E4"/>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296545</wp:posOffset>
                </wp:positionH>
                <wp:positionV relativeFrom="paragraph">
                  <wp:posOffset>-774700</wp:posOffset>
                </wp:positionV>
                <wp:extent cx="282194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194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5pt,-61pt" to="245.55pt,-61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3690620</wp:posOffset>
                </wp:positionH>
                <wp:positionV relativeFrom="paragraph">
                  <wp:posOffset>-774700</wp:posOffset>
                </wp:positionV>
                <wp:extent cx="9271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71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0.6pt,-61pt" to="297.9pt,-61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4356735</wp:posOffset>
                </wp:positionH>
                <wp:positionV relativeFrom="paragraph">
                  <wp:posOffset>-774700</wp:posOffset>
                </wp:positionV>
                <wp:extent cx="9207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07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3.05pt,-61pt" to="350.3pt,-61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4956810</wp:posOffset>
                </wp:positionH>
                <wp:positionV relativeFrom="paragraph">
                  <wp:posOffset>-774700</wp:posOffset>
                </wp:positionV>
                <wp:extent cx="68897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97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3pt,-61pt" to="444.55pt,-61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296545</wp:posOffset>
                </wp:positionH>
                <wp:positionV relativeFrom="paragraph">
                  <wp:posOffset>-177800</wp:posOffset>
                </wp:positionV>
                <wp:extent cx="282194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194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5pt,-14pt" to="245.55pt,-14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3690620</wp:posOffset>
                </wp:positionH>
                <wp:positionV relativeFrom="paragraph">
                  <wp:posOffset>-177800</wp:posOffset>
                </wp:positionV>
                <wp:extent cx="9271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71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0.6pt,-14pt" to="297.9pt,-14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4356735</wp:posOffset>
                </wp:positionH>
                <wp:positionV relativeFrom="paragraph">
                  <wp:posOffset>-177800</wp:posOffset>
                </wp:positionV>
                <wp:extent cx="9207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07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3.05pt,-14pt" to="350.3pt,-14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4956810</wp:posOffset>
                </wp:positionH>
                <wp:positionV relativeFrom="paragraph">
                  <wp:posOffset>-177800</wp:posOffset>
                </wp:positionV>
                <wp:extent cx="68897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97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3pt,-14pt" to="444.55pt,-14pt" o:allowincell="f" strokecolor="#FFFFFF" strokeweight="0.4809pt"/>
            </w:pict>
          </mc:Fallback>
        </mc:AlternateConten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Expenses</w:t>
      </w:r>
    </w:p>
    <w:p>
      <w:pPr>
        <w:spacing w:after="0" w:line="115" w:lineRule="exact"/>
        <w:rPr>
          <w:sz w:val="20"/>
          <w:szCs w:val="20"/>
          <w:color w:val="auto"/>
        </w:rPr>
      </w:pPr>
    </w:p>
    <w:p>
      <w:pPr>
        <w:jc w:val="both"/>
        <w:ind w:firstLine="489"/>
        <w:spacing w:after="0" w:line="283" w:lineRule="auto"/>
        <w:rPr>
          <w:sz w:val="20"/>
          <w:szCs w:val="20"/>
          <w:color w:val="auto"/>
        </w:rPr>
      </w:pPr>
      <w:r>
        <w:rPr>
          <w:rFonts w:ascii="Arial" w:cs="Arial" w:eastAsia="Arial" w:hAnsi="Arial"/>
          <w:sz w:val="20"/>
          <w:szCs w:val="20"/>
          <w:color w:val="auto"/>
        </w:rPr>
        <w:t>The following table shows the primary components of our research and development expenses for the periods presented:</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55"/>
        </w:trPr>
        <w:tc>
          <w:tcPr>
            <w:tcW w:w="3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460"/>
              <w:spacing w:after="0" w:line="155" w:lineRule="exact"/>
              <w:rPr>
                <w:sz w:val="20"/>
                <w:szCs w:val="20"/>
                <w:color w:val="auto"/>
              </w:rPr>
            </w:pPr>
            <w:r>
              <w:rPr>
                <w:rFonts w:ascii="Arial" w:cs="Arial" w:eastAsia="Arial" w:hAnsi="Arial"/>
                <w:sz w:val="16"/>
                <w:szCs w:val="16"/>
                <w:b w:val="1"/>
                <w:bCs w:val="1"/>
                <w:color w:val="auto"/>
              </w:rPr>
              <w:t>Dollar</w:t>
            </w:r>
          </w:p>
        </w:tc>
        <w:tc>
          <w:tcPr>
            <w:tcW w:w="800" w:type="dxa"/>
            <w:vAlign w:val="bottom"/>
          </w:tcPr>
          <w:p>
            <w:pPr>
              <w:jc w:val="right"/>
              <w:ind w:right="224"/>
              <w:spacing w:after="0" w:line="155" w:lineRule="exact"/>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3"/>
                <w:szCs w:val="13"/>
                <w:color w:val="auto"/>
              </w:rPr>
            </w:pPr>
          </w:p>
        </w:tc>
      </w:tr>
      <w:tr>
        <w:trPr>
          <w:trHeight w:val="203"/>
        </w:trPr>
        <w:tc>
          <w:tcPr>
            <w:tcW w:w="3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ind w:right="142"/>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86"/>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Change</w:t>
            </w:r>
          </w:p>
        </w:tc>
        <w:tc>
          <w:tcPr>
            <w:tcW w:w="9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Change</w:t>
            </w:r>
          </w:p>
        </w:tc>
      </w:tr>
      <w:tr>
        <w:trPr>
          <w:trHeight w:val="173"/>
        </w:trPr>
        <w:tc>
          <w:tcPr>
            <w:tcW w:w="3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b w:val="1"/>
                <w:bCs w:val="1"/>
                <w:color w:val="auto"/>
                <w:w w:val="87"/>
              </w:rPr>
              <w:t>(in thousands)</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30"/>
        </w:trPr>
        <w:tc>
          <w:tcPr>
            <w:tcW w:w="3940" w:type="dxa"/>
            <w:vAlign w:val="bottom"/>
            <w:shd w:val="clear" w:color="auto" w:fill="E4E4E4"/>
          </w:tcPr>
          <w:p>
            <w:pPr>
              <w:spacing w:after="0"/>
              <w:rPr>
                <w:sz w:val="20"/>
                <w:szCs w:val="20"/>
                <w:color w:val="auto"/>
              </w:rPr>
            </w:pPr>
            <w:r>
              <w:rPr>
                <w:rFonts w:ascii="Arial" w:cs="Arial" w:eastAsia="Arial" w:hAnsi="Arial"/>
                <w:sz w:val="20"/>
                <w:szCs w:val="20"/>
                <w:color w:val="auto"/>
              </w:rPr>
              <w:t>Direct costs:</w:t>
            </w:r>
          </w:p>
        </w:tc>
        <w:tc>
          <w:tcPr>
            <w:tcW w:w="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2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98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98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800" w:type="dxa"/>
            <w:vAlign w:val="bottom"/>
            <w:shd w:val="clear" w:color="auto" w:fill="E4E4E4"/>
          </w:tcPr>
          <w:p>
            <w:pPr>
              <w:spacing w:after="0"/>
              <w:rPr>
                <w:sz w:val="20"/>
                <w:szCs w:val="20"/>
                <w:color w:val="auto"/>
              </w:rPr>
            </w:pPr>
          </w:p>
        </w:tc>
        <w:tc>
          <w:tcPr>
            <w:tcW w:w="180" w:type="dxa"/>
            <w:vAlign w:val="bottom"/>
            <w:shd w:val="clear" w:color="auto" w:fill="E4E4E4"/>
          </w:tcPr>
          <w:p>
            <w:pPr>
              <w:spacing w:after="0"/>
              <w:rPr>
                <w:sz w:val="20"/>
                <w:szCs w:val="20"/>
                <w:color w:val="auto"/>
              </w:rPr>
            </w:pPr>
          </w:p>
        </w:tc>
      </w:tr>
      <w:tr>
        <w:trPr>
          <w:trHeight w:val="230"/>
        </w:trPr>
        <w:tc>
          <w:tcPr>
            <w:tcW w:w="3940" w:type="dxa"/>
            <w:vAlign w:val="bottom"/>
          </w:tcPr>
          <w:p>
            <w:pPr>
              <w:ind w:left="280"/>
              <w:spacing w:after="0"/>
              <w:rPr>
                <w:sz w:val="20"/>
                <w:szCs w:val="20"/>
                <w:color w:val="auto"/>
              </w:rPr>
            </w:pPr>
            <w:r>
              <w:rPr>
                <w:rFonts w:ascii="Arial" w:cs="Arial" w:eastAsia="Arial" w:hAnsi="Arial"/>
                <w:sz w:val="20"/>
                <w:szCs w:val="20"/>
                <w:color w:val="auto"/>
              </w:rPr>
              <w:t>Fosgonimeton (ATH-1017)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$ 66,524</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39,416</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27,108</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69 %</w:t>
            </w:r>
          </w:p>
        </w:tc>
      </w:tr>
      <w:tr>
        <w:trPr>
          <w:trHeight w:val="229"/>
        </w:trPr>
        <w:tc>
          <w:tcPr>
            <w:tcW w:w="3940" w:type="dxa"/>
            <w:vAlign w:val="bottom"/>
            <w:shd w:val="clear" w:color="auto" w:fill="E4E4E4"/>
          </w:tcPr>
          <w:p>
            <w:pPr>
              <w:ind w:left="280"/>
              <w:spacing w:after="0"/>
              <w:rPr>
                <w:sz w:val="20"/>
                <w:szCs w:val="20"/>
                <w:color w:val="auto"/>
              </w:rPr>
            </w:pPr>
            <w:r>
              <w:rPr>
                <w:rFonts w:ascii="Arial" w:cs="Arial" w:eastAsia="Arial" w:hAnsi="Arial"/>
                <w:sz w:val="20"/>
                <w:szCs w:val="20"/>
                <w:color w:val="auto"/>
              </w:rPr>
              <w:t>ATH-1020</w:t>
            </w: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704</w:t>
            </w:r>
          </w:p>
        </w:tc>
        <w:tc>
          <w:tcPr>
            <w:tcW w:w="14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120" w:type="dxa"/>
            <w:vAlign w:val="bottom"/>
            <w:gridSpan w:val="2"/>
            <w:shd w:val="clear" w:color="auto" w:fill="E4E4E4"/>
          </w:tcPr>
          <w:p>
            <w:pPr>
              <w:jc w:val="right"/>
              <w:ind w:right="140"/>
              <w:spacing w:after="0"/>
              <w:rPr>
                <w:sz w:val="20"/>
                <w:szCs w:val="20"/>
                <w:color w:val="auto"/>
              </w:rPr>
            </w:pPr>
            <w:r>
              <w:rPr>
                <w:rFonts w:ascii="Arial" w:cs="Arial" w:eastAsia="Arial" w:hAnsi="Arial"/>
                <w:sz w:val="20"/>
                <w:szCs w:val="20"/>
                <w:color w:val="auto"/>
              </w:rPr>
              <w:t>1,874</w:t>
            </w:r>
          </w:p>
        </w:tc>
        <w:tc>
          <w:tcPr>
            <w:tcW w:w="120" w:type="dxa"/>
            <w:vAlign w:val="bottom"/>
            <w:shd w:val="clear" w:color="auto" w:fill="E4E4E4"/>
          </w:tcPr>
          <w:p>
            <w:pPr>
              <w:spacing w:after="0"/>
              <w:rPr>
                <w:sz w:val="19"/>
                <w:szCs w:val="19"/>
                <w:color w:val="auto"/>
              </w:rPr>
            </w:pPr>
          </w:p>
        </w:tc>
        <w:tc>
          <w:tcPr>
            <w:tcW w:w="1120" w:type="dxa"/>
            <w:vAlign w:val="bottom"/>
            <w:gridSpan w:val="2"/>
            <w:shd w:val="clear" w:color="auto" w:fill="E4E4E4"/>
          </w:tcPr>
          <w:p>
            <w:pPr>
              <w:jc w:val="right"/>
              <w:ind w:right="80"/>
              <w:spacing w:after="0"/>
              <w:rPr>
                <w:sz w:val="20"/>
                <w:szCs w:val="20"/>
                <w:color w:val="auto"/>
              </w:rPr>
            </w:pPr>
            <w:r>
              <w:rPr>
                <w:rFonts w:ascii="Arial" w:cs="Arial" w:eastAsia="Arial" w:hAnsi="Arial"/>
                <w:sz w:val="20"/>
                <w:szCs w:val="20"/>
                <w:color w:val="auto"/>
              </w:rPr>
              <w:t>(1,170)</w:t>
            </w:r>
          </w:p>
        </w:tc>
        <w:tc>
          <w:tcPr>
            <w:tcW w:w="980" w:type="dxa"/>
            <w:vAlign w:val="bottom"/>
            <w:gridSpan w:val="2"/>
            <w:shd w:val="clear" w:color="auto" w:fill="E4E4E4"/>
          </w:tcPr>
          <w:p>
            <w:pPr>
              <w:jc w:val="right"/>
              <w:ind w:right="120"/>
              <w:spacing w:after="0"/>
              <w:rPr>
                <w:sz w:val="20"/>
                <w:szCs w:val="20"/>
                <w:color w:val="auto"/>
              </w:rPr>
            </w:pPr>
            <w:r>
              <w:rPr>
                <w:rFonts w:ascii="Arial" w:cs="Arial" w:eastAsia="Arial" w:hAnsi="Arial"/>
                <w:sz w:val="20"/>
                <w:szCs w:val="20"/>
                <w:color w:val="auto"/>
              </w:rPr>
              <w:t>(62 )</w:t>
            </w:r>
          </w:p>
        </w:tc>
      </w:tr>
      <w:tr>
        <w:trPr>
          <w:trHeight w:val="211"/>
        </w:trPr>
        <w:tc>
          <w:tcPr>
            <w:tcW w:w="3940" w:type="dxa"/>
            <w:vAlign w:val="bottom"/>
          </w:tcPr>
          <w:p>
            <w:pPr>
              <w:ind w:left="280"/>
              <w:spacing w:after="0" w:line="211" w:lineRule="exact"/>
              <w:rPr>
                <w:sz w:val="20"/>
                <w:szCs w:val="20"/>
                <w:color w:val="auto"/>
              </w:rPr>
            </w:pPr>
            <w:r>
              <w:rPr>
                <w:rFonts w:ascii="Arial" w:cs="Arial" w:eastAsia="Arial" w:hAnsi="Arial"/>
                <w:sz w:val="20"/>
                <w:szCs w:val="20"/>
                <w:color w:val="auto"/>
              </w:rPr>
              <w:t>Preclinical programs and other direct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9"/>
        </w:trPr>
        <w:tc>
          <w:tcPr>
            <w:tcW w:w="4020" w:type="dxa"/>
            <w:vAlign w:val="bottom"/>
            <w:tcBorders>
              <w:bottom w:val="single" w:sz="8" w:color="E4E4E4"/>
            </w:tcBorders>
            <w:gridSpan w:val="3"/>
          </w:tcPr>
          <w:p>
            <w:pPr>
              <w:ind w:left="280"/>
              <w:spacing w:after="0"/>
              <w:rPr>
                <w:sz w:val="20"/>
                <w:szCs w:val="20"/>
                <w:color w:val="auto"/>
              </w:rPr>
            </w:pPr>
            <w:r>
              <w:rPr>
                <w:rFonts w:ascii="Arial" w:cs="Arial" w:eastAsia="Arial" w:hAnsi="Arial"/>
                <w:sz w:val="20"/>
                <w:szCs w:val="20"/>
                <w:color w:val="auto"/>
              </w:rPr>
              <w:t>costs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6,619</w:t>
            </w:r>
          </w:p>
        </w:tc>
        <w:tc>
          <w:tcPr>
            <w:tcW w:w="140" w:type="dxa"/>
            <w:vAlign w:val="bottom"/>
            <w:tcBorders>
              <w:bottom w:val="single" w:sz="8" w:color="E4E4E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5,978</w:t>
            </w:r>
          </w:p>
        </w:tc>
        <w:tc>
          <w:tcPr>
            <w:tcW w:w="140" w:type="dxa"/>
            <w:vAlign w:val="bottom"/>
            <w:tcBorders>
              <w:bottom w:val="single" w:sz="8" w:color="E4E4E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641</w:t>
            </w:r>
          </w:p>
        </w:tc>
        <w:tc>
          <w:tcPr>
            <w:tcW w:w="140" w:type="dxa"/>
            <w:vAlign w:val="bottom"/>
            <w:tcBorders>
              <w:bottom w:val="single" w:sz="8" w:color="E4E4E4"/>
            </w:tcBorders>
          </w:tcPr>
          <w:p>
            <w:pPr>
              <w:spacing w:after="0"/>
              <w:rPr>
                <w:sz w:val="21"/>
                <w:szCs w:val="21"/>
                <w:color w:val="auto"/>
              </w:rPr>
            </w:pPr>
          </w:p>
        </w:tc>
        <w:tc>
          <w:tcPr>
            <w:tcW w:w="800" w:type="dxa"/>
            <w:vAlign w:val="bottom"/>
            <w:tcBorders>
              <w:bottom w:val="single" w:sz="8" w:color="E4E4E4"/>
            </w:tcBorders>
          </w:tcPr>
          <w:p>
            <w:pPr>
              <w:jc w:val="right"/>
              <w:spacing w:after="0"/>
              <w:rPr>
                <w:sz w:val="20"/>
                <w:szCs w:val="20"/>
                <w:color w:val="auto"/>
              </w:rPr>
            </w:pPr>
            <w:r>
              <w:rPr>
                <w:rFonts w:ascii="Arial" w:cs="Arial" w:eastAsia="Arial" w:hAnsi="Arial"/>
                <w:sz w:val="20"/>
                <w:szCs w:val="20"/>
                <w:color w:val="auto"/>
              </w:rPr>
              <w:t>11</w:t>
            </w:r>
          </w:p>
        </w:tc>
        <w:tc>
          <w:tcPr>
            <w:tcW w:w="180" w:type="dxa"/>
            <w:vAlign w:val="bottom"/>
            <w:tcBorders>
              <w:bottom w:val="single" w:sz="8" w:color="E4E4E4"/>
            </w:tcBorders>
          </w:tcPr>
          <w:p>
            <w:pPr>
              <w:spacing w:after="0"/>
              <w:rPr>
                <w:sz w:val="21"/>
                <w:szCs w:val="21"/>
                <w:color w:val="auto"/>
              </w:rPr>
            </w:pPr>
          </w:p>
        </w:tc>
      </w:tr>
      <w:tr>
        <w:trPr>
          <w:trHeight w:val="220"/>
        </w:trPr>
        <w:tc>
          <w:tcPr>
            <w:tcW w:w="3940" w:type="dxa"/>
            <w:vAlign w:val="bottom"/>
            <w:shd w:val="clear" w:color="auto" w:fill="E4E4E4"/>
          </w:tcPr>
          <w:p>
            <w:pPr>
              <w:spacing w:after="0" w:line="220" w:lineRule="exact"/>
              <w:rPr>
                <w:sz w:val="20"/>
                <w:szCs w:val="20"/>
                <w:color w:val="auto"/>
              </w:rPr>
            </w:pPr>
            <w:r>
              <w:rPr>
                <w:rFonts w:ascii="Arial" w:cs="Arial" w:eastAsia="Arial" w:hAnsi="Arial"/>
                <w:sz w:val="20"/>
                <w:szCs w:val="20"/>
                <w:color w:val="auto"/>
              </w:rPr>
              <w:t>Total direct costs</w:t>
            </w: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rPr>
              <w:t>73,847</w:t>
            </w:r>
          </w:p>
        </w:tc>
        <w:tc>
          <w:tcPr>
            <w:tcW w:w="14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120" w:type="dxa"/>
            <w:vAlign w:val="bottom"/>
            <w:gridSpan w:val="2"/>
            <w:shd w:val="clear" w:color="auto" w:fill="E4E4E4"/>
          </w:tcPr>
          <w:p>
            <w:pPr>
              <w:jc w:val="right"/>
              <w:ind w:right="140"/>
              <w:spacing w:after="0" w:line="220" w:lineRule="exact"/>
              <w:rPr>
                <w:sz w:val="20"/>
                <w:szCs w:val="20"/>
                <w:color w:val="auto"/>
              </w:rPr>
            </w:pPr>
            <w:r>
              <w:rPr>
                <w:rFonts w:ascii="Arial" w:cs="Arial" w:eastAsia="Arial" w:hAnsi="Arial"/>
                <w:sz w:val="20"/>
                <w:szCs w:val="20"/>
                <w:color w:val="auto"/>
              </w:rPr>
              <w:t>47,268</w:t>
            </w:r>
          </w:p>
        </w:tc>
        <w:tc>
          <w:tcPr>
            <w:tcW w:w="120" w:type="dxa"/>
            <w:vAlign w:val="bottom"/>
            <w:shd w:val="clear" w:color="auto" w:fill="E4E4E4"/>
          </w:tcPr>
          <w:p>
            <w:pPr>
              <w:spacing w:after="0"/>
              <w:rPr>
                <w:sz w:val="19"/>
                <w:szCs w:val="19"/>
                <w:color w:val="auto"/>
              </w:rPr>
            </w:pPr>
          </w:p>
        </w:tc>
        <w:tc>
          <w:tcPr>
            <w:tcW w:w="1120" w:type="dxa"/>
            <w:vAlign w:val="bottom"/>
            <w:gridSpan w:val="2"/>
            <w:shd w:val="clear" w:color="auto" w:fill="E4E4E4"/>
          </w:tcPr>
          <w:p>
            <w:pPr>
              <w:jc w:val="right"/>
              <w:ind w:right="140"/>
              <w:spacing w:after="0" w:line="220" w:lineRule="exact"/>
              <w:rPr>
                <w:sz w:val="20"/>
                <w:szCs w:val="20"/>
                <w:color w:val="auto"/>
              </w:rPr>
            </w:pPr>
            <w:r>
              <w:rPr>
                <w:rFonts w:ascii="Arial" w:cs="Arial" w:eastAsia="Arial" w:hAnsi="Arial"/>
                <w:sz w:val="20"/>
                <w:szCs w:val="20"/>
                <w:color w:val="auto"/>
              </w:rPr>
              <w:t>26,579</w:t>
            </w:r>
          </w:p>
        </w:tc>
        <w:tc>
          <w:tcPr>
            <w:tcW w:w="80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rPr>
              <w:t>56</w:t>
            </w:r>
          </w:p>
        </w:tc>
        <w:tc>
          <w:tcPr>
            <w:tcW w:w="180" w:type="dxa"/>
            <w:vAlign w:val="bottom"/>
            <w:shd w:val="clear" w:color="auto" w:fill="E4E4E4"/>
          </w:tcPr>
          <w:p>
            <w:pPr>
              <w:spacing w:after="0"/>
              <w:rPr>
                <w:sz w:val="19"/>
                <w:szCs w:val="19"/>
                <w:color w:val="auto"/>
              </w:rPr>
            </w:pPr>
          </w:p>
        </w:tc>
      </w:tr>
      <w:tr>
        <w:trPr>
          <w:trHeight w:val="220"/>
        </w:trPr>
        <w:tc>
          <w:tcPr>
            <w:tcW w:w="3940" w:type="dxa"/>
            <w:vAlign w:val="bottom"/>
          </w:tcPr>
          <w:p>
            <w:pPr>
              <w:spacing w:after="0" w:line="220" w:lineRule="exact"/>
              <w:rPr>
                <w:sz w:val="20"/>
                <w:szCs w:val="20"/>
                <w:color w:val="auto"/>
              </w:rPr>
            </w:pPr>
            <w:r>
              <w:rPr>
                <w:rFonts w:ascii="Arial" w:cs="Arial" w:eastAsia="Arial" w:hAnsi="Arial"/>
                <w:sz w:val="20"/>
                <w:szCs w:val="20"/>
                <w:color w:val="auto"/>
              </w:rPr>
              <w:t>Indirect costs: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940" w:type="dxa"/>
            <w:vAlign w:val="bottom"/>
            <w:shd w:val="clear" w:color="auto" w:fill="E4E4E4"/>
          </w:tcPr>
          <w:p>
            <w:pPr>
              <w:ind w:left="280"/>
              <w:spacing w:after="0"/>
              <w:rPr>
                <w:sz w:val="20"/>
                <w:szCs w:val="20"/>
                <w:color w:val="auto"/>
              </w:rPr>
            </w:pPr>
            <w:r>
              <w:rPr>
                <w:rFonts w:ascii="Arial" w:cs="Arial" w:eastAsia="Arial" w:hAnsi="Arial"/>
                <w:sz w:val="20"/>
                <w:szCs w:val="20"/>
                <w:color w:val="auto"/>
              </w:rPr>
              <w:t>Personnel-related costs, including stock-</w:t>
            </w: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80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r>
      <w:tr>
        <w:trPr>
          <w:trHeight w:val="230"/>
        </w:trPr>
        <w:tc>
          <w:tcPr>
            <w:tcW w:w="3940" w:type="dxa"/>
            <w:vAlign w:val="bottom"/>
            <w:shd w:val="clear" w:color="auto" w:fill="E4E4E4"/>
          </w:tcPr>
          <w:p>
            <w:pPr>
              <w:ind w:left="460"/>
              <w:spacing w:after="0"/>
              <w:rPr>
                <w:sz w:val="20"/>
                <w:szCs w:val="20"/>
                <w:color w:val="auto"/>
              </w:rPr>
            </w:pPr>
            <w:r>
              <w:rPr>
                <w:rFonts w:ascii="Arial" w:cs="Arial" w:eastAsia="Arial" w:hAnsi="Arial"/>
                <w:sz w:val="20"/>
                <w:szCs w:val="20"/>
                <w:color w:val="auto"/>
              </w:rPr>
              <w:t>based compensation</w:t>
            </w:r>
          </w:p>
        </w:tc>
        <w:tc>
          <w:tcPr>
            <w:tcW w:w="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17,955</w:t>
            </w:r>
          </w:p>
        </w:tc>
        <w:tc>
          <w:tcPr>
            <w:tcW w:w="14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120" w:type="dxa"/>
            <w:vAlign w:val="bottom"/>
            <w:gridSpan w:val="2"/>
            <w:shd w:val="clear" w:color="auto" w:fill="E4E4E4"/>
          </w:tcPr>
          <w:p>
            <w:pPr>
              <w:jc w:val="right"/>
              <w:ind w:right="140"/>
              <w:spacing w:after="0"/>
              <w:rPr>
                <w:sz w:val="20"/>
                <w:szCs w:val="20"/>
                <w:color w:val="auto"/>
              </w:rPr>
            </w:pPr>
            <w:r>
              <w:rPr>
                <w:rFonts w:ascii="Arial" w:cs="Arial" w:eastAsia="Arial" w:hAnsi="Arial"/>
                <w:sz w:val="20"/>
                <w:szCs w:val="20"/>
                <w:color w:val="auto"/>
              </w:rPr>
              <w:t>12,620</w:t>
            </w:r>
          </w:p>
        </w:tc>
        <w:tc>
          <w:tcPr>
            <w:tcW w:w="120" w:type="dxa"/>
            <w:vAlign w:val="bottom"/>
            <w:shd w:val="clear" w:color="auto" w:fill="E4E4E4"/>
          </w:tcPr>
          <w:p>
            <w:pPr>
              <w:spacing w:after="0"/>
              <w:rPr>
                <w:sz w:val="20"/>
                <w:szCs w:val="20"/>
                <w:color w:val="auto"/>
              </w:rPr>
            </w:pPr>
          </w:p>
        </w:tc>
        <w:tc>
          <w:tcPr>
            <w:tcW w:w="9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5,335</w:t>
            </w:r>
          </w:p>
        </w:tc>
        <w:tc>
          <w:tcPr>
            <w:tcW w:w="140" w:type="dxa"/>
            <w:vAlign w:val="bottom"/>
            <w:shd w:val="clear" w:color="auto" w:fill="E4E4E4"/>
          </w:tcPr>
          <w:p>
            <w:pPr>
              <w:spacing w:after="0"/>
              <w:rPr>
                <w:sz w:val="20"/>
                <w:szCs w:val="20"/>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42</w:t>
            </w:r>
          </w:p>
        </w:tc>
        <w:tc>
          <w:tcPr>
            <w:tcW w:w="180" w:type="dxa"/>
            <w:vAlign w:val="bottom"/>
            <w:shd w:val="clear" w:color="auto" w:fill="E4E4E4"/>
          </w:tcPr>
          <w:p>
            <w:pPr>
              <w:spacing w:after="0"/>
              <w:rPr>
                <w:sz w:val="20"/>
                <w:szCs w:val="20"/>
                <w:color w:val="auto"/>
              </w:rPr>
            </w:pPr>
          </w:p>
        </w:tc>
      </w:tr>
      <w:tr>
        <w:trPr>
          <w:trHeight w:val="230"/>
        </w:trPr>
        <w:tc>
          <w:tcPr>
            <w:tcW w:w="3940" w:type="dxa"/>
            <w:vAlign w:val="bottom"/>
            <w:tcBorders>
              <w:bottom w:val="single" w:sz="8" w:color="E4E4E4"/>
            </w:tcBorders>
          </w:tcPr>
          <w:p>
            <w:pPr>
              <w:ind w:left="280"/>
              <w:spacing w:after="0"/>
              <w:rPr>
                <w:sz w:val="20"/>
                <w:szCs w:val="20"/>
                <w:color w:val="auto"/>
              </w:rPr>
            </w:pPr>
            <w:r>
              <w:rPr>
                <w:rFonts w:ascii="Arial" w:cs="Arial" w:eastAsia="Arial" w:hAnsi="Arial"/>
                <w:sz w:val="20"/>
                <w:szCs w:val="20"/>
                <w:color w:val="auto"/>
              </w:rPr>
              <w:t>Facilities and other costs</w:t>
            </w:r>
          </w:p>
        </w:tc>
        <w:tc>
          <w:tcPr>
            <w:tcW w:w="6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1,988</w:t>
            </w:r>
          </w:p>
        </w:tc>
        <w:tc>
          <w:tcPr>
            <w:tcW w:w="140" w:type="dxa"/>
            <w:vAlign w:val="bottom"/>
            <w:tcBorders>
              <w:bottom w:val="single" w:sz="8" w:color="E4E4E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1,576</w:t>
            </w:r>
          </w:p>
        </w:tc>
        <w:tc>
          <w:tcPr>
            <w:tcW w:w="140" w:type="dxa"/>
            <w:vAlign w:val="bottom"/>
            <w:tcBorders>
              <w:bottom w:val="single" w:sz="8" w:color="E4E4E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412</w:t>
            </w:r>
          </w:p>
        </w:tc>
        <w:tc>
          <w:tcPr>
            <w:tcW w:w="140" w:type="dxa"/>
            <w:vAlign w:val="bottom"/>
            <w:tcBorders>
              <w:bottom w:val="single" w:sz="8" w:color="E4E4E4"/>
            </w:tcBorders>
          </w:tcPr>
          <w:p>
            <w:pPr>
              <w:spacing w:after="0"/>
              <w:rPr>
                <w:sz w:val="20"/>
                <w:szCs w:val="20"/>
                <w:color w:val="auto"/>
              </w:rPr>
            </w:pPr>
          </w:p>
        </w:tc>
        <w:tc>
          <w:tcPr>
            <w:tcW w:w="800" w:type="dxa"/>
            <w:vAlign w:val="bottom"/>
            <w:tcBorders>
              <w:bottom w:val="single" w:sz="8" w:color="E4E4E4"/>
            </w:tcBorders>
          </w:tcPr>
          <w:p>
            <w:pPr>
              <w:jc w:val="right"/>
              <w:spacing w:after="0"/>
              <w:rPr>
                <w:sz w:val="20"/>
                <w:szCs w:val="20"/>
                <w:color w:val="auto"/>
              </w:rPr>
            </w:pPr>
            <w:r>
              <w:rPr>
                <w:rFonts w:ascii="Arial" w:cs="Arial" w:eastAsia="Arial" w:hAnsi="Arial"/>
                <w:sz w:val="20"/>
                <w:szCs w:val="20"/>
                <w:color w:val="auto"/>
              </w:rPr>
              <w:t>26</w:t>
            </w:r>
          </w:p>
        </w:tc>
        <w:tc>
          <w:tcPr>
            <w:tcW w:w="180" w:type="dxa"/>
            <w:vAlign w:val="bottom"/>
            <w:tcBorders>
              <w:bottom w:val="single" w:sz="8" w:color="E4E4E4"/>
            </w:tcBorders>
          </w:tcPr>
          <w:p>
            <w:pPr>
              <w:spacing w:after="0"/>
              <w:rPr>
                <w:sz w:val="20"/>
                <w:szCs w:val="20"/>
                <w:color w:val="auto"/>
              </w:rPr>
            </w:pPr>
          </w:p>
        </w:tc>
      </w:tr>
      <w:tr>
        <w:trPr>
          <w:trHeight w:val="221"/>
        </w:trPr>
        <w:tc>
          <w:tcPr>
            <w:tcW w:w="3940" w:type="dxa"/>
            <w:vAlign w:val="bottom"/>
            <w:shd w:val="clear" w:color="auto" w:fill="E4E4E4"/>
          </w:tcPr>
          <w:p>
            <w:pPr>
              <w:spacing w:after="0" w:line="220" w:lineRule="exact"/>
              <w:rPr>
                <w:sz w:val="20"/>
                <w:szCs w:val="20"/>
                <w:color w:val="auto"/>
              </w:rPr>
            </w:pPr>
            <w:r>
              <w:rPr>
                <w:rFonts w:ascii="Arial" w:cs="Arial" w:eastAsia="Arial" w:hAnsi="Arial"/>
                <w:sz w:val="20"/>
                <w:szCs w:val="20"/>
                <w:color w:val="auto"/>
                <w:shd w:val="clear" w:color="auto" w:fill="E4E4E4"/>
              </w:rPr>
              <w:t>Total research and development expenses</w:t>
            </w: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line="221" w:lineRule="exact"/>
              <w:rPr>
                <w:sz w:val="20"/>
                <w:szCs w:val="20"/>
                <w:color w:val="auto"/>
              </w:rPr>
            </w:pPr>
            <w:r>
              <w:rPr>
                <w:rFonts w:ascii="Arial" w:cs="Arial" w:eastAsia="Arial" w:hAnsi="Arial"/>
                <w:sz w:val="20"/>
                <w:szCs w:val="20"/>
                <w:color w:val="auto"/>
              </w:rPr>
              <w:t>$ 93,790</w:t>
            </w:r>
          </w:p>
        </w:tc>
        <w:tc>
          <w:tcPr>
            <w:tcW w:w="260" w:type="dxa"/>
            <w:vAlign w:val="bottom"/>
            <w:gridSpan w:val="2"/>
            <w:shd w:val="clear" w:color="auto" w:fill="E4E4E4"/>
          </w:tcPr>
          <w:p>
            <w:pPr>
              <w:jc w:val="right"/>
              <w:spacing w:after="0" w:line="221" w:lineRule="exact"/>
              <w:rPr>
                <w:sz w:val="20"/>
                <w:szCs w:val="20"/>
                <w:color w:val="auto"/>
              </w:rPr>
            </w:pPr>
            <w:r>
              <w:rPr>
                <w:rFonts w:ascii="Arial" w:cs="Arial" w:eastAsia="Arial" w:hAnsi="Arial"/>
                <w:sz w:val="20"/>
                <w:szCs w:val="20"/>
                <w:color w:val="auto"/>
              </w:rPr>
              <w:t>$</w:t>
            </w:r>
          </w:p>
        </w:tc>
        <w:tc>
          <w:tcPr>
            <w:tcW w:w="1120" w:type="dxa"/>
            <w:vAlign w:val="bottom"/>
            <w:gridSpan w:val="2"/>
            <w:shd w:val="clear" w:color="auto" w:fill="E4E4E4"/>
          </w:tcPr>
          <w:p>
            <w:pPr>
              <w:jc w:val="right"/>
              <w:ind w:right="140"/>
              <w:spacing w:after="0" w:line="221" w:lineRule="exact"/>
              <w:rPr>
                <w:sz w:val="20"/>
                <w:szCs w:val="20"/>
                <w:color w:val="auto"/>
              </w:rPr>
            </w:pPr>
            <w:r>
              <w:rPr>
                <w:rFonts w:ascii="Arial" w:cs="Arial" w:eastAsia="Arial" w:hAnsi="Arial"/>
                <w:sz w:val="20"/>
                <w:szCs w:val="20"/>
                <w:color w:val="auto"/>
              </w:rPr>
              <w:t>61,464</w:t>
            </w:r>
          </w:p>
        </w:tc>
        <w:tc>
          <w:tcPr>
            <w:tcW w:w="120" w:type="dxa"/>
            <w:vAlign w:val="bottom"/>
            <w:shd w:val="clear" w:color="auto" w:fill="E4E4E4"/>
          </w:tcPr>
          <w:p>
            <w:pPr>
              <w:jc w:val="right"/>
              <w:spacing w:after="0" w:line="221" w:lineRule="exact"/>
              <w:rPr>
                <w:sz w:val="20"/>
                <w:szCs w:val="20"/>
                <w:color w:val="auto"/>
              </w:rPr>
            </w:pPr>
            <w:r>
              <w:rPr>
                <w:rFonts w:ascii="Arial" w:cs="Arial" w:eastAsia="Arial" w:hAnsi="Arial"/>
                <w:sz w:val="20"/>
                <w:szCs w:val="20"/>
                <w:color w:val="auto"/>
                <w:w w:val="89"/>
              </w:rPr>
              <w:t>$</w:t>
            </w:r>
          </w:p>
        </w:tc>
        <w:tc>
          <w:tcPr>
            <w:tcW w:w="1120" w:type="dxa"/>
            <w:vAlign w:val="bottom"/>
            <w:gridSpan w:val="2"/>
            <w:shd w:val="clear" w:color="auto" w:fill="E4E4E4"/>
          </w:tcPr>
          <w:p>
            <w:pPr>
              <w:jc w:val="right"/>
              <w:ind w:right="140"/>
              <w:spacing w:after="0" w:line="221" w:lineRule="exact"/>
              <w:rPr>
                <w:sz w:val="20"/>
                <w:szCs w:val="20"/>
                <w:color w:val="auto"/>
              </w:rPr>
            </w:pPr>
            <w:r>
              <w:rPr>
                <w:rFonts w:ascii="Arial" w:cs="Arial" w:eastAsia="Arial" w:hAnsi="Arial"/>
                <w:sz w:val="20"/>
                <w:szCs w:val="20"/>
                <w:color w:val="auto"/>
              </w:rPr>
              <w:t>32,326</w:t>
            </w:r>
          </w:p>
        </w:tc>
        <w:tc>
          <w:tcPr>
            <w:tcW w:w="80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rPr>
              <w:t>53</w:t>
            </w:r>
          </w:p>
        </w:tc>
        <w:tc>
          <w:tcPr>
            <w:tcW w:w="180" w:type="dxa"/>
            <w:vAlign w:val="bottom"/>
            <w:shd w:val="clear" w:color="auto" w:fill="E4E4E4"/>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4935855</wp:posOffset>
                </wp:positionH>
                <wp:positionV relativeFrom="paragraph">
                  <wp:posOffset>-1773555</wp:posOffset>
                </wp:positionV>
                <wp:extent cx="9906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060" cy="4763"/>
                        </a:xfrm>
                        <a:prstGeom prst="line">
                          <a:avLst/>
                        </a:prstGeom>
                        <a:solidFill>
                          <a:srgbClr val="FFFFFF"/>
                        </a:solidFill>
                        <a:ln w="6095">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65pt,-139.6499pt" to="396.45pt,-139.6499pt" o:allowincell="f" strokecolor="#FFFFFF" strokeweight="0.4799pt"/>
            </w:pict>
          </mc:Fallback>
        </mc:AlternateContent>
      </w:r>
    </w:p>
    <w:p>
      <w:pPr>
        <w:spacing w:after="0" w:line="121"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Research and development expenses increased by $ 32.3 million, from $61.5 million for the year ended December 31, 2022 to $93.8 million for the year ended December 31, 2023. The increase was driven primarily by an increase in expenses for fosgonimeton of $27.1 million related to continued patient enrollment and clinical site visit activity for our Phase 2/3 clinical trial and the corresponding open-label extension for our Phase 2 and Phase 2/3 clinical trials, as well as higher costs relating to manufacturing process development and increases in manufacturing batch size capabilities, an increase in personnel-related costs of $5.3 million due to changes in headcount and an increase in stock-based compensation expense in connection with current period equity grants to new hires and existing employees, an increase in preclinical research and development expenses of $ 0.6 million, and an increase of $ 0.4 million related to facilities and other indirect costs, partially offset by a decrease in ATH-1020 program expenses of $1.2 million.</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and Administrative Expenses</w:t>
      </w:r>
    </w:p>
    <w:p>
      <w:pPr>
        <w:spacing w:after="0" w:line="116"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9"/>
          <w:szCs w:val="19"/>
          <w:color w:val="auto"/>
        </w:rPr>
        <w:t>General and administrative expenses increased by $0.7 million, from $32.6 million for the year ended December 31, 2022 to $33.3 million for the year ended December 31, 2023. The increase was primarily due to an increase in personnel-related expenses of $1.0 million driven by changes in headcount, an</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126</w:t>
      </w:r>
    </w:p>
    <w:p>
      <w:pPr>
        <w:sectPr>
          <w:pgSz w:w="11880" w:h="15474" w:orient="portrait"/>
          <w:cols w:equalWidth="0" w:num="1">
            <w:col w:w="9360"/>
          </w:cols>
          <w:pgMar w:left="1240" w:top="1251" w:right="1274" w:bottom="0" w:gutter="0" w:footer="0" w:header="0"/>
          <w:type w:val="continuous"/>
        </w:sectPr>
      </w:pPr>
    </w:p>
    <w:bookmarkStart w:id="132" w:name="page133"/>
    <w:bookmarkEnd w:id="132"/>
    <w:p>
      <w:pPr>
        <w:jc w:val="both"/>
        <w:spacing w:after="0" w:line="281" w:lineRule="auto"/>
        <w:rPr>
          <w:sz w:val="20"/>
          <w:szCs w:val="20"/>
          <w:color w:val="auto"/>
        </w:rPr>
      </w:pPr>
      <w:r>
        <w:rPr>
          <w:rFonts w:ascii="Arial" w:cs="Arial" w:eastAsia="Arial" w:hAnsi="Arial"/>
          <w:sz w:val="19"/>
          <w:szCs w:val="19"/>
          <w:color w:val="auto"/>
        </w:rPr>
        <w:t>increase in consulting and professional services expenses of $0.7 million, an increase in business development expenses of $0.4 million, and an increase in facilities expenses of $0.3 million, partially offset by a decrease in general corporate expenses of $0.9 million and a decrease in legal costs of $0.8 million.</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Legal Settlement Expense and Insurance Recovery Related to Legal Settlement</w:t>
      </w:r>
    </w:p>
    <w:p>
      <w:pPr>
        <w:spacing w:after="0" w:line="115"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In connection with the proposed settlement of the securities class action litigation, we recorded a legal settlement expense of $10.0 million for the year ended December 31, 2022. Additionally, we recorded an insurance recovery of $1.6 million for the year ended December 31, 2023, representing the amount of the settlement to be covered by our insurers. For more information see the section of this report titled “Legal Proceedings—Securities Class Actions".</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Grant Income</w:t>
      </w:r>
    </w:p>
    <w:p>
      <w:pPr>
        <w:spacing w:after="0" w:line="115"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Grant income decreased by $5.0 million, from $5.2 million for the year ended December 31, 2022 to $0.2 million for the year ended December 31, 2023. Grant income recognized during the year ended December 31, 2023 of $0.2 million represented the remaining balance of the total $15.2 million approved grant amount available at the beginning of the year, all of which was recognized during the three months ended March 31, 2023.</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116"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Other income, net, increased by $4.4 million, from $3.2 million for the year ended December 31, 2022 to $7.6 million for the year ended December 31, 2023 due to higher income from accretion of discounts on debt securities purchased below par value and held to maturity, in addition to higher interest income earned on our available-for-sale securities resulting from rising interest rates on debt securities.</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Sources of Liquidity</w:t>
      </w:r>
    </w:p>
    <w:p>
      <w:pPr>
        <w:spacing w:after="0" w:line="117" w:lineRule="exact"/>
        <w:rPr>
          <w:sz w:val="20"/>
          <w:szCs w:val="20"/>
          <w:color w:val="auto"/>
        </w:rPr>
      </w:pPr>
    </w:p>
    <w:p>
      <w:pPr>
        <w:jc w:val="both"/>
        <w:ind w:firstLine="489"/>
        <w:spacing w:after="0" w:line="248" w:lineRule="auto"/>
        <w:rPr>
          <w:sz w:val="20"/>
          <w:szCs w:val="20"/>
          <w:color w:val="auto"/>
        </w:rPr>
      </w:pPr>
      <w:r>
        <w:rPr>
          <w:rFonts w:ascii="Arial" w:cs="Arial" w:eastAsia="Arial" w:hAnsi="Arial"/>
          <w:sz w:val="20"/>
          <w:szCs w:val="20"/>
          <w:color w:val="auto"/>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December 31, 2023, we have raised aggregate net cash proceeds of $407.4 million primarily from the issuance of our common stock (excluding option exercises), convertible preferred stock, common stock warrants, and convertible notes.</w:t>
      </w:r>
    </w:p>
    <w:p>
      <w:pPr>
        <w:spacing w:after="0" w:line="224"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As of December 31, 2023, we had $147.4 million in cash, cash equivalents and investments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Material Cash and Future Funding Requirements</w:t>
      </w:r>
    </w:p>
    <w:p>
      <w:pPr>
        <w:spacing w:after="0" w:line="115"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Our material cash requirements include our operating leases for laboratory and office facilities. As of December 31, 2023, we had lease payment obligations of $1.8 million, with $0.5 million payable within 12 months. For additional information regarding our lease commitments, see Note 7 to our consolidated financial statements included elsewhere in this report. We are contingently committed to $0.9 million of potential future milestone payments, in addition to sales-based payments and royalties, under our license agreement with WSU. Payments generally are due and payable only upon achievement of certain developmental, regulatory, and sales milestones for which the specific timing cannot be predicted. Refer to Note 6 to our consolidated financial statements for additional information regarding the WSU license agreement. Additionally, we have purchase obligations and open purchase orders that support normal</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127</w:t>
      </w:r>
    </w:p>
    <w:p>
      <w:pPr>
        <w:sectPr>
          <w:pgSz w:w="11880" w:h="15474" w:orient="portrait"/>
          <w:cols w:equalWidth="0" w:num="1">
            <w:col w:w="9360"/>
          </w:cols>
          <w:pgMar w:left="1240" w:top="1255" w:right="1274" w:bottom="0" w:gutter="0" w:footer="0" w:header="0"/>
          <w:type w:val="continuous"/>
        </w:sectPr>
      </w:pPr>
    </w:p>
    <w:bookmarkStart w:id="133" w:name="page134"/>
    <w:bookmarkEnd w:id="133"/>
    <w:p>
      <w:pPr>
        <w:jc w:val="both"/>
        <w:ind w:left="1"/>
        <w:spacing w:after="0" w:line="247" w:lineRule="auto"/>
        <w:rPr>
          <w:sz w:val="20"/>
          <w:szCs w:val="20"/>
          <w:color w:val="auto"/>
        </w:rPr>
      </w:pPr>
      <w:r>
        <w:rPr>
          <w:rFonts w:ascii="Arial" w:cs="Arial" w:eastAsia="Arial" w:hAnsi="Arial"/>
          <w:sz w:val="20"/>
          <w:szCs w:val="20"/>
          <w:color w:val="auto"/>
        </w:rPr>
        <w:t>operations and are primarily due in the next 12 months. These purchase obligations and open purchase orders are generally cancellable in full or in part through the contractual provisions. We also anticipate that our research and development expenses and our general and administrative expenses will increase over at least the near-term as we advance our clinical development and our drug candidates through clinical trials, increase our headcount to support our operations, and incur legal and other professional expenses related to our ongoing legal proceedings. We cannot predict with certainty the amount and timing of these increased expenses.</w:t>
      </w:r>
    </w:p>
    <w:p>
      <w:pPr>
        <w:spacing w:after="0" w:line="73" w:lineRule="exact"/>
        <w:rPr>
          <w:sz w:val="20"/>
          <w:szCs w:val="20"/>
          <w:color w:val="auto"/>
        </w:rPr>
      </w:pPr>
    </w:p>
    <w:p>
      <w:pPr>
        <w:jc w:val="both"/>
        <w:ind w:left="1" w:firstLine="490"/>
        <w:spacing w:after="0" w:line="241" w:lineRule="auto"/>
        <w:rPr>
          <w:sz w:val="20"/>
          <w:szCs w:val="20"/>
          <w:color w:val="auto"/>
        </w:rPr>
      </w:pPr>
      <w:r>
        <w:rPr>
          <w:rFonts w:ascii="Arial" w:cs="Arial" w:eastAsia="Arial" w:hAnsi="Arial"/>
          <w:sz w:val="20"/>
          <w:szCs w:val="20"/>
          <w:color w:val="auto"/>
        </w:rPr>
        <w:t>Based upon our current operating plan, we estimate that our $147.4 million of cash, cash equivalents and investments at December 31, 2023 will be sufficient to fund our operating expenses and capital expenditure requirements through at least the next 12 months following the date of this report. We will need to raise substantial additional capital to fund the development of our drug candidates. Until such time as we can generate significant revenue from drug product sales, we expect to finance our operations through the sale of equity securities, debt financings, or other capital, which could include income from collaboration, licensing or similar arrangements with third parties, or receiving research contributions, or grants. For example, in January 2023, we entered into a sales agreement with Cantor Fitzgerald and BTIG to sell shares of our common stock having aggregate sales proceeds of up to $75.0 million, from time to time, through an ATM equity offering program under which Cantor Fitzgerald and BTIG are acting as sales agents. As of the date of this report, we have not sold any securities pursuant to this ATM offering.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drug candidates or grant licenses on terms that may not be favorable to us 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flows from operating activities.</w:t>
      </w:r>
    </w:p>
    <w:p>
      <w:pPr>
        <w:spacing w:after="0" w:line="214" w:lineRule="exact"/>
        <w:rPr>
          <w:sz w:val="20"/>
          <w:szCs w:val="20"/>
          <w:color w:val="auto"/>
        </w:rPr>
      </w:pPr>
    </w:p>
    <w:p>
      <w:pPr>
        <w:jc w:val="both"/>
        <w:ind w:left="1" w:firstLine="490"/>
        <w:spacing w:after="0" w:line="250" w:lineRule="auto"/>
        <w:rPr>
          <w:sz w:val="20"/>
          <w:szCs w:val="20"/>
          <w:color w:val="auto"/>
        </w:rPr>
      </w:pPr>
      <w:r>
        <w:rPr>
          <w:rFonts w:ascii="Arial" w:cs="Arial" w:eastAsia="Arial" w:hAnsi="Arial"/>
          <w:sz w:val="20"/>
          <w:szCs w:val="20"/>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86" w:lineRule="exact"/>
        <w:rPr>
          <w:sz w:val="20"/>
          <w:szCs w:val="20"/>
          <w:color w:val="auto"/>
        </w:rPr>
      </w:pPr>
    </w:p>
    <w:p>
      <w:pPr>
        <w:ind w:left="361" w:hanging="361"/>
        <w:spacing w:after="0" w:line="283" w:lineRule="auto"/>
        <w:tabs>
          <w:tab w:leader="none" w:pos="361"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scope, timing, progress and results of our ongoing preclinical studies and clinical trials of our drug candidates;</w:t>
      </w:r>
    </w:p>
    <w:p>
      <w:pPr>
        <w:spacing w:after="0" w:line="50" w:lineRule="exact"/>
        <w:rPr>
          <w:rFonts w:ascii="Arial" w:cs="Arial" w:eastAsia="Arial" w:hAnsi="Arial"/>
          <w:sz w:val="20"/>
          <w:szCs w:val="20"/>
          <w:color w:val="auto"/>
        </w:rPr>
      </w:pPr>
    </w:p>
    <w:p>
      <w:pPr>
        <w:ind w:left="361" w:hanging="361"/>
        <w:spacing w:after="0" w:line="283" w:lineRule="auto"/>
        <w:tabs>
          <w:tab w:leader="none" w:pos="361"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number of trials required for regulatory approval, in particular with respect to fosgonimeton for the treatment of mild-to-moderate AD;</w:t>
      </w:r>
    </w:p>
    <w:p>
      <w:pPr>
        <w:spacing w:after="0" w:line="51" w:lineRule="exact"/>
        <w:rPr>
          <w:rFonts w:ascii="Arial" w:cs="Arial" w:eastAsia="Arial" w:hAnsi="Arial"/>
          <w:sz w:val="20"/>
          <w:szCs w:val="20"/>
          <w:color w:val="auto"/>
        </w:rPr>
      </w:pPr>
    </w:p>
    <w:p>
      <w:pPr>
        <w:ind w:left="361" w:hanging="361"/>
        <w:spacing w:after="0" w:line="283" w:lineRule="auto"/>
        <w:tabs>
          <w:tab w:leader="none" w:pos="361"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scope, progress, results and costs of preclinical development, laboratory testing and clinical trials of other drug candidates that we may pursue;</w:t>
      </w:r>
    </w:p>
    <w:p>
      <w:pPr>
        <w:spacing w:after="0" w:line="50" w:lineRule="exact"/>
        <w:rPr>
          <w:rFonts w:ascii="Arial" w:cs="Arial" w:eastAsia="Arial" w:hAnsi="Arial"/>
          <w:sz w:val="20"/>
          <w:szCs w:val="20"/>
          <w:color w:val="auto"/>
        </w:rPr>
      </w:pPr>
    </w:p>
    <w:p>
      <w:pPr>
        <w:jc w:val="both"/>
        <w:ind w:left="361" w:hanging="361"/>
        <w:spacing w:after="0" w:line="262" w:lineRule="auto"/>
        <w:tabs>
          <w:tab w:leader="none" w:pos="361" w:val="left"/>
        </w:tabs>
        <w:numPr>
          <w:ilvl w:val="0"/>
          <w:numId w:val="62"/>
        </w:numPr>
        <w:rPr>
          <w:rFonts w:ascii="Arial" w:cs="Arial" w:eastAsia="Arial" w:hAnsi="Arial"/>
          <w:sz w:val="20"/>
          <w:szCs w:val="20"/>
          <w:color w:val="auto"/>
        </w:rPr>
      </w:pPr>
      <w:r>
        <w:rPr>
          <w:rFonts w:ascii="Arial" w:cs="Arial" w:eastAsia="Arial" w:hAnsi="Arial"/>
          <w:sz w:val="20"/>
          <w:szCs w:val="20"/>
          <w:color w:val="auto"/>
        </w:rPr>
        <w:t>our ability to establish and maintain collaboration, licensing or other similar arrangements, and the financial terms of any such arrangements, including the timing and amount of any future milestone, royalty or other payments due thereunder;</w:t>
      </w:r>
    </w:p>
    <w:p>
      <w:pPr>
        <w:sectPr>
          <w:pgSz w:w="11880" w:h="15474" w:orient="portrait"/>
          <w:cols w:equalWidth="0" w:num="1">
            <w:col w:w="9361"/>
          </w:cols>
          <w:pgMar w:left="1239"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128</w:t>
      </w:r>
    </w:p>
    <w:p>
      <w:pPr>
        <w:sectPr>
          <w:pgSz w:w="11880" w:h="15474" w:orient="portrait"/>
          <w:cols w:equalWidth="0" w:num="1">
            <w:col w:w="9361"/>
          </w:cols>
          <w:pgMar w:left="1239" w:top="1255" w:right="1274" w:bottom="0" w:gutter="0" w:footer="0" w:header="0"/>
          <w:type w:val="continuous"/>
        </w:sectPr>
      </w:pPr>
    </w:p>
    <w:bookmarkStart w:id="134" w:name="page135"/>
    <w:bookmarkEnd w:id="134"/>
    <w:p>
      <w:pPr>
        <w:ind w:left="361" w:hanging="360"/>
        <w:spacing w:after="0"/>
        <w:tabs>
          <w:tab w:leader="none" w:pos="361"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costs, timing and outcome of regulatory review of our drug candidates;</w:t>
      </w:r>
    </w:p>
    <w:p>
      <w:pPr>
        <w:spacing w:after="0" w:line="133" w:lineRule="exact"/>
        <w:rPr>
          <w:rFonts w:ascii="Arial" w:cs="Arial" w:eastAsia="Arial" w:hAnsi="Arial"/>
          <w:sz w:val="20"/>
          <w:szCs w:val="20"/>
          <w:color w:val="auto"/>
        </w:rPr>
      </w:pPr>
    </w:p>
    <w:p>
      <w:pPr>
        <w:jc w:val="both"/>
        <w:ind w:left="361" w:hanging="360"/>
        <w:spacing w:after="0" w:line="261" w:lineRule="auto"/>
        <w:tabs>
          <w:tab w:leader="none" w:pos="361"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costs and timing of future commercialization activities, including drug product manufacturing, marketing, sales and distribution, for any of our drug candidates for which we receive marketing approval;</w:t>
      </w:r>
    </w:p>
    <w:p>
      <w:pPr>
        <w:spacing w:after="0" w:line="72" w:lineRule="exact"/>
        <w:rPr>
          <w:rFonts w:ascii="Arial" w:cs="Arial" w:eastAsia="Arial" w:hAnsi="Arial"/>
          <w:sz w:val="20"/>
          <w:szCs w:val="20"/>
          <w:color w:val="auto"/>
        </w:rPr>
      </w:pPr>
    </w:p>
    <w:p>
      <w:pPr>
        <w:ind w:left="361" w:hanging="360"/>
        <w:spacing w:after="0" w:line="283" w:lineRule="auto"/>
        <w:tabs>
          <w:tab w:leader="none" w:pos="361"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revenue, if any, received from commercial sales of our drug candidates for which we receive marketing approval;</w:t>
      </w:r>
    </w:p>
    <w:p>
      <w:pPr>
        <w:spacing w:after="0" w:line="50" w:lineRule="exact"/>
        <w:rPr>
          <w:rFonts w:ascii="Arial" w:cs="Arial" w:eastAsia="Arial" w:hAnsi="Arial"/>
          <w:sz w:val="20"/>
          <w:szCs w:val="20"/>
          <w:color w:val="auto"/>
        </w:rPr>
      </w:pPr>
    </w:p>
    <w:p>
      <w:pPr>
        <w:ind w:left="361" w:hanging="361"/>
        <w:spacing w:after="0" w:line="283" w:lineRule="auto"/>
        <w:tabs>
          <w:tab w:leader="none" w:pos="361"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costs and timing of preparing, filing and prosecuting patent applications, maintaining and enforcing our intellectual property rights and defending any intellectual property-related claims;</w:t>
      </w:r>
    </w:p>
    <w:p>
      <w:pPr>
        <w:spacing w:after="0" w:line="51" w:lineRule="exact"/>
        <w:rPr>
          <w:rFonts w:ascii="Arial" w:cs="Arial" w:eastAsia="Arial" w:hAnsi="Arial"/>
          <w:sz w:val="20"/>
          <w:szCs w:val="20"/>
          <w:color w:val="auto"/>
        </w:rPr>
      </w:pPr>
    </w:p>
    <w:p>
      <w:pPr>
        <w:ind w:left="361" w:hanging="361"/>
        <w:spacing w:after="0"/>
        <w:tabs>
          <w:tab w:leader="none" w:pos="361"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costs related to ongoing legal proceedings;</w:t>
      </w:r>
    </w:p>
    <w:p>
      <w:pPr>
        <w:spacing w:after="0" w:line="133" w:lineRule="exact"/>
        <w:rPr>
          <w:rFonts w:ascii="Arial" w:cs="Arial" w:eastAsia="Arial" w:hAnsi="Arial"/>
          <w:sz w:val="20"/>
          <w:szCs w:val="20"/>
          <w:color w:val="auto"/>
        </w:rPr>
      </w:pPr>
    </w:p>
    <w:p>
      <w:pPr>
        <w:ind w:left="361" w:hanging="361"/>
        <w:spacing w:after="0"/>
        <w:tabs>
          <w:tab w:leader="none" w:pos="361"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any expenses needed to attract, hire and retain skilled personnel;</w:t>
      </w:r>
    </w:p>
    <w:p>
      <w:pPr>
        <w:spacing w:after="0" w:line="133" w:lineRule="exact"/>
        <w:rPr>
          <w:rFonts w:ascii="Arial" w:cs="Arial" w:eastAsia="Arial" w:hAnsi="Arial"/>
          <w:sz w:val="20"/>
          <w:szCs w:val="20"/>
          <w:color w:val="auto"/>
        </w:rPr>
      </w:pPr>
    </w:p>
    <w:p>
      <w:pPr>
        <w:ind w:left="361" w:hanging="361"/>
        <w:spacing w:after="0"/>
        <w:tabs>
          <w:tab w:leader="none" w:pos="361"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costs of operating as a public company;</w:t>
      </w:r>
    </w:p>
    <w:p>
      <w:pPr>
        <w:spacing w:after="0" w:line="133" w:lineRule="exact"/>
        <w:rPr>
          <w:rFonts w:ascii="Arial" w:cs="Arial" w:eastAsia="Arial" w:hAnsi="Arial"/>
          <w:sz w:val="20"/>
          <w:szCs w:val="20"/>
          <w:color w:val="auto"/>
        </w:rPr>
      </w:pPr>
    </w:p>
    <w:p>
      <w:pPr>
        <w:ind w:left="361" w:hanging="361"/>
        <w:spacing w:after="0"/>
        <w:tabs>
          <w:tab w:leader="none" w:pos="361"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costs associated with expanding our laboratory and office facilities; and</w:t>
      </w:r>
    </w:p>
    <w:p>
      <w:pPr>
        <w:spacing w:after="0" w:line="133" w:lineRule="exact"/>
        <w:rPr>
          <w:rFonts w:ascii="Arial" w:cs="Arial" w:eastAsia="Arial" w:hAnsi="Arial"/>
          <w:sz w:val="20"/>
          <w:szCs w:val="20"/>
          <w:color w:val="auto"/>
        </w:rPr>
      </w:pPr>
    </w:p>
    <w:p>
      <w:pPr>
        <w:ind w:left="361" w:hanging="361"/>
        <w:spacing w:after="0" w:line="282" w:lineRule="auto"/>
        <w:tabs>
          <w:tab w:leader="none" w:pos="361"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extent to which we acquire or in-license other companies’ product candidates and technologies or engage in other strategic transactions.</w:t>
      </w:r>
    </w:p>
    <w:p>
      <w:pPr>
        <w:spacing w:after="0" w:line="159" w:lineRule="exact"/>
        <w:rPr>
          <w:sz w:val="20"/>
          <w:szCs w:val="20"/>
          <w:color w:val="auto"/>
        </w:rPr>
      </w:pPr>
    </w:p>
    <w:p>
      <w:pPr>
        <w:jc w:val="both"/>
        <w:ind w:left="1" w:firstLine="490"/>
        <w:spacing w:after="0" w:line="254" w:lineRule="auto"/>
        <w:rPr>
          <w:sz w:val="20"/>
          <w:szCs w:val="20"/>
          <w:color w:val="auto"/>
        </w:rPr>
      </w:pPr>
      <w:r>
        <w:rPr>
          <w:rFonts w:ascii="Arial" w:cs="Arial" w:eastAsia="Arial" w:hAnsi="Arial"/>
          <w:sz w:val="20"/>
          <w:szCs w:val="20"/>
          <w:color w:val="auto"/>
        </w:rPr>
        <w:t>A change in the outcome of any of these or other factors with respect to the development of any of our drug candidates could significantly change the costs and timing associated with the development of that drug candidate. Furthermore, our operating plan may change in the future, and we may need additional funds to meet operational needs and capital requirements associated with such operating plan.</w:t>
      </w:r>
    </w:p>
    <w:p>
      <w:pPr>
        <w:spacing w:after="0" w:line="310" w:lineRule="exact"/>
        <w:rPr>
          <w:sz w:val="20"/>
          <w:szCs w:val="20"/>
          <w:color w:val="auto"/>
        </w:rPr>
      </w:pPr>
    </w:p>
    <w:p>
      <w:pPr>
        <w:ind w:left="1"/>
        <w:spacing w:after="0"/>
        <w:rPr>
          <w:sz w:val="20"/>
          <w:szCs w:val="20"/>
          <w:color w:val="auto"/>
        </w:rPr>
      </w:pPr>
      <w:r>
        <w:rPr>
          <w:rFonts w:ascii="Arial" w:cs="Arial" w:eastAsia="Arial" w:hAnsi="Arial"/>
          <w:sz w:val="20"/>
          <w:szCs w:val="20"/>
          <w:b w:val="1"/>
          <w:bCs w:val="1"/>
          <w:i w:val="1"/>
          <w:iCs w:val="1"/>
          <w:color w:val="auto"/>
        </w:rPr>
        <w:t>Cash Flows</w:t>
      </w:r>
    </w:p>
    <w:p>
      <w:pPr>
        <w:spacing w:after="0" w:line="116" w:lineRule="exact"/>
        <w:rPr>
          <w:sz w:val="20"/>
          <w:szCs w:val="20"/>
          <w:color w:val="auto"/>
        </w:rPr>
      </w:pPr>
    </w:p>
    <w:p>
      <w:pPr>
        <w:ind w:left="481"/>
        <w:spacing w:after="0"/>
        <w:rPr>
          <w:sz w:val="20"/>
          <w:szCs w:val="20"/>
          <w:color w:val="auto"/>
        </w:rPr>
      </w:pPr>
      <w:r>
        <w:rPr>
          <w:rFonts w:ascii="Arial" w:cs="Arial" w:eastAsia="Arial" w:hAnsi="Arial"/>
          <w:sz w:val="20"/>
          <w:szCs w:val="20"/>
          <w:color w:val="auto"/>
        </w:rPr>
        <w:t>The following table summarizes our cash flows for the periods indicated:</w:t>
      </w:r>
    </w:p>
    <w:p>
      <w:pPr>
        <w:spacing w:after="0" w:line="232" w:lineRule="exact"/>
        <w:rPr>
          <w:sz w:val="20"/>
          <w:szCs w:val="20"/>
          <w:color w:val="auto"/>
        </w:rPr>
      </w:pPr>
    </w:p>
    <w:tbl>
      <w:tblPr>
        <w:tblLayout w:type="fixed"/>
        <w:tblInd w:w="941" w:type="dxa"/>
        <w:tblCellMar>
          <w:top w:w="0" w:type="dxa"/>
          <w:left w:w="0" w:type="dxa"/>
          <w:bottom w:w="0" w:type="dxa"/>
          <w:right w:w="0" w:type="dxa"/>
        </w:tblCellMar>
      </w:tblPr>
      <w:tr>
        <w:trPr>
          <w:trHeight w:val="202"/>
        </w:trPr>
        <w:tc>
          <w:tcPr>
            <w:tcW w:w="5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6"/>
          </w:tcPr>
          <w:p>
            <w:pPr>
              <w:jc w:val="right"/>
              <w:ind w:right="120"/>
              <w:spacing w:after="0"/>
              <w:rPr>
                <w:sz w:val="20"/>
                <w:szCs w:val="20"/>
                <w:color w:val="auto"/>
              </w:rPr>
            </w:pPr>
            <w:r>
              <w:rPr>
                <w:rFonts w:ascii="Arial" w:cs="Arial" w:eastAsia="Arial" w:hAnsi="Arial"/>
                <w:sz w:val="16"/>
                <w:szCs w:val="16"/>
                <w:b w:val="1"/>
                <w:bCs w:val="1"/>
                <w:color w:val="auto"/>
                <w:w w:val="98"/>
              </w:rPr>
              <w:t>Year Ended December 31,</w:t>
            </w:r>
          </w:p>
        </w:tc>
      </w:tr>
      <w:tr>
        <w:trPr>
          <w:trHeight w:val="174"/>
        </w:trPr>
        <w:tc>
          <w:tcPr>
            <w:tcW w:w="5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49"/>
              <w:spacing w:after="0" w:line="175"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44"/>
              <w:spacing w:after="0" w:line="175" w:lineRule="exact"/>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5"/>
                <w:szCs w:val="15"/>
                <w:color w:val="auto"/>
              </w:rPr>
            </w:pPr>
          </w:p>
        </w:tc>
      </w:tr>
      <w:tr>
        <w:trPr>
          <w:trHeight w:val="173"/>
        </w:trPr>
        <w:tc>
          <w:tcPr>
            <w:tcW w:w="5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6"/>
          </w:tcPr>
          <w:p>
            <w:pPr>
              <w:jc w:val="right"/>
              <w:ind w:right="540"/>
              <w:spacing w:after="0" w:line="173" w:lineRule="exact"/>
              <w:rPr>
                <w:sz w:val="20"/>
                <w:szCs w:val="20"/>
                <w:color w:val="auto"/>
              </w:rPr>
            </w:pPr>
            <w:r>
              <w:rPr>
                <w:rFonts w:ascii="Arial" w:cs="Arial" w:eastAsia="Arial" w:hAnsi="Arial"/>
                <w:sz w:val="16"/>
                <w:szCs w:val="16"/>
                <w:b w:val="1"/>
                <w:bCs w:val="1"/>
                <w:color w:val="auto"/>
              </w:rPr>
              <w:t>(in thousands)</w:t>
            </w:r>
          </w:p>
        </w:tc>
      </w:tr>
      <w:tr>
        <w:trPr>
          <w:trHeight w:val="230"/>
        </w:trPr>
        <w:tc>
          <w:tcPr>
            <w:tcW w:w="5140" w:type="dxa"/>
            <w:vAlign w:val="bottom"/>
            <w:shd w:val="clear" w:color="auto" w:fill="E4E4E4"/>
          </w:tcPr>
          <w:p>
            <w:pPr>
              <w:spacing w:after="0"/>
              <w:rPr>
                <w:sz w:val="20"/>
                <w:szCs w:val="20"/>
                <w:color w:val="auto"/>
              </w:rPr>
            </w:pPr>
            <w:r>
              <w:rPr>
                <w:rFonts w:ascii="Arial" w:cs="Arial" w:eastAsia="Arial" w:hAnsi="Arial"/>
                <w:sz w:val="20"/>
                <w:szCs w:val="20"/>
                <w:color w:val="auto"/>
              </w:rPr>
              <w:t>Net cash (used in) provided by:</w:t>
            </w:r>
          </w:p>
        </w:tc>
        <w:tc>
          <w:tcPr>
            <w:tcW w:w="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9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94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r>
      <w:tr>
        <w:trPr>
          <w:trHeight w:val="230"/>
        </w:trPr>
        <w:tc>
          <w:tcPr>
            <w:tcW w:w="5140" w:type="dxa"/>
            <w:vAlign w:val="bottom"/>
          </w:tcPr>
          <w:p>
            <w:pPr>
              <w:ind w:left="280"/>
              <w:spacing w:after="0"/>
              <w:rPr>
                <w:sz w:val="20"/>
                <w:szCs w:val="20"/>
                <w:color w:val="auto"/>
              </w:rPr>
            </w:pPr>
            <w:r>
              <w:rPr>
                <w:rFonts w:ascii="Arial" w:cs="Arial" w:eastAsia="Arial" w:hAnsi="Arial"/>
                <w:sz w:val="20"/>
                <w:szCs w:val="20"/>
                <w:color w:val="auto"/>
              </w:rPr>
              <w:t>Operating activities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gridSpan w:val="2"/>
          </w:tcPr>
          <w:p>
            <w:pPr>
              <w:jc w:val="right"/>
              <w:ind w:right="60"/>
              <w:spacing w:after="0"/>
              <w:rPr>
                <w:sz w:val="20"/>
                <w:szCs w:val="20"/>
                <w:color w:val="auto"/>
              </w:rPr>
            </w:pPr>
            <w:r>
              <w:rPr>
                <w:rFonts w:ascii="Arial" w:cs="Arial" w:eastAsia="Arial" w:hAnsi="Arial"/>
                <w:sz w:val="20"/>
                <w:szCs w:val="20"/>
                <w:color w:val="auto"/>
              </w:rPr>
              <w:t>(100,753)</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(72,469)</w:t>
            </w:r>
          </w:p>
        </w:tc>
      </w:tr>
      <w:tr>
        <w:trPr>
          <w:trHeight w:val="229"/>
        </w:trPr>
        <w:tc>
          <w:tcPr>
            <w:tcW w:w="5140" w:type="dxa"/>
            <w:vAlign w:val="bottom"/>
            <w:shd w:val="clear" w:color="auto" w:fill="E4E4E4"/>
          </w:tcPr>
          <w:p>
            <w:pPr>
              <w:ind w:left="280"/>
              <w:spacing w:after="0"/>
              <w:rPr>
                <w:sz w:val="20"/>
                <w:szCs w:val="20"/>
                <w:color w:val="auto"/>
              </w:rPr>
            </w:pPr>
            <w:r>
              <w:rPr>
                <w:rFonts w:ascii="Arial" w:cs="Arial" w:eastAsia="Arial" w:hAnsi="Arial"/>
                <w:sz w:val="20"/>
                <w:szCs w:val="20"/>
                <w:color w:val="auto"/>
              </w:rPr>
              <w:t>Investing activities</w:t>
            </w:r>
          </w:p>
        </w:tc>
        <w:tc>
          <w:tcPr>
            <w:tcW w:w="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95,089</w:t>
            </w:r>
          </w:p>
        </w:tc>
        <w:tc>
          <w:tcPr>
            <w:tcW w:w="1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0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57,664</w:t>
            </w:r>
          </w:p>
        </w:tc>
      </w:tr>
      <w:tr>
        <w:trPr>
          <w:trHeight w:val="230"/>
        </w:trPr>
        <w:tc>
          <w:tcPr>
            <w:tcW w:w="5140" w:type="dxa"/>
            <w:vAlign w:val="bottom"/>
          </w:tcPr>
          <w:p>
            <w:pPr>
              <w:ind w:left="280"/>
              <w:spacing w:after="0"/>
              <w:rPr>
                <w:sz w:val="20"/>
                <w:szCs w:val="20"/>
                <w:color w:val="auto"/>
              </w:rPr>
            </w:pPr>
            <w:r>
              <w:rPr>
                <w:rFonts w:ascii="Arial" w:cs="Arial" w:eastAsia="Arial" w:hAnsi="Arial"/>
                <w:sz w:val="20"/>
                <w:szCs w:val="20"/>
                <w:color w:val="auto"/>
              </w:rPr>
              <w:t>Financing activities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493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654</w:t>
            </w:r>
          </w:p>
        </w:tc>
      </w:tr>
      <w:tr>
        <w:trPr>
          <w:trHeight w:val="220"/>
        </w:trPr>
        <w:tc>
          <w:tcPr>
            <w:tcW w:w="5140" w:type="dxa"/>
            <w:vAlign w:val="bottom"/>
            <w:tcBorders>
              <w:top w:val="single" w:sz="8" w:color="E4E4E4"/>
            </w:tcBorders>
            <w:shd w:val="clear" w:color="auto" w:fill="E4E4E4"/>
          </w:tcPr>
          <w:p>
            <w:pPr>
              <w:spacing w:after="0" w:line="220" w:lineRule="exact"/>
              <w:rPr>
                <w:sz w:val="20"/>
                <w:szCs w:val="20"/>
                <w:color w:val="auto"/>
              </w:rPr>
            </w:pPr>
            <w:r>
              <w:rPr>
                <w:rFonts w:ascii="Arial" w:cs="Arial" w:eastAsia="Arial" w:hAnsi="Arial"/>
                <w:sz w:val="20"/>
                <w:szCs w:val="20"/>
                <w:color w:val="auto"/>
              </w:rPr>
              <w:t>Net decrease in cash, cash equivalents and restricted</w:t>
            </w:r>
          </w:p>
        </w:tc>
        <w:tc>
          <w:tcPr>
            <w:tcW w:w="4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120" w:type="dxa"/>
            <w:vAlign w:val="bottom"/>
            <w:tcBorders>
              <w:top w:val="single" w:sz="8" w:color="auto"/>
            </w:tcBorders>
            <w:shd w:val="clear" w:color="auto" w:fill="E4E4E4"/>
          </w:tcPr>
          <w:p>
            <w:pPr>
              <w:spacing w:after="0"/>
              <w:rPr>
                <w:sz w:val="19"/>
                <w:szCs w:val="19"/>
                <w:color w:val="auto"/>
              </w:rPr>
            </w:pPr>
          </w:p>
        </w:tc>
        <w:tc>
          <w:tcPr>
            <w:tcW w:w="920" w:type="dxa"/>
            <w:vAlign w:val="bottom"/>
            <w:tcBorders>
              <w:top w:val="single" w:sz="8" w:color="auto"/>
            </w:tcBorders>
            <w:shd w:val="clear" w:color="auto" w:fill="E4E4E4"/>
          </w:tcPr>
          <w:p>
            <w:pPr>
              <w:spacing w:after="0"/>
              <w:rPr>
                <w:sz w:val="19"/>
                <w:szCs w:val="19"/>
                <w:color w:val="auto"/>
              </w:rPr>
            </w:pPr>
          </w:p>
        </w:tc>
        <w:tc>
          <w:tcPr>
            <w:tcW w:w="12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auto"/>
            </w:tcBorders>
            <w:shd w:val="clear" w:color="auto" w:fill="E4E4E4"/>
          </w:tcPr>
          <w:p>
            <w:pPr>
              <w:spacing w:after="0"/>
              <w:rPr>
                <w:sz w:val="19"/>
                <w:szCs w:val="19"/>
                <w:color w:val="auto"/>
              </w:rPr>
            </w:pPr>
          </w:p>
        </w:tc>
        <w:tc>
          <w:tcPr>
            <w:tcW w:w="940" w:type="dxa"/>
            <w:vAlign w:val="bottom"/>
            <w:tcBorders>
              <w:top w:val="single" w:sz="8" w:color="auto"/>
            </w:tcBorders>
            <w:shd w:val="clear" w:color="auto" w:fill="E4E4E4"/>
          </w:tcPr>
          <w:p>
            <w:pPr>
              <w:spacing w:after="0"/>
              <w:rPr>
                <w:sz w:val="19"/>
                <w:szCs w:val="19"/>
                <w:color w:val="auto"/>
              </w:rPr>
            </w:pPr>
          </w:p>
        </w:tc>
        <w:tc>
          <w:tcPr>
            <w:tcW w:w="60" w:type="dxa"/>
            <w:vAlign w:val="bottom"/>
            <w:tcBorders>
              <w:top w:val="single" w:sz="8" w:color="E4E4E4"/>
            </w:tcBorders>
            <w:shd w:val="clear" w:color="auto" w:fill="E4E4E4"/>
          </w:tcPr>
          <w:p>
            <w:pPr>
              <w:spacing w:after="0"/>
              <w:rPr>
                <w:sz w:val="19"/>
                <w:szCs w:val="19"/>
                <w:color w:val="auto"/>
              </w:rPr>
            </w:pPr>
          </w:p>
        </w:tc>
      </w:tr>
      <w:tr>
        <w:trPr>
          <w:trHeight w:val="231"/>
        </w:trPr>
        <w:tc>
          <w:tcPr>
            <w:tcW w:w="5140" w:type="dxa"/>
            <w:vAlign w:val="bottom"/>
            <w:shd w:val="clear" w:color="auto" w:fill="E4E4E4"/>
          </w:tcPr>
          <w:p>
            <w:pPr>
              <w:spacing w:after="0"/>
              <w:rPr>
                <w:sz w:val="20"/>
                <w:szCs w:val="20"/>
                <w:color w:val="auto"/>
              </w:rPr>
            </w:pPr>
            <w:r>
              <w:rPr>
                <w:rFonts w:ascii="Arial" w:cs="Arial" w:eastAsia="Arial" w:hAnsi="Arial"/>
                <w:sz w:val="20"/>
                <w:szCs w:val="20"/>
                <w:color w:val="auto"/>
              </w:rPr>
              <w:t>cash</w:t>
            </w:r>
          </w:p>
        </w:tc>
        <w:tc>
          <w:tcPr>
            <w:tcW w:w="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jc w:val="right"/>
              <w:spacing w:after="0"/>
              <w:rPr>
                <w:sz w:val="20"/>
                <w:szCs w:val="20"/>
                <w:color w:val="auto"/>
              </w:rPr>
            </w:pPr>
            <w:r>
              <w:rPr>
                <w:rFonts w:ascii="Arial" w:cs="Arial" w:eastAsia="Arial" w:hAnsi="Arial"/>
                <w:sz w:val="20"/>
                <w:szCs w:val="20"/>
                <w:color w:val="auto"/>
                <w:w w:val="89"/>
                <w:shd w:val="clear" w:color="auto" w:fill="E4E4E4"/>
              </w:rPr>
              <w:t>$</w:t>
            </w:r>
          </w:p>
        </w:tc>
        <w:tc>
          <w:tcPr>
            <w:tcW w:w="1040" w:type="dxa"/>
            <w:vAlign w:val="bottom"/>
            <w:gridSpan w:val="2"/>
            <w:shd w:val="clear" w:color="auto" w:fill="E4E4E4"/>
          </w:tcPr>
          <w:p>
            <w:pPr>
              <w:jc w:val="right"/>
              <w:ind w:right="60"/>
              <w:spacing w:after="0"/>
              <w:rPr>
                <w:sz w:val="20"/>
                <w:szCs w:val="20"/>
                <w:color w:val="auto"/>
              </w:rPr>
            </w:pPr>
            <w:r>
              <w:rPr>
                <w:rFonts w:ascii="Arial" w:cs="Arial" w:eastAsia="Arial" w:hAnsi="Arial"/>
                <w:sz w:val="20"/>
                <w:szCs w:val="20"/>
                <w:color w:val="auto"/>
              </w:rPr>
              <w:t>(5,171)</w:t>
            </w: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(14,151</w:t>
            </w:r>
          </w:p>
        </w:tc>
        <w:tc>
          <w:tcPr>
            <w:tcW w:w="60" w:type="dxa"/>
            <w:vAlign w:val="bottom"/>
            <w:shd w:val="clear" w:color="auto" w:fill="E4E4E4"/>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75" w:lineRule="exact"/>
        <w:rPr>
          <w:sz w:val="20"/>
          <w:szCs w:val="20"/>
          <w:color w:val="auto"/>
        </w:rPr>
      </w:pPr>
    </w:p>
    <w:p>
      <w:pPr>
        <w:ind w:left="1"/>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15" w:lineRule="exact"/>
        <w:rPr>
          <w:sz w:val="20"/>
          <w:szCs w:val="20"/>
          <w:color w:val="auto"/>
        </w:rPr>
      </w:pPr>
    </w:p>
    <w:p>
      <w:pPr>
        <w:jc w:val="both"/>
        <w:ind w:left="1" w:firstLine="489"/>
        <w:spacing w:after="0" w:line="246" w:lineRule="auto"/>
        <w:rPr>
          <w:sz w:val="20"/>
          <w:szCs w:val="20"/>
          <w:color w:val="auto"/>
        </w:rPr>
      </w:pPr>
      <w:r>
        <w:rPr>
          <w:rFonts w:ascii="Arial" w:cs="Arial" w:eastAsia="Arial" w:hAnsi="Arial"/>
          <w:sz w:val="20"/>
          <w:szCs w:val="20"/>
          <w:color w:val="auto"/>
        </w:rPr>
        <w:t>During the year ended December 31, 2023, net cash used in operating activities was $100.8 million. This consisted primarily of a net loss of $117.7 million, partially offset by non-cash charges of $10.4 million and a decrease in our net operating assets of $6.5 million. The non-cash charges primarily consisted of stock-based compensation expense, depreciation expense, and amortization of premiums and accretion of discounts on our available-for-sale securities. The decrease in our net operating assets was primarily due to a decrease in unbilled grant receivable and an increase in accounts payable and accrued expenses, partially offset by the recognition of an insurance recovery receivable related to the securities class action litigation.</w:t>
      </w:r>
    </w:p>
    <w:p>
      <w:pPr>
        <w:spacing w:after="0" w:line="195" w:lineRule="exact"/>
        <w:rPr>
          <w:sz w:val="20"/>
          <w:szCs w:val="20"/>
          <w:color w:val="auto"/>
        </w:rPr>
      </w:pPr>
    </w:p>
    <w:p>
      <w:pPr>
        <w:jc w:val="both"/>
        <w:ind w:left="1" w:firstLine="489"/>
        <w:spacing w:after="0" w:line="264" w:lineRule="auto"/>
        <w:rPr>
          <w:sz w:val="20"/>
          <w:szCs w:val="20"/>
          <w:color w:val="auto"/>
        </w:rPr>
      </w:pPr>
      <w:r>
        <w:rPr>
          <w:rFonts w:ascii="Arial" w:cs="Arial" w:eastAsia="Arial" w:hAnsi="Arial"/>
          <w:sz w:val="19"/>
          <w:szCs w:val="19"/>
          <w:color w:val="auto"/>
        </w:rPr>
        <w:t>During the year ended December 31, 2022, net cash used in operating activities was $72.5 million. This consisted primarily of a net loss of $95.6 million, partially offset by non-cash charges of $11.2 million and a decrease in our net operating assets of $11.9 million. The non-cash charges primarily consisted of stock-based compensation expense, depreciation expense, and amortization of premiums and accretion of discounts on our available-for-sale securities. The decrease in our net operating assets was primarily due to a decrease in unbilled grant receivable, an increase in accounts payable and accrued expenses, and an</w:t>
      </w:r>
    </w:p>
    <w:p>
      <w:pPr>
        <w:sectPr>
          <w:pgSz w:w="11880" w:h="15474" w:orient="portrait"/>
          <w:cols w:equalWidth="0" w:num="1">
            <w:col w:w="9361"/>
          </w:cols>
          <w:pgMar w:left="1239" w:top="1268" w:right="1274"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129</w:t>
      </w:r>
    </w:p>
    <w:p>
      <w:pPr>
        <w:sectPr>
          <w:pgSz w:w="11880" w:h="15474" w:orient="portrait"/>
          <w:cols w:equalWidth="0" w:num="1">
            <w:col w:w="9361"/>
          </w:cols>
          <w:pgMar w:left="1239" w:top="1268" w:right="1274" w:bottom="0" w:gutter="0" w:footer="0" w:header="0"/>
          <w:type w:val="continuous"/>
        </w:sectPr>
      </w:pPr>
    </w:p>
    <w:bookmarkStart w:id="135" w:name="page136"/>
    <w:bookmarkEnd w:id="135"/>
    <w:p>
      <w:pPr>
        <w:jc w:val="both"/>
        <w:spacing w:after="0" w:line="282" w:lineRule="auto"/>
        <w:rPr>
          <w:sz w:val="20"/>
          <w:szCs w:val="20"/>
          <w:color w:val="auto"/>
        </w:rPr>
      </w:pPr>
      <w:r>
        <w:rPr>
          <w:rFonts w:ascii="Arial" w:cs="Arial" w:eastAsia="Arial" w:hAnsi="Arial"/>
          <w:sz w:val="20"/>
          <w:szCs w:val="20"/>
          <w:color w:val="auto"/>
        </w:rPr>
        <w:t>accrual for legal settlement expenses related to the securities class action litigation, partially offset by an increase in prepaid expenses and other current assets.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116"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During the year ended December 31, 2023, net cash provided by investing was $ 95.1 million. This consisted of maturities of available-for-sale securities of $123.1 million, partially offset by purchases of available-for-sale securities of $27.7 million and property and equipment of $0.3 million.</w:t>
      </w:r>
    </w:p>
    <w:p>
      <w:pPr>
        <w:spacing w:after="0" w:line="180"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During the year ended December 31, 2022, net cash provided by investing was $ 57.7 million. This consisted of maturities of available-for-sale securities of $154.1 million, partially offset by purchases of available-for-sale securities of $95.3 million and property and equipment of $1.1 million.</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15"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color w:val="auto"/>
        </w:rPr>
        <w:t>During the year ended December 31, 2023, net cash provided by financing activities was $0.5 million, consisting of proceeds received from exercises of stock options.</w:t>
      </w:r>
    </w:p>
    <w:p>
      <w:pPr>
        <w:spacing w:after="0" w:line="157"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color w:val="auto"/>
        </w:rPr>
        <w:t>During the year ended December 31, 2022, net cash provided by financing activities was $0.7 million, consisting of proceeds received from exercises of stock options.</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Significant Judgments and Use of Estimates</w:t>
      </w:r>
    </w:p>
    <w:p>
      <w:pPr>
        <w:spacing w:after="0" w:line="123"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Grant Income</w:t>
      </w:r>
    </w:p>
    <w:p>
      <w:pPr>
        <w:spacing w:after="0" w:line="115"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In December 2020, we accepted a grant from the NIH to support our ACT-AD Phase 2 clinical trial for fosgonimeton. As of December 31, 2023, we have recognized aggregate grant income of $15.2 million in connection with the NIH grant, equal to the total grant amount approved and we will not recognize any additional grant income in connection with the NIH grant. We recognized income related to the NIH grant within the consolidated statement of operations and comprehensive loss as qualifying expenses under the grant agreement are incurred. We recorded qualifying expenses incurred in excess of cash received in unbilled grant receivable on the consolidated balance sheets.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Costs</w:t>
      </w:r>
    </w:p>
    <w:p>
      <w:pPr>
        <w:spacing w:after="0" w:line="115"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19"/>
          <w:szCs w:val="19"/>
          <w:color w:val="auto"/>
        </w:rPr>
        <w:t>Research and development costs, including costs associated with our clinical trials,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We estimate the period over which such services will be performed and the level of effort to be expended in each period. If actual timing of performance or the level of effort varies from the</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130</w:t>
      </w:r>
    </w:p>
    <w:p>
      <w:pPr>
        <w:sectPr>
          <w:pgSz w:w="11880" w:h="15474" w:orient="portrait"/>
          <w:cols w:equalWidth="0" w:num="1">
            <w:col w:w="9360"/>
          </w:cols>
          <w:pgMar w:left="1240" w:top="1255" w:right="1274" w:bottom="0" w:gutter="0" w:footer="0" w:header="0"/>
          <w:type w:val="continuous"/>
        </w:sectPr>
      </w:pPr>
    </w:p>
    <w:bookmarkStart w:id="136" w:name="page137"/>
    <w:bookmarkEnd w:id="136"/>
    <w:p>
      <w:pPr>
        <w:jc w:val="both"/>
        <w:spacing w:after="0" w:line="282" w:lineRule="auto"/>
        <w:rPr>
          <w:sz w:val="20"/>
          <w:szCs w:val="20"/>
          <w:color w:val="auto"/>
        </w:rPr>
      </w:pPr>
      <w:r>
        <w:rPr>
          <w:rFonts w:ascii="Arial" w:cs="Arial" w:eastAsia="Arial" w:hAnsi="Arial"/>
          <w:sz w:val="20"/>
          <w:szCs w:val="20"/>
          <w:color w:val="auto"/>
        </w:rPr>
        <w:t>estimate, we will adjust the amounts recorded accordingly. We have not experienced any material differences between accrued or prepaid costs and actual costs since inception.</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116"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180"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9"/>
          <w:szCs w:val="19"/>
          <w:color w:val="auto"/>
        </w:rPr>
        <w:t>We recognize stock-based compensation expense for stock options on a straight-line basis over the requisite service period and account for forfeitures as they occur. Our stock-based compensation costs for stock options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177"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color w:val="auto"/>
        </w:rPr>
        <w:t>The Black-Scholes option pricing model utilizes inputs which are highly subjective assumptions and generally require significant judgment. These assumptions include:</w:t>
      </w:r>
    </w:p>
    <w:p>
      <w:pPr>
        <w:spacing w:after="0" w:line="52" w:lineRule="exact"/>
        <w:rPr>
          <w:sz w:val="20"/>
          <w:szCs w:val="20"/>
          <w:color w:val="auto"/>
        </w:rPr>
      </w:pPr>
    </w:p>
    <w:p>
      <w:pPr>
        <w:jc w:val="both"/>
        <w:ind w:left="980" w:hanging="491"/>
        <w:spacing w:after="0" w:line="261" w:lineRule="auto"/>
        <w:tabs>
          <w:tab w:leader="none" w:pos="980" w:val="left"/>
        </w:tabs>
        <w:numPr>
          <w:ilvl w:val="0"/>
          <w:numId w:val="64"/>
        </w:numPr>
        <w:rPr>
          <w:rFonts w:ascii="Arial" w:cs="Arial" w:eastAsia="Arial" w:hAnsi="Arial"/>
          <w:sz w:val="20"/>
          <w:szCs w:val="20"/>
          <w:color w:val="auto"/>
        </w:rPr>
      </w:pPr>
      <w:r>
        <w:rPr>
          <w:rFonts w:ascii="Arial" w:cs="Arial" w:eastAsia="Arial" w:hAnsi="Arial"/>
          <w:sz w:val="20"/>
          <w:szCs w:val="20"/>
          <w:i w:val="1"/>
          <w:iCs w:val="1"/>
          <w:color w:val="auto"/>
        </w:rPr>
        <w:t>Fair Value of Common Stock</w:t>
      </w:r>
      <w:r>
        <w:rPr>
          <w:rFonts w:ascii="Arial" w:cs="Arial" w:eastAsia="Arial" w:hAnsi="Arial"/>
          <w:sz w:val="20"/>
          <w:szCs w:val="20"/>
          <w:color w:val="auto"/>
        </w:rPr>
        <w:t>. The fair value of each share of common stock is based on the</w:t>
      </w:r>
      <w:r>
        <w:rPr>
          <w:rFonts w:ascii="Arial" w:cs="Arial" w:eastAsia="Arial" w:hAnsi="Arial"/>
          <w:sz w:val="20"/>
          <w:szCs w:val="20"/>
          <w:i w:val="1"/>
          <w:iCs w:val="1"/>
          <w:color w:val="auto"/>
        </w:rPr>
        <w:t xml:space="preserve"> </w:t>
      </w:r>
      <w:r>
        <w:rPr>
          <w:rFonts w:ascii="Arial" w:cs="Arial" w:eastAsia="Arial" w:hAnsi="Arial"/>
          <w:sz w:val="20"/>
          <w:szCs w:val="20"/>
          <w:color w:val="auto"/>
        </w:rPr>
        <w:t>closing price of the Company’s common stock on the date of grant, or other relevant determination date, as reported on The Nasdaq Global Select Market.</w:t>
      </w:r>
    </w:p>
    <w:p>
      <w:pPr>
        <w:spacing w:after="0" w:line="7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64"/>
        </w:numPr>
        <w:rPr>
          <w:rFonts w:ascii="Arial" w:cs="Arial" w:eastAsia="Arial" w:hAnsi="Arial"/>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w:t>
      </w:r>
      <w:r>
        <w:rPr>
          <w:rFonts w:ascii="Arial" w:cs="Arial" w:eastAsia="Arial" w:hAnsi="Arial"/>
          <w:sz w:val="20"/>
          <w:szCs w:val="20"/>
          <w:i w:val="1"/>
          <w:iCs w:val="1"/>
          <w:color w:val="auto"/>
        </w:rPr>
        <w:t xml:space="preserve"> </w:t>
      </w:r>
      <w:r>
        <w:rPr>
          <w:rFonts w:ascii="Arial" w:cs="Arial" w:eastAsia="Arial" w:hAnsi="Arial"/>
          <w:sz w:val="20"/>
          <w:szCs w:val="20"/>
          <w:color w:val="auto"/>
        </w:rPr>
        <w:t>issues in effect at the time of grant for periods corresponding with the expected term of the option.</w:t>
      </w:r>
    </w:p>
    <w:p>
      <w:pPr>
        <w:spacing w:after="0" w:line="72" w:lineRule="exact"/>
        <w:rPr>
          <w:rFonts w:ascii="Arial" w:cs="Arial" w:eastAsia="Arial" w:hAnsi="Arial"/>
          <w:sz w:val="20"/>
          <w:szCs w:val="20"/>
          <w:color w:val="auto"/>
        </w:rPr>
      </w:pPr>
    </w:p>
    <w:p>
      <w:pPr>
        <w:jc w:val="both"/>
        <w:ind w:left="980" w:hanging="491"/>
        <w:spacing w:after="0" w:line="247" w:lineRule="auto"/>
        <w:tabs>
          <w:tab w:leader="none" w:pos="980" w:val="left"/>
        </w:tabs>
        <w:numPr>
          <w:ilvl w:val="0"/>
          <w:numId w:val="64"/>
        </w:numPr>
        <w:rPr>
          <w:rFonts w:ascii="Arial" w:cs="Arial" w:eastAsia="Arial" w:hAnsi="Arial"/>
          <w:sz w:val="20"/>
          <w:szCs w:val="20"/>
          <w:color w:val="auto"/>
        </w:rPr>
      </w:pPr>
      <w:r>
        <w:rPr>
          <w:rFonts w:ascii="Arial" w:cs="Arial" w:eastAsia="Arial" w:hAnsi="Arial"/>
          <w:sz w:val="20"/>
          <w:szCs w:val="20"/>
          <w:i w:val="1"/>
          <w:iCs w:val="1"/>
          <w:color w:val="auto"/>
        </w:rPr>
        <w:t>Expected Volatility</w:t>
      </w:r>
      <w:r>
        <w:rPr>
          <w:rFonts w:ascii="Arial" w:cs="Arial" w:eastAsia="Arial" w:hAnsi="Arial"/>
          <w:sz w:val="20"/>
          <w:szCs w:val="20"/>
          <w:color w:val="auto"/>
        </w:rPr>
        <w:t>. Because we were privately held prior to September 2020 and do not yet</w:t>
      </w:r>
      <w:r>
        <w:rPr>
          <w:rFonts w:ascii="Arial" w:cs="Arial" w:eastAsia="Arial" w:hAnsi="Arial"/>
          <w:sz w:val="20"/>
          <w:szCs w:val="20"/>
          <w:i w:val="1"/>
          <w:iCs w:val="1"/>
          <w:color w:val="auto"/>
        </w:rPr>
        <w:t xml:space="preserve"> </w:t>
      </w:r>
      <w:r>
        <w:rPr>
          <w:rFonts w:ascii="Arial" w:cs="Arial" w:eastAsia="Arial" w:hAnsi="Arial"/>
          <w:sz w:val="20"/>
          <w:szCs w:val="20"/>
          <w:color w:val="auto"/>
        </w:rPr>
        <w:t>have sufficient trading history for our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spacing w:after="0" w:line="87" w:lineRule="exact"/>
        <w:rPr>
          <w:rFonts w:ascii="Arial" w:cs="Arial" w:eastAsia="Arial" w:hAnsi="Arial"/>
          <w:sz w:val="20"/>
          <w:szCs w:val="20"/>
          <w:color w:val="auto"/>
        </w:rPr>
      </w:pPr>
    </w:p>
    <w:p>
      <w:pPr>
        <w:jc w:val="both"/>
        <w:ind w:left="980" w:hanging="491"/>
        <w:spacing w:after="0" w:line="254" w:lineRule="auto"/>
        <w:tabs>
          <w:tab w:leader="none" w:pos="980" w:val="left"/>
        </w:tabs>
        <w:numPr>
          <w:ilvl w:val="0"/>
          <w:numId w:val="64"/>
        </w:numPr>
        <w:rPr>
          <w:rFonts w:ascii="Arial" w:cs="Arial" w:eastAsia="Arial" w:hAnsi="Arial"/>
          <w:sz w:val="20"/>
          <w:szCs w:val="20"/>
          <w:color w:val="auto"/>
        </w:rPr>
      </w:pPr>
      <w:r>
        <w:rPr>
          <w:rFonts w:ascii="Arial" w:cs="Arial" w:eastAsia="Arial" w:hAnsi="Arial"/>
          <w:sz w:val="20"/>
          <w:szCs w:val="20"/>
          <w:i w:val="1"/>
          <w:iCs w:val="1"/>
          <w:color w:val="auto"/>
        </w:rPr>
        <w:t>Expected Term</w:t>
      </w:r>
      <w:r>
        <w:rPr>
          <w:rFonts w:ascii="Arial" w:cs="Arial" w:eastAsia="Arial" w:hAnsi="Arial"/>
          <w:sz w:val="20"/>
          <w:szCs w:val="20"/>
          <w:color w:val="auto"/>
        </w:rPr>
        <w:t>. The expected term represents the period that the stock-based awards are</w:t>
      </w:r>
      <w:r>
        <w:rPr>
          <w:rFonts w:ascii="Arial" w:cs="Arial" w:eastAsia="Arial" w:hAnsi="Arial"/>
          <w:sz w:val="20"/>
          <w:szCs w:val="20"/>
          <w:i w:val="1"/>
          <w:iCs w:val="1"/>
          <w:color w:val="auto"/>
        </w:rPr>
        <w:t xml:space="preserve"> </w:t>
      </w:r>
      <w:r>
        <w:rPr>
          <w:rFonts w:ascii="Arial" w:cs="Arial" w:eastAsia="Arial" w:hAnsi="Arial"/>
          <w:sz w:val="20"/>
          <w:szCs w:val="20"/>
          <w:color w:val="auto"/>
        </w:rPr>
        <w:t>expected to be outstanding and is determined using the simplified method (based on the mid-point between the vesting date and the end of the contractual term), as we do not have sufficient historical data to use any other method to estimate expected term.</w:t>
      </w:r>
    </w:p>
    <w:p>
      <w:pPr>
        <w:spacing w:after="0" w:line="80" w:lineRule="exact"/>
        <w:rPr>
          <w:rFonts w:ascii="Arial" w:cs="Arial" w:eastAsia="Arial" w:hAnsi="Arial"/>
          <w:sz w:val="20"/>
          <w:szCs w:val="20"/>
          <w:color w:val="auto"/>
        </w:rPr>
      </w:pPr>
    </w:p>
    <w:p>
      <w:pPr>
        <w:jc w:val="both"/>
        <w:ind w:left="980" w:hanging="492"/>
        <w:spacing w:after="0" w:line="261" w:lineRule="auto"/>
        <w:tabs>
          <w:tab w:leader="none" w:pos="980" w:val="left"/>
        </w:tabs>
        <w:numPr>
          <w:ilvl w:val="0"/>
          <w:numId w:val="64"/>
        </w:numPr>
        <w:rPr>
          <w:rFonts w:ascii="Arial" w:cs="Arial" w:eastAsia="Arial" w:hAnsi="Arial"/>
          <w:sz w:val="20"/>
          <w:szCs w:val="20"/>
          <w:color w:val="auto"/>
        </w:rPr>
      </w:pPr>
      <w:r>
        <w:rPr>
          <w:rFonts w:ascii="Arial" w:cs="Arial" w:eastAsia="Arial" w:hAnsi="Arial"/>
          <w:sz w:val="20"/>
          <w:szCs w:val="20"/>
          <w:i w:val="1"/>
          <w:iCs w:val="1"/>
          <w:color w:val="auto"/>
        </w:rPr>
        <w:t>Expected Dividend Yield</w:t>
      </w:r>
      <w:r>
        <w:rPr>
          <w:rFonts w:ascii="Arial" w:cs="Arial" w:eastAsia="Arial" w:hAnsi="Arial"/>
          <w:sz w:val="20"/>
          <w:szCs w:val="20"/>
          <w:color w:val="auto"/>
        </w:rPr>
        <w:t>. We have never paid dividends on our common stock and have no</w:t>
      </w:r>
      <w:r>
        <w:rPr>
          <w:rFonts w:ascii="Arial" w:cs="Arial" w:eastAsia="Arial" w:hAnsi="Arial"/>
          <w:sz w:val="20"/>
          <w:szCs w:val="20"/>
          <w:i w:val="1"/>
          <w:iCs w:val="1"/>
          <w:color w:val="auto"/>
        </w:rPr>
        <w:t xml:space="preserve"> </w:t>
      </w:r>
      <w:r>
        <w:rPr>
          <w:rFonts w:ascii="Arial" w:cs="Arial" w:eastAsia="Arial" w:hAnsi="Arial"/>
          <w:sz w:val="20"/>
          <w:szCs w:val="20"/>
          <w:color w:val="auto"/>
        </w:rPr>
        <w:t>plans to pay dividends on our common stock. Therefore, we used an expected dividend yield of zero.</w:t>
      </w:r>
    </w:p>
    <w:p>
      <w:pPr>
        <w:spacing w:after="0" w:line="180"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See Note 9 to our consolidated financial statements included elsewhere in this report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94"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We recorded stock-based compensation expense of $10.6 million and $10.6 million for the years ended December 31, 2023 and 2022, respectively. As of December 31, 2023, there was $16.0 million of total unrecognized stock-based compensation expense related to non-vested stock options which we expect to recognize over a remaining weighted-average period of 1.99 years. We expect to continue to grant stock options and other equity-based awards in the future, and to the extent that we do, our stock-based compensation expense recognized in future periods will likely increase.</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131</w:t>
      </w:r>
    </w:p>
    <w:p>
      <w:pPr>
        <w:sectPr>
          <w:pgSz w:w="11880" w:h="15474" w:orient="portrait"/>
          <w:cols w:equalWidth="0" w:num="1">
            <w:col w:w="9360"/>
          </w:cols>
          <w:pgMar w:left="1240" w:top="1255" w:right="1274" w:bottom="0" w:gutter="0" w:footer="0" w:header="0"/>
          <w:type w:val="continuous"/>
        </w:sectPr>
      </w:pPr>
    </w:p>
    <w:bookmarkStart w:id="137" w:name="page138"/>
    <w:bookmarkEnd w:id="137"/>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115"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We recognize deferred income taxes for the future tax consequences attributable to differences between the financial statement carrying amounts of existing assets and liabilities and their respective tax bases and operating loss and tax credit carry forwards. In evaluating our valuation allowance, we consider all available positive and negative evidence, including scheduled reversals of deferred tax liabilities, projected future taxable income, tax planning strategies, and recent financial performance. Due to our lack of earnings history and uncertainties surrounding our ability to generate future taxable income, the net deferred tax assets have been fully offset by a valuation allowance.</w:t>
      </w:r>
    </w:p>
    <w:p>
      <w:pPr>
        <w:spacing w:after="0" w:line="194"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As of December 31, 2023, we had $9.5 million of federal NOL carryforwards and $12.4 million of tax credit carryforwards which expire over a period of 8 to 14 years. As of December 31, 2023, we had $138.7 million of such NOLs that do not expire. As of December 31, 2023, we also had state net operating loss carryforwards of $3.3 million, which expire over a period of 18 to 20 years.</w:t>
      </w:r>
    </w:p>
    <w:p>
      <w:pPr>
        <w:spacing w:after="0" w:line="186"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Under Sections 382 and 383 of the Internal Revenue Code of 1986, as amended, or the Code, substantial changes in our ownership may limit the amount of NOL and research and development credit carryforwards that could be used annually in the future to offset taxable income. The tax benefits related to future utilization of federal and state NOL carryforwards, credit carryforwards, and other deferred tax assets may be limited or lost if cumulative changes in ownership exceeds 50% within any three-year period. We have not completed a Section 382/383 analysis under the Code regarding the limitation of NOL and credit carryforwards. If a change in ownership were to have occurred, the annual limitation may result in the expiration of NOL carryforwards and credits before utilization.</w:t>
      </w:r>
    </w:p>
    <w:p>
      <w:pPr>
        <w:spacing w:after="0" w:line="195"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We record unrecognized tax benefits as liabilities or reduce the underlying tax attribute, as applicable, and adjust them when our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123"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color w:val="auto"/>
        </w:rPr>
        <w:t>See Note 2 to our consolidated financial statements included elsewhere in this report for additional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Emerging Growth Company Status</w:t>
      </w:r>
    </w:p>
    <w:p>
      <w:pPr>
        <w:spacing w:after="0" w:line="123"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19"/>
          <w:szCs w:val="19"/>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and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78"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We will remain an emerging growth company until the earliest to occur of: (1) the last day of the fiscal year in which we have at least $1.235 billion in annual revenue; (2)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in which the fifth anniversary of our initial public offering occurred.</w:t>
      </w:r>
    </w:p>
    <w:p>
      <w:pPr>
        <w:sectPr>
          <w:pgSz w:w="11880" w:h="15474" w:orient="portrait"/>
          <w:cols w:equalWidth="0" w:num="1">
            <w:col w:w="9360"/>
          </w:cols>
          <w:pgMar w:left="1240" w:top="1259"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132</w:t>
      </w:r>
    </w:p>
    <w:p>
      <w:pPr>
        <w:sectPr>
          <w:pgSz w:w="11880" w:h="15474" w:orient="portrait"/>
          <w:cols w:equalWidth="0" w:num="1">
            <w:col w:w="9360"/>
          </w:cols>
          <w:pgMar w:left="1240" w:top="1259" w:right="1274" w:bottom="0" w:gutter="0" w:footer="0" w:header="0"/>
          <w:type w:val="continuous"/>
        </w:sectPr>
      </w:pPr>
    </w:p>
    <w:bookmarkStart w:id="138" w:name="page139"/>
    <w:bookmarkEnd w:id="138"/>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123" w:lineRule="exact"/>
        <w:rPr>
          <w:sz w:val="20"/>
          <w:szCs w:val="20"/>
          <w:color w:val="auto"/>
        </w:rPr>
      </w:pPr>
    </w:p>
    <w:p>
      <w:pPr>
        <w:ind w:firstLine="490"/>
        <w:spacing w:after="0" w:line="283" w:lineRule="auto"/>
        <w:rPr>
          <w:sz w:val="20"/>
          <w:szCs w:val="20"/>
          <w:color w:val="auto"/>
        </w:rPr>
      </w:pPr>
      <w:r>
        <w:rPr>
          <w:rFonts w:ascii="Arial" w:cs="Arial" w:eastAsia="Arial" w:hAnsi="Arial"/>
          <w:sz w:val="20"/>
          <w:szCs w:val="20"/>
          <w:color w:val="auto"/>
        </w:rPr>
        <w:t>As a smaller reporting company, we are not required to provide the information requested by this item pursuant to Item 305 of Regulation S-K.</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133</w:t>
      </w:r>
    </w:p>
    <w:p>
      <w:pPr>
        <w:sectPr>
          <w:pgSz w:w="11880" w:h="15474" w:orient="portrait"/>
          <w:cols w:equalWidth="0" w:num="1">
            <w:col w:w="9360"/>
          </w:cols>
          <w:pgMar w:left="1240" w:top="1251" w:right="1274" w:bottom="0" w:gutter="0" w:footer="0" w:header="0"/>
          <w:type w:val="continuous"/>
        </w:sectPr>
      </w:pPr>
    </w:p>
    <w:bookmarkStart w:id="139" w:name="page140"/>
    <w:bookmarkEnd w:id="139"/>
    <w:p>
      <w:pPr>
        <w:jc w:val="center"/>
        <w:ind w:right="-499"/>
        <w:spacing w:after="0"/>
        <w:rPr>
          <w:sz w:val="20"/>
          <w:szCs w:val="20"/>
          <w:color w:val="auto"/>
        </w:rPr>
      </w:pPr>
      <w:r>
        <w:rPr>
          <w:rFonts w:ascii="Arial" w:cs="Arial" w:eastAsia="Arial" w:hAnsi="Arial"/>
          <w:sz w:val="20"/>
          <w:szCs w:val="20"/>
          <w:b w:val="1"/>
          <w:bCs w:val="1"/>
          <w:color w:val="auto"/>
        </w:rPr>
        <w:t>Athira Pharma, Inc.</w:t>
      </w:r>
    </w:p>
    <w:p>
      <w:pPr>
        <w:spacing w:after="0" w:line="119" w:lineRule="exact"/>
        <w:rPr>
          <w:sz w:val="20"/>
          <w:szCs w:val="20"/>
          <w:color w:val="auto"/>
        </w:rPr>
      </w:pPr>
    </w:p>
    <w:p>
      <w:pPr>
        <w:jc w:val="center"/>
        <w:ind w:right="-499"/>
        <w:spacing w:after="0"/>
        <w:rPr>
          <w:sz w:val="20"/>
          <w:szCs w:val="20"/>
          <w:color w:val="auto"/>
        </w:rPr>
      </w:pPr>
      <w:r>
        <w:rPr>
          <w:rFonts w:ascii="Arial" w:cs="Arial" w:eastAsia="Arial" w:hAnsi="Arial"/>
          <w:sz w:val="20"/>
          <w:szCs w:val="20"/>
          <w:b w:val="1"/>
          <w:bCs w:val="1"/>
          <w:color w:val="auto"/>
        </w:rPr>
        <w:t>Index to Financial Statements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00" w:type="dxa"/>
            <w:vAlign w:val="bottom"/>
          </w:tcPr>
          <w:p>
            <w:pPr>
              <w:spacing w:after="0"/>
              <w:rPr>
                <w:sz w:val="20"/>
                <w:szCs w:val="20"/>
                <w:color w:val="auto"/>
              </w:rPr>
            </w:pPr>
            <w:r>
              <w:rPr>
                <w:rFonts w:ascii="Arial" w:cs="Arial" w:eastAsia="Arial" w:hAnsi="Arial"/>
                <w:sz w:val="20"/>
                <w:szCs w:val="20"/>
                <w:color w:val="333333"/>
              </w:rPr>
              <w:t>Report of Independent Registered Public Accounting Firm (PCAOB ID: 42)</w:t>
            </w:r>
          </w:p>
        </w:tc>
        <w:tc>
          <w:tcPr>
            <w:tcW w:w="1540" w:type="dxa"/>
            <w:vAlign w:val="bottom"/>
          </w:tcPr>
          <w:p>
            <w:pPr>
              <w:jc w:val="right"/>
              <w:spacing w:after="0"/>
              <w:rPr>
                <w:sz w:val="20"/>
                <w:szCs w:val="20"/>
                <w:color w:val="auto"/>
              </w:rPr>
            </w:pPr>
            <w:r>
              <w:rPr>
                <w:rFonts w:ascii="Arial" w:cs="Arial" w:eastAsia="Arial" w:hAnsi="Arial"/>
                <w:sz w:val="20"/>
                <w:szCs w:val="20"/>
                <w:color w:val="auto"/>
              </w:rPr>
              <w:t>135</w:t>
            </w:r>
          </w:p>
        </w:tc>
      </w:tr>
      <w:tr>
        <w:trPr>
          <w:trHeight w:val="245"/>
        </w:trPr>
        <w:tc>
          <w:tcPr>
            <w:tcW w:w="7800" w:type="dxa"/>
            <w:vAlign w:val="bottom"/>
          </w:tcPr>
          <w:p>
            <w:pPr>
              <w:spacing w:after="0"/>
              <w:rPr>
                <w:sz w:val="20"/>
                <w:szCs w:val="20"/>
                <w:color w:val="auto"/>
              </w:rPr>
            </w:pPr>
            <w:r>
              <w:rPr>
                <w:rFonts w:ascii="Arial" w:cs="Arial" w:eastAsia="Arial" w:hAnsi="Arial"/>
                <w:sz w:val="20"/>
                <w:szCs w:val="20"/>
                <w:color w:val="333333"/>
              </w:rPr>
              <w:t>Consolidated Balance Sheets</w:t>
            </w:r>
          </w:p>
        </w:tc>
        <w:tc>
          <w:tcPr>
            <w:tcW w:w="1540" w:type="dxa"/>
            <w:vAlign w:val="bottom"/>
          </w:tcPr>
          <w:p>
            <w:pPr>
              <w:jc w:val="right"/>
              <w:spacing w:after="0"/>
              <w:rPr>
                <w:sz w:val="20"/>
                <w:szCs w:val="20"/>
                <w:color w:val="auto"/>
              </w:rPr>
            </w:pPr>
            <w:r>
              <w:rPr>
                <w:rFonts w:ascii="Arial" w:cs="Arial" w:eastAsia="Arial" w:hAnsi="Arial"/>
                <w:sz w:val="20"/>
                <w:szCs w:val="20"/>
                <w:color w:val="auto"/>
              </w:rPr>
              <w:t>136</w:t>
            </w:r>
          </w:p>
        </w:tc>
      </w:tr>
      <w:tr>
        <w:trPr>
          <w:trHeight w:val="245"/>
        </w:trPr>
        <w:tc>
          <w:tcPr>
            <w:tcW w:w="7800" w:type="dxa"/>
            <w:vAlign w:val="bottom"/>
          </w:tcPr>
          <w:p>
            <w:pPr>
              <w:spacing w:after="0"/>
              <w:rPr>
                <w:sz w:val="20"/>
                <w:szCs w:val="20"/>
                <w:color w:val="auto"/>
              </w:rPr>
            </w:pPr>
            <w:r>
              <w:rPr>
                <w:rFonts w:ascii="Arial" w:cs="Arial" w:eastAsia="Arial" w:hAnsi="Arial"/>
                <w:sz w:val="20"/>
                <w:szCs w:val="20"/>
                <w:color w:val="333333"/>
              </w:rPr>
              <w:t>Consolidated Statements of Operations and Comprehensive Loss</w:t>
            </w:r>
          </w:p>
        </w:tc>
        <w:tc>
          <w:tcPr>
            <w:tcW w:w="1540" w:type="dxa"/>
            <w:vAlign w:val="bottom"/>
          </w:tcPr>
          <w:p>
            <w:pPr>
              <w:jc w:val="right"/>
              <w:spacing w:after="0"/>
              <w:rPr>
                <w:sz w:val="20"/>
                <w:szCs w:val="20"/>
                <w:color w:val="auto"/>
              </w:rPr>
            </w:pPr>
            <w:r>
              <w:rPr>
                <w:rFonts w:ascii="Arial" w:cs="Arial" w:eastAsia="Arial" w:hAnsi="Arial"/>
                <w:sz w:val="20"/>
                <w:szCs w:val="20"/>
                <w:color w:val="auto"/>
              </w:rPr>
              <w:t>137</w:t>
            </w:r>
          </w:p>
        </w:tc>
      </w:tr>
      <w:tr>
        <w:trPr>
          <w:trHeight w:val="245"/>
        </w:trPr>
        <w:tc>
          <w:tcPr>
            <w:tcW w:w="7800" w:type="dxa"/>
            <w:vAlign w:val="bottom"/>
          </w:tcPr>
          <w:p>
            <w:pPr>
              <w:spacing w:after="0"/>
              <w:rPr>
                <w:sz w:val="20"/>
                <w:szCs w:val="20"/>
                <w:color w:val="auto"/>
              </w:rPr>
            </w:pPr>
            <w:r>
              <w:rPr>
                <w:rFonts w:ascii="Arial" w:cs="Arial" w:eastAsia="Arial" w:hAnsi="Arial"/>
                <w:sz w:val="20"/>
                <w:szCs w:val="20"/>
                <w:color w:val="333333"/>
              </w:rPr>
              <w:t>Consolidated Statements of Stockholders' Equity</w:t>
            </w:r>
          </w:p>
        </w:tc>
        <w:tc>
          <w:tcPr>
            <w:tcW w:w="1540" w:type="dxa"/>
            <w:vAlign w:val="bottom"/>
          </w:tcPr>
          <w:p>
            <w:pPr>
              <w:jc w:val="right"/>
              <w:spacing w:after="0"/>
              <w:rPr>
                <w:sz w:val="20"/>
                <w:szCs w:val="20"/>
                <w:color w:val="auto"/>
              </w:rPr>
            </w:pPr>
            <w:r>
              <w:rPr>
                <w:rFonts w:ascii="Arial" w:cs="Arial" w:eastAsia="Arial" w:hAnsi="Arial"/>
                <w:sz w:val="20"/>
                <w:szCs w:val="20"/>
                <w:color w:val="auto"/>
              </w:rPr>
              <w:t>138</w:t>
            </w:r>
          </w:p>
        </w:tc>
      </w:tr>
      <w:tr>
        <w:trPr>
          <w:trHeight w:val="245"/>
        </w:trPr>
        <w:tc>
          <w:tcPr>
            <w:tcW w:w="7800" w:type="dxa"/>
            <w:vAlign w:val="bottom"/>
          </w:tcPr>
          <w:p>
            <w:pPr>
              <w:spacing w:after="0"/>
              <w:rPr>
                <w:sz w:val="20"/>
                <w:szCs w:val="20"/>
                <w:color w:val="auto"/>
              </w:rPr>
            </w:pPr>
            <w:r>
              <w:rPr>
                <w:rFonts w:ascii="Arial" w:cs="Arial" w:eastAsia="Arial" w:hAnsi="Arial"/>
                <w:sz w:val="20"/>
                <w:szCs w:val="20"/>
                <w:color w:val="333333"/>
              </w:rPr>
              <w:t>Consolidated Statements of Cash Flows</w:t>
            </w:r>
          </w:p>
        </w:tc>
        <w:tc>
          <w:tcPr>
            <w:tcW w:w="154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271"/>
        </w:trPr>
        <w:tc>
          <w:tcPr>
            <w:tcW w:w="7800" w:type="dxa"/>
            <w:vAlign w:val="bottom"/>
          </w:tcPr>
          <w:p>
            <w:pPr>
              <w:spacing w:after="0"/>
              <w:rPr>
                <w:sz w:val="20"/>
                <w:szCs w:val="20"/>
                <w:color w:val="auto"/>
              </w:rPr>
            </w:pPr>
            <w:r>
              <w:rPr>
                <w:rFonts w:ascii="Arial" w:cs="Arial" w:eastAsia="Arial" w:hAnsi="Arial"/>
                <w:sz w:val="20"/>
                <w:szCs w:val="20"/>
                <w:color w:val="333333"/>
              </w:rPr>
              <w:t>Notes to Consolidated Financial Statements</w:t>
            </w:r>
          </w:p>
        </w:tc>
        <w:tc>
          <w:tcPr>
            <w:tcW w:w="1540" w:type="dxa"/>
            <w:vAlign w:val="bottom"/>
          </w:tcPr>
          <w:p>
            <w:pPr>
              <w:jc w:val="right"/>
              <w:spacing w:after="0"/>
              <w:rPr>
                <w:sz w:val="20"/>
                <w:szCs w:val="20"/>
                <w:color w:val="auto"/>
              </w:rPr>
            </w:pPr>
            <w:r>
              <w:rPr>
                <w:rFonts w:ascii="Arial" w:cs="Arial" w:eastAsia="Arial" w:hAnsi="Arial"/>
                <w:sz w:val="20"/>
                <w:szCs w:val="20"/>
                <w:color w:val="auto"/>
              </w:rPr>
              <w:t>140</w:t>
            </w:r>
          </w:p>
        </w:tc>
      </w:tr>
    </w:tbl>
    <w:p>
      <w:pPr>
        <w:spacing w:after="0" w:line="200" w:lineRule="exact"/>
        <w:rPr>
          <w:sz w:val="20"/>
          <w:szCs w:val="20"/>
          <w:color w:val="auto"/>
        </w:rPr>
      </w:pPr>
    </w:p>
    <w:p>
      <w:pPr>
        <w:sectPr>
          <w:pgSz w:w="11880" w:h="15474" w:orient="portrait"/>
          <w:cols w:equalWidth="0" w:num="1">
            <w:col w:w="9340"/>
          </w:cols>
          <w:pgMar w:left="1240" w:top="1251" w:right="129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134</w:t>
      </w:r>
    </w:p>
    <w:p>
      <w:pPr>
        <w:sectPr>
          <w:pgSz w:w="11880" w:h="15474" w:orient="portrait"/>
          <w:cols w:equalWidth="0" w:num="1">
            <w:col w:w="9340"/>
          </w:cols>
          <w:pgMar w:left="1240" w:top="1251" w:right="1294" w:bottom="0" w:gutter="0" w:footer="0" w:header="0"/>
          <w:type w:val="continuous"/>
        </w:sectPr>
      </w:pPr>
    </w:p>
    <w:bookmarkStart w:id="140" w:name="page141"/>
    <w:bookmarkEnd w:id="140"/>
    <w:p>
      <w:pPr>
        <w:ind w:right="1920" w:firstLine="1919"/>
        <w:spacing w:after="0" w:line="470"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To the Stockholders and the Board of Directors of Athira Pharma, Inc.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4"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We have audited the accompanying consolidated balance sheets of Athira Pharma, Inc. (the Company) as of December 31, 2023 and 2022, the related consolidated statements of operations and comprehensive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5" w:lineRule="exact"/>
        <w:rPr>
          <w:sz w:val="20"/>
          <w:szCs w:val="20"/>
          <w:color w:val="auto"/>
        </w:rPr>
      </w:pPr>
    </w:p>
    <w:p>
      <w:pPr>
        <w:ind w:right="180"/>
        <w:spacing w:after="0" w:line="248"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2018.</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Seattle, Washington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February 22, 2024</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135</w:t>
      </w:r>
    </w:p>
    <w:p>
      <w:pPr>
        <w:sectPr>
          <w:pgSz w:w="11880" w:h="15474" w:orient="portrait"/>
          <w:cols w:equalWidth="0" w:num="1">
            <w:col w:w="9360"/>
          </w:cols>
          <w:pgMar w:left="1240" w:top="1251" w:right="1274" w:bottom="0" w:gutter="0" w:footer="0" w:header="0"/>
          <w:type w:val="continuous"/>
        </w:sectPr>
      </w:pPr>
    </w:p>
    <w:bookmarkStart w:id="141" w:name="page142"/>
    <w:bookmarkEnd w:id="141"/>
    <w:p>
      <w:pPr>
        <w:jc w:val="center"/>
        <w:spacing w:after="0"/>
        <w:rPr>
          <w:sz w:val="20"/>
          <w:szCs w:val="20"/>
          <w:color w:val="auto"/>
        </w:rPr>
      </w:pPr>
      <w:r>
        <w:rPr>
          <w:rFonts w:ascii="Arial" w:cs="Arial" w:eastAsia="Arial" w:hAnsi="Arial"/>
          <w:sz w:val="20"/>
          <w:szCs w:val="20"/>
          <w:b w:val="1"/>
          <w:bCs w:val="1"/>
          <w:color w:val="auto"/>
        </w:rPr>
        <w:t>Athira Pharma,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left="661"/>
              <w:spacing w:after="0"/>
              <w:rPr>
                <w:sz w:val="20"/>
                <w:szCs w:val="20"/>
                <w:color w:val="auto"/>
              </w:rPr>
            </w:pPr>
            <w:r>
              <w:rPr>
                <w:rFonts w:ascii="Arial" w:cs="Arial" w:eastAsia="Arial" w:hAnsi="Arial"/>
                <w:sz w:val="16"/>
                <w:szCs w:val="16"/>
                <w:b w:val="1"/>
                <w:bCs w:val="1"/>
                <w:color w:val="auto"/>
                <w:w w:val="99"/>
              </w:rPr>
              <w:t>December 31,</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90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1"/>
              <w:spacing w:after="0" w:line="175"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E4E4E4"/>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81"/>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920" w:type="dxa"/>
            <w:vAlign w:val="bottom"/>
            <w:gridSpan w:val="2"/>
            <w:shd w:val="clear" w:color="auto" w:fill="E4E4E4"/>
          </w:tcPr>
          <w:p>
            <w:pPr>
              <w:spacing w:after="0" w:line="220" w:lineRule="exact"/>
              <w:rPr>
                <w:sz w:val="20"/>
                <w:szCs w:val="20"/>
                <w:color w:val="auto"/>
              </w:rPr>
            </w:pPr>
            <w:r>
              <w:rPr>
                <w:rFonts w:ascii="Arial" w:cs="Arial" w:eastAsia="Arial" w:hAnsi="Arial"/>
                <w:sz w:val="20"/>
                <w:szCs w:val="20"/>
                <w:b w:val="1"/>
                <w:bCs w:val="1"/>
                <w:color w:val="auto"/>
              </w:rPr>
              <w:t>Assets</w:t>
            </w:r>
          </w:p>
        </w:tc>
        <w:tc>
          <w:tcPr>
            <w:tcW w:w="320" w:type="dxa"/>
            <w:vAlign w:val="bottom"/>
            <w:shd w:val="clear" w:color="auto" w:fill="E4E4E4"/>
          </w:tcPr>
          <w:p>
            <w:pPr>
              <w:spacing w:after="0"/>
              <w:rPr>
                <w:sz w:val="19"/>
                <w:szCs w:val="19"/>
                <w:color w:val="auto"/>
              </w:rPr>
            </w:pPr>
          </w:p>
        </w:tc>
        <w:tc>
          <w:tcPr>
            <w:tcW w:w="1200" w:type="dxa"/>
            <w:vAlign w:val="bottom"/>
            <w:tcBorders>
              <w:right w:val="single" w:sz="8" w:color="E4E4E4"/>
            </w:tcBorders>
            <w:shd w:val="clear" w:color="auto" w:fill="E4E4E4"/>
          </w:tcPr>
          <w:p>
            <w:pPr>
              <w:spacing w:after="0"/>
              <w:rPr>
                <w:sz w:val="19"/>
                <w:szCs w:val="19"/>
                <w:color w:val="auto"/>
              </w:rPr>
            </w:pPr>
          </w:p>
        </w:tc>
        <w:tc>
          <w:tcPr>
            <w:tcW w:w="100" w:type="dxa"/>
            <w:vAlign w:val="bottom"/>
            <w:tcBorders>
              <w:right w:val="single" w:sz="8" w:color="E4E4E4"/>
            </w:tcBorders>
            <w:shd w:val="clear" w:color="auto" w:fill="E4E4E4"/>
          </w:tcPr>
          <w:p>
            <w:pPr>
              <w:spacing w:after="0"/>
              <w:rPr>
                <w:sz w:val="19"/>
                <w:szCs w:val="19"/>
                <w:color w:val="auto"/>
              </w:rPr>
            </w:pPr>
          </w:p>
        </w:tc>
        <w:tc>
          <w:tcPr>
            <w:tcW w:w="620" w:type="dxa"/>
            <w:vAlign w:val="bottom"/>
            <w:shd w:val="clear" w:color="auto" w:fill="E4E4E4"/>
          </w:tcPr>
          <w:p>
            <w:pPr>
              <w:spacing w:after="0"/>
              <w:rPr>
                <w:sz w:val="19"/>
                <w:szCs w:val="19"/>
                <w:color w:val="auto"/>
              </w:rPr>
            </w:pPr>
          </w:p>
        </w:tc>
        <w:tc>
          <w:tcPr>
            <w:tcW w:w="11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20"/>
                <w:szCs w:val="20"/>
                <w:color w:val="auto"/>
              </w:rPr>
              <w:t>Current assets:</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E4E4E4"/>
          </w:tcPr>
          <w:p>
            <w:pPr>
              <w:ind w:left="280"/>
              <w:spacing w:after="0"/>
              <w:rPr>
                <w:sz w:val="20"/>
                <w:szCs w:val="20"/>
                <w:color w:val="auto"/>
              </w:rPr>
            </w:pPr>
            <w:r>
              <w:rPr>
                <w:rFonts w:ascii="Arial" w:cs="Arial" w:eastAsia="Arial" w:hAnsi="Arial"/>
                <w:sz w:val="20"/>
                <w:szCs w:val="20"/>
                <w:color w:val="auto"/>
              </w:rPr>
              <w:t>Cash and cash equivalents</w:t>
            </w:r>
          </w:p>
        </w:tc>
        <w:tc>
          <w:tcPr>
            <w:tcW w:w="32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w w:val="71"/>
              </w:rPr>
              <w:t>$</w:t>
            </w:r>
          </w:p>
        </w:tc>
        <w:tc>
          <w:tcPr>
            <w:tcW w:w="120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90,584</w:t>
            </w:r>
          </w:p>
        </w:tc>
        <w:tc>
          <w:tcPr>
            <w:tcW w:w="100" w:type="dxa"/>
            <w:vAlign w:val="bottom"/>
            <w:tcBorders>
              <w:right w:val="single" w:sz="8" w:color="E4E4E4"/>
            </w:tcBorders>
            <w:shd w:val="clear" w:color="auto" w:fill="E4E4E4"/>
          </w:tcPr>
          <w:p>
            <w:pPr>
              <w:spacing w:after="0"/>
              <w:rPr>
                <w:sz w:val="19"/>
                <w:szCs w:val="19"/>
                <w:color w:val="auto"/>
              </w:rPr>
            </w:pPr>
          </w:p>
        </w:tc>
        <w:tc>
          <w:tcPr>
            <w:tcW w:w="620" w:type="dxa"/>
            <w:vAlign w:val="bottom"/>
            <w:shd w:val="clear" w:color="auto" w:fill="E4E4E4"/>
          </w:tcPr>
          <w:p>
            <w:pPr>
              <w:jc w:val="center"/>
              <w:ind w:right="420"/>
              <w:spacing w:after="0"/>
              <w:rPr>
                <w:sz w:val="20"/>
                <w:szCs w:val="20"/>
                <w:color w:val="auto"/>
              </w:rPr>
            </w:pPr>
            <w:r>
              <w:rPr>
                <w:rFonts w:ascii="Arial" w:cs="Arial" w:eastAsia="Arial" w:hAnsi="Arial"/>
                <w:sz w:val="20"/>
                <w:szCs w:val="20"/>
                <w:color w:val="auto"/>
                <w:w w:val="89"/>
              </w:rPr>
              <w:t>$</w:t>
            </w:r>
          </w:p>
        </w:tc>
        <w:tc>
          <w:tcPr>
            <w:tcW w:w="120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auto"/>
              </w:rPr>
              <w:t>95,966</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80"/>
              <w:spacing w:after="0"/>
              <w:rPr>
                <w:sz w:val="20"/>
                <w:szCs w:val="20"/>
                <w:color w:val="auto"/>
              </w:rPr>
            </w:pPr>
            <w:r>
              <w:rPr>
                <w:rFonts w:ascii="Arial" w:cs="Arial" w:eastAsia="Arial" w:hAnsi="Arial"/>
                <w:sz w:val="20"/>
                <w:szCs w:val="20"/>
                <w:color w:val="auto"/>
              </w:rPr>
              <w:t>Short-term investments</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56,835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104,378</w:t>
            </w:r>
          </w:p>
        </w:tc>
        <w:tc>
          <w:tcPr>
            <w:tcW w:w="0" w:type="dxa"/>
            <w:vAlign w:val="bottom"/>
          </w:tcPr>
          <w:p>
            <w:pPr>
              <w:spacing w:after="0"/>
              <w:rPr>
                <w:sz w:val="1"/>
                <w:szCs w:val="1"/>
                <w:color w:val="auto"/>
              </w:rPr>
            </w:pPr>
          </w:p>
        </w:tc>
      </w:tr>
      <w:tr>
        <w:trPr>
          <w:trHeight w:val="229"/>
        </w:trPr>
        <w:tc>
          <w:tcPr>
            <w:tcW w:w="5900" w:type="dxa"/>
            <w:vAlign w:val="bottom"/>
            <w:shd w:val="clear" w:color="auto" w:fill="E4E4E4"/>
          </w:tcPr>
          <w:p>
            <w:pPr>
              <w:ind w:left="280"/>
              <w:spacing w:after="0"/>
              <w:rPr>
                <w:sz w:val="20"/>
                <w:szCs w:val="20"/>
                <w:color w:val="auto"/>
              </w:rPr>
            </w:pPr>
            <w:r>
              <w:rPr>
                <w:rFonts w:ascii="Arial" w:cs="Arial" w:eastAsia="Arial" w:hAnsi="Arial"/>
                <w:sz w:val="20"/>
                <w:szCs w:val="20"/>
                <w:color w:val="auto"/>
              </w:rPr>
              <w:t>Unbilled grant receivable</w:t>
            </w:r>
          </w:p>
        </w:tc>
        <w:tc>
          <w:tcPr>
            <w:tcW w:w="2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20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right w:val="single" w:sz="8" w:color="E4E4E4"/>
            </w:tcBorders>
            <w:shd w:val="clear" w:color="auto" w:fill="E4E4E4"/>
          </w:tcPr>
          <w:p>
            <w:pPr>
              <w:spacing w:after="0"/>
              <w:rPr>
                <w:sz w:val="19"/>
                <w:szCs w:val="19"/>
                <w:color w:val="auto"/>
              </w:rPr>
            </w:pPr>
          </w:p>
        </w:tc>
        <w:tc>
          <w:tcPr>
            <w:tcW w:w="620" w:type="dxa"/>
            <w:vAlign w:val="bottom"/>
            <w:shd w:val="clear" w:color="auto" w:fill="E4E4E4"/>
          </w:tcPr>
          <w:p>
            <w:pPr>
              <w:spacing w:after="0"/>
              <w:rPr>
                <w:sz w:val="19"/>
                <w:szCs w:val="19"/>
                <w:color w:val="auto"/>
              </w:rPr>
            </w:pPr>
          </w:p>
        </w:tc>
        <w:tc>
          <w:tcPr>
            <w:tcW w:w="120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auto"/>
              </w:rPr>
              <w:t>1,227</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80"/>
              <w:spacing w:after="0"/>
              <w:rPr>
                <w:sz w:val="20"/>
                <w:szCs w:val="20"/>
                <w:color w:val="auto"/>
              </w:rPr>
            </w:pPr>
            <w:r>
              <w:rPr>
                <w:rFonts w:ascii="Arial" w:cs="Arial" w:eastAsia="Arial" w:hAnsi="Arial"/>
                <w:sz w:val="20"/>
                <w:szCs w:val="20"/>
                <w:color w:val="auto"/>
              </w:rPr>
              <w:t>Prepaid expenses and other current assets</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5,682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5,962</w:t>
            </w: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E4E4E4"/>
          </w:tcPr>
          <w:p>
            <w:pPr>
              <w:ind w:left="280"/>
              <w:spacing w:after="0"/>
              <w:rPr>
                <w:sz w:val="20"/>
                <w:szCs w:val="20"/>
                <w:color w:val="auto"/>
              </w:rPr>
            </w:pPr>
            <w:r>
              <w:rPr>
                <w:rFonts w:ascii="Arial" w:cs="Arial" w:eastAsia="Arial" w:hAnsi="Arial"/>
                <w:sz w:val="20"/>
                <w:szCs w:val="20"/>
                <w:color w:val="auto"/>
              </w:rPr>
              <w:t>Insurance recovery receivable related to legal</w:t>
            </w:r>
          </w:p>
        </w:tc>
        <w:tc>
          <w:tcPr>
            <w:tcW w:w="320" w:type="dxa"/>
            <w:vAlign w:val="bottom"/>
            <w:shd w:val="clear" w:color="auto" w:fill="E4E4E4"/>
          </w:tcPr>
          <w:p>
            <w:pPr>
              <w:spacing w:after="0"/>
              <w:rPr>
                <w:sz w:val="20"/>
                <w:szCs w:val="20"/>
                <w:color w:val="auto"/>
              </w:rPr>
            </w:pPr>
          </w:p>
        </w:tc>
        <w:tc>
          <w:tcPr>
            <w:tcW w:w="1200" w:type="dxa"/>
            <w:vAlign w:val="bottom"/>
            <w:tcBorders>
              <w:right w:val="single" w:sz="8" w:color="E4E4E4"/>
            </w:tcBorders>
            <w:shd w:val="clear" w:color="auto" w:fill="E4E4E4"/>
          </w:tcPr>
          <w:p>
            <w:pPr>
              <w:spacing w:after="0"/>
              <w:rPr>
                <w:sz w:val="20"/>
                <w:szCs w:val="20"/>
                <w:color w:val="auto"/>
              </w:rPr>
            </w:pPr>
          </w:p>
        </w:tc>
        <w:tc>
          <w:tcPr>
            <w:tcW w:w="100" w:type="dxa"/>
            <w:vAlign w:val="bottom"/>
            <w:tcBorders>
              <w:right w:val="single" w:sz="8" w:color="E4E4E4"/>
            </w:tcBorders>
            <w:shd w:val="clear" w:color="auto" w:fill="E4E4E4"/>
          </w:tcPr>
          <w:p>
            <w:pPr>
              <w:spacing w:after="0"/>
              <w:rPr>
                <w:sz w:val="20"/>
                <w:szCs w:val="20"/>
                <w:color w:val="auto"/>
              </w:rPr>
            </w:pPr>
          </w:p>
        </w:tc>
        <w:tc>
          <w:tcPr>
            <w:tcW w:w="620" w:type="dxa"/>
            <w:vAlign w:val="bottom"/>
            <w:shd w:val="clear" w:color="auto" w:fill="E4E4E4"/>
          </w:tcPr>
          <w:p>
            <w:pPr>
              <w:spacing w:after="0"/>
              <w:rPr>
                <w:sz w:val="20"/>
                <w:szCs w:val="20"/>
                <w:color w:val="auto"/>
              </w:rPr>
            </w:pPr>
          </w:p>
        </w:tc>
        <w:tc>
          <w:tcPr>
            <w:tcW w:w="110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20" w:type="dxa"/>
            <w:vAlign w:val="bottom"/>
            <w:gridSpan w:val="2"/>
            <w:shd w:val="clear" w:color="auto" w:fill="E4E4E4"/>
          </w:tcPr>
          <w:p>
            <w:pPr>
              <w:ind w:left="440"/>
              <w:spacing w:after="0"/>
              <w:rPr>
                <w:sz w:val="20"/>
                <w:szCs w:val="20"/>
                <w:color w:val="auto"/>
              </w:rPr>
            </w:pPr>
            <w:r>
              <w:rPr>
                <w:rFonts w:ascii="Arial" w:cs="Arial" w:eastAsia="Arial" w:hAnsi="Arial"/>
                <w:sz w:val="20"/>
                <w:szCs w:val="20"/>
                <w:color w:val="auto"/>
              </w:rPr>
              <w:t>settlement (Note 7)</w:t>
            </w:r>
          </w:p>
        </w:tc>
        <w:tc>
          <w:tcPr>
            <w:tcW w:w="320" w:type="dxa"/>
            <w:vAlign w:val="bottom"/>
            <w:shd w:val="clear" w:color="auto" w:fill="E4E4E4"/>
          </w:tcPr>
          <w:p>
            <w:pPr>
              <w:spacing w:after="0"/>
              <w:rPr>
                <w:sz w:val="21"/>
                <w:szCs w:val="21"/>
                <w:color w:val="auto"/>
              </w:rPr>
            </w:pPr>
          </w:p>
        </w:tc>
        <w:tc>
          <w:tcPr>
            <w:tcW w:w="120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1,628</w:t>
            </w:r>
          </w:p>
        </w:tc>
        <w:tc>
          <w:tcPr>
            <w:tcW w:w="100" w:type="dxa"/>
            <w:vAlign w:val="bottom"/>
            <w:tcBorders>
              <w:right w:val="single" w:sz="8" w:color="E4E4E4"/>
            </w:tcBorders>
            <w:shd w:val="clear" w:color="auto" w:fill="E4E4E4"/>
          </w:tcPr>
          <w:p>
            <w:pPr>
              <w:spacing w:after="0"/>
              <w:rPr>
                <w:sz w:val="21"/>
                <w:szCs w:val="21"/>
                <w:color w:val="auto"/>
              </w:rPr>
            </w:pPr>
          </w:p>
        </w:tc>
        <w:tc>
          <w:tcPr>
            <w:tcW w:w="620" w:type="dxa"/>
            <w:vAlign w:val="bottom"/>
            <w:shd w:val="clear" w:color="auto" w:fill="E4E4E4"/>
          </w:tcPr>
          <w:p>
            <w:pPr>
              <w:spacing w:after="0"/>
              <w:rPr>
                <w:sz w:val="21"/>
                <w:szCs w:val="21"/>
                <w:color w:val="auto"/>
              </w:rPr>
            </w:pPr>
          </w:p>
        </w:tc>
        <w:tc>
          <w:tcPr>
            <w:tcW w:w="120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0"/>
        </w:trPr>
        <w:tc>
          <w:tcPr>
            <w:tcW w:w="5920" w:type="dxa"/>
            <w:vAlign w:val="bottom"/>
            <w:tcBorders>
              <w:top w:val="single" w:sz="8" w:color="E4E4E4"/>
            </w:tcBorders>
            <w:gridSpan w:val="2"/>
          </w:tcPr>
          <w:p>
            <w:pPr>
              <w:ind w:left="560"/>
              <w:spacing w:after="0" w:line="200" w:lineRule="exact"/>
              <w:rPr>
                <w:sz w:val="20"/>
                <w:szCs w:val="20"/>
                <w:color w:val="auto"/>
              </w:rPr>
            </w:pPr>
            <w:r>
              <w:rPr>
                <w:rFonts w:ascii="Arial" w:cs="Arial" w:eastAsia="Arial" w:hAnsi="Arial"/>
                <w:sz w:val="20"/>
                <w:szCs w:val="20"/>
                <w:color w:val="auto"/>
              </w:rPr>
              <w:t>Total current assets</w:t>
            </w: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154,729</w:t>
            </w:r>
          </w:p>
        </w:tc>
        <w:tc>
          <w:tcPr>
            <w:tcW w:w="100" w:type="dxa"/>
            <w:vAlign w:val="bottom"/>
            <w:tcBorders>
              <w:top w:val="single" w:sz="8" w:color="E4E4E4"/>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207,533</w:t>
            </w:r>
          </w:p>
        </w:tc>
        <w:tc>
          <w:tcPr>
            <w:tcW w:w="100" w:type="dxa"/>
            <w:vAlign w:val="bottom"/>
            <w:tcBorders>
              <w:top w:val="single" w:sz="8" w:color="E4E4E4"/>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E4E4E4"/>
          </w:tcPr>
          <w:p>
            <w:pPr>
              <w:spacing w:after="0"/>
              <w:rPr>
                <w:sz w:val="20"/>
                <w:szCs w:val="20"/>
                <w:color w:val="auto"/>
              </w:rPr>
            </w:pPr>
            <w:r>
              <w:rPr>
                <w:rFonts w:ascii="Arial" w:cs="Arial" w:eastAsia="Arial" w:hAnsi="Arial"/>
                <w:sz w:val="20"/>
                <w:szCs w:val="20"/>
                <w:color w:val="auto"/>
              </w:rPr>
              <w:t>Restricted cash</w:t>
            </w:r>
          </w:p>
        </w:tc>
        <w:tc>
          <w:tcPr>
            <w:tcW w:w="320" w:type="dxa"/>
            <w:vAlign w:val="bottom"/>
            <w:shd w:val="clear" w:color="auto" w:fill="E4E4E4"/>
          </w:tcPr>
          <w:p>
            <w:pPr>
              <w:spacing w:after="0"/>
              <w:rPr>
                <w:sz w:val="20"/>
                <w:szCs w:val="20"/>
                <w:color w:val="auto"/>
              </w:rPr>
            </w:pPr>
          </w:p>
        </w:tc>
        <w:tc>
          <w:tcPr>
            <w:tcW w:w="120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631</w:t>
            </w:r>
          </w:p>
        </w:tc>
        <w:tc>
          <w:tcPr>
            <w:tcW w:w="100" w:type="dxa"/>
            <w:vAlign w:val="bottom"/>
            <w:tcBorders>
              <w:right w:val="single" w:sz="8" w:color="E4E4E4"/>
            </w:tcBorders>
            <w:shd w:val="clear" w:color="auto" w:fill="E4E4E4"/>
          </w:tcPr>
          <w:p>
            <w:pPr>
              <w:spacing w:after="0"/>
              <w:rPr>
                <w:sz w:val="20"/>
                <w:szCs w:val="20"/>
                <w:color w:val="auto"/>
              </w:rPr>
            </w:pPr>
          </w:p>
        </w:tc>
        <w:tc>
          <w:tcPr>
            <w:tcW w:w="620" w:type="dxa"/>
            <w:vAlign w:val="bottom"/>
            <w:shd w:val="clear" w:color="auto" w:fill="E4E4E4"/>
          </w:tcPr>
          <w:p>
            <w:pPr>
              <w:spacing w:after="0"/>
              <w:rPr>
                <w:sz w:val="20"/>
                <w:szCs w:val="20"/>
                <w:color w:val="auto"/>
              </w:rPr>
            </w:pPr>
          </w:p>
        </w:tc>
        <w:tc>
          <w:tcPr>
            <w:tcW w:w="120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auto"/>
              </w:rPr>
              <w:t>420</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20"/>
                <w:szCs w:val="20"/>
                <w:color w:val="auto"/>
              </w:rPr>
              <w:t>Property and equipment, net</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3,388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4,053</w:t>
            </w:r>
          </w:p>
        </w:tc>
        <w:tc>
          <w:tcPr>
            <w:tcW w:w="0" w:type="dxa"/>
            <w:vAlign w:val="bottom"/>
          </w:tcPr>
          <w:p>
            <w:pPr>
              <w:spacing w:after="0"/>
              <w:rPr>
                <w:sz w:val="1"/>
                <w:szCs w:val="1"/>
                <w:color w:val="auto"/>
              </w:rPr>
            </w:pPr>
          </w:p>
        </w:tc>
      </w:tr>
      <w:tr>
        <w:trPr>
          <w:trHeight w:val="229"/>
        </w:trPr>
        <w:tc>
          <w:tcPr>
            <w:tcW w:w="5900" w:type="dxa"/>
            <w:vAlign w:val="bottom"/>
            <w:shd w:val="clear" w:color="auto" w:fill="E4E4E4"/>
          </w:tcPr>
          <w:p>
            <w:pPr>
              <w:spacing w:after="0"/>
              <w:rPr>
                <w:sz w:val="20"/>
                <w:szCs w:val="20"/>
                <w:color w:val="auto"/>
              </w:rPr>
            </w:pPr>
            <w:r>
              <w:rPr>
                <w:rFonts w:ascii="Arial" w:cs="Arial" w:eastAsia="Arial" w:hAnsi="Arial"/>
                <w:sz w:val="20"/>
                <w:szCs w:val="20"/>
                <w:color w:val="auto"/>
              </w:rPr>
              <w:t>Operating lease right-of-use asset</w:t>
            </w:r>
          </w:p>
        </w:tc>
        <w:tc>
          <w:tcPr>
            <w:tcW w:w="2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20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1,049</w:t>
            </w:r>
          </w:p>
        </w:tc>
        <w:tc>
          <w:tcPr>
            <w:tcW w:w="100" w:type="dxa"/>
            <w:vAlign w:val="bottom"/>
            <w:tcBorders>
              <w:right w:val="single" w:sz="8" w:color="E4E4E4"/>
            </w:tcBorders>
            <w:shd w:val="clear" w:color="auto" w:fill="E4E4E4"/>
          </w:tcPr>
          <w:p>
            <w:pPr>
              <w:spacing w:after="0"/>
              <w:rPr>
                <w:sz w:val="19"/>
                <w:szCs w:val="19"/>
                <w:color w:val="auto"/>
              </w:rPr>
            </w:pPr>
          </w:p>
        </w:tc>
        <w:tc>
          <w:tcPr>
            <w:tcW w:w="620" w:type="dxa"/>
            <w:vAlign w:val="bottom"/>
            <w:shd w:val="clear" w:color="auto" w:fill="E4E4E4"/>
          </w:tcPr>
          <w:p>
            <w:pPr>
              <w:spacing w:after="0"/>
              <w:rPr>
                <w:sz w:val="19"/>
                <w:szCs w:val="19"/>
                <w:color w:val="auto"/>
              </w:rPr>
            </w:pPr>
          </w:p>
        </w:tc>
        <w:tc>
          <w:tcPr>
            <w:tcW w:w="120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auto"/>
              </w:rPr>
              <w:t>1,263</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20"/>
                <w:szCs w:val="20"/>
                <w:color w:val="auto"/>
              </w:rPr>
              <w:t>Long-term investments</w:t>
            </w: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6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44,829</w:t>
            </w: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E4E4E4"/>
          </w:tcPr>
          <w:p>
            <w:pPr>
              <w:spacing w:after="0"/>
              <w:rPr>
                <w:sz w:val="20"/>
                <w:szCs w:val="20"/>
                <w:color w:val="auto"/>
              </w:rPr>
            </w:pPr>
            <w:r>
              <w:rPr>
                <w:rFonts w:ascii="Arial" w:cs="Arial" w:eastAsia="Arial" w:hAnsi="Arial"/>
                <w:sz w:val="20"/>
                <w:szCs w:val="20"/>
                <w:color w:val="auto"/>
              </w:rPr>
              <w:t>Other long-term assets</w:t>
            </w:r>
          </w:p>
        </w:tc>
        <w:tc>
          <w:tcPr>
            <w:tcW w:w="320" w:type="dxa"/>
            <w:vAlign w:val="bottom"/>
            <w:shd w:val="clear" w:color="auto" w:fill="E4E4E4"/>
          </w:tcPr>
          <w:p>
            <w:pPr>
              <w:spacing w:after="0"/>
              <w:rPr>
                <w:sz w:val="20"/>
                <w:szCs w:val="20"/>
                <w:color w:val="auto"/>
              </w:rPr>
            </w:pPr>
          </w:p>
        </w:tc>
        <w:tc>
          <w:tcPr>
            <w:tcW w:w="120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448</w:t>
            </w:r>
          </w:p>
        </w:tc>
        <w:tc>
          <w:tcPr>
            <w:tcW w:w="100" w:type="dxa"/>
            <w:vAlign w:val="bottom"/>
            <w:tcBorders>
              <w:right w:val="single" w:sz="8" w:color="E4E4E4"/>
            </w:tcBorders>
            <w:shd w:val="clear" w:color="auto" w:fill="E4E4E4"/>
          </w:tcPr>
          <w:p>
            <w:pPr>
              <w:spacing w:after="0"/>
              <w:rPr>
                <w:sz w:val="20"/>
                <w:szCs w:val="20"/>
                <w:color w:val="auto"/>
              </w:rPr>
            </w:pPr>
          </w:p>
        </w:tc>
        <w:tc>
          <w:tcPr>
            <w:tcW w:w="620" w:type="dxa"/>
            <w:vAlign w:val="bottom"/>
            <w:shd w:val="clear" w:color="auto" w:fill="E4E4E4"/>
          </w:tcPr>
          <w:p>
            <w:pPr>
              <w:spacing w:after="0"/>
              <w:rPr>
                <w:sz w:val="20"/>
                <w:szCs w:val="20"/>
                <w:color w:val="auto"/>
              </w:rPr>
            </w:pPr>
          </w:p>
        </w:tc>
        <w:tc>
          <w:tcPr>
            <w:tcW w:w="120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260"/>
        </w:trPr>
        <w:tc>
          <w:tcPr>
            <w:tcW w:w="5920" w:type="dxa"/>
            <w:vAlign w:val="bottom"/>
            <w:gridSpan w:val="2"/>
          </w:tcPr>
          <w:p>
            <w:pPr>
              <w:ind w:left="560"/>
              <w:spacing w:after="0" w:line="220" w:lineRule="exact"/>
              <w:rPr>
                <w:sz w:val="20"/>
                <w:szCs w:val="20"/>
                <w:color w:val="auto"/>
              </w:rPr>
            </w:pPr>
            <w:r>
              <w:rPr>
                <w:rFonts w:ascii="Arial" w:cs="Arial" w:eastAsia="Arial" w:hAnsi="Arial"/>
                <w:sz w:val="20"/>
                <w:szCs w:val="20"/>
                <w:color w:val="auto"/>
              </w:rPr>
              <w:t>Total assets</w:t>
            </w:r>
          </w:p>
        </w:tc>
        <w:tc>
          <w:tcPr>
            <w:tcW w:w="320" w:type="dxa"/>
            <w:vAlign w:val="bottom"/>
            <w:tcBorders>
              <w:top w:val="single" w:sz="8" w:color="auto"/>
            </w:tcBorders>
          </w:tcPr>
          <w:p>
            <w:pPr>
              <w:jc w:val="right"/>
              <w:ind w:right="120"/>
              <w:spacing w:after="0" w:line="220" w:lineRule="exact"/>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rPr>
              <w:t>160,245</w:t>
            </w:r>
          </w:p>
        </w:tc>
        <w:tc>
          <w:tcPr>
            <w:tcW w:w="100" w:type="dxa"/>
            <w:vAlign w:val="bottom"/>
          </w:tcPr>
          <w:p>
            <w:pPr>
              <w:spacing w:after="0"/>
              <w:rPr>
                <w:sz w:val="22"/>
                <w:szCs w:val="22"/>
                <w:color w:val="auto"/>
              </w:rPr>
            </w:pPr>
          </w:p>
        </w:tc>
        <w:tc>
          <w:tcPr>
            <w:tcW w:w="620" w:type="dxa"/>
            <w:vAlign w:val="bottom"/>
            <w:tcBorders>
              <w:top w:val="single" w:sz="8" w:color="auto"/>
            </w:tcBorders>
          </w:tcPr>
          <w:p>
            <w:pPr>
              <w:jc w:val="center"/>
              <w:ind w:right="420"/>
              <w:spacing w:after="0" w:line="220" w:lineRule="exact"/>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rPr>
              <w:t>258,153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920" w:type="dxa"/>
            <w:vAlign w:val="bottom"/>
            <w:tcBorders>
              <w:top w:val="single" w:sz="8" w:color="E4E4E4"/>
            </w:tcBorders>
            <w:gridSpan w:val="2"/>
            <w:shd w:val="clear" w:color="auto" w:fill="E4E4E4"/>
          </w:tcPr>
          <w:p>
            <w:pPr>
              <w:spacing w:after="0" w:line="215" w:lineRule="exact"/>
              <w:rPr>
                <w:sz w:val="20"/>
                <w:szCs w:val="20"/>
                <w:color w:val="auto"/>
              </w:rPr>
            </w:pPr>
            <w:r>
              <w:rPr>
                <w:rFonts w:ascii="Arial" w:cs="Arial" w:eastAsia="Arial" w:hAnsi="Arial"/>
                <w:sz w:val="20"/>
                <w:szCs w:val="20"/>
                <w:b w:val="1"/>
                <w:bCs w:val="1"/>
                <w:color w:val="auto"/>
              </w:rPr>
              <w:t>Liabilities and stockholders' equity</w:t>
            </w:r>
          </w:p>
        </w:tc>
        <w:tc>
          <w:tcPr>
            <w:tcW w:w="320" w:type="dxa"/>
            <w:vAlign w:val="bottom"/>
            <w:tcBorders>
              <w:top w:val="single" w:sz="8" w:color="auto"/>
            </w:tcBorders>
            <w:shd w:val="clear" w:color="auto" w:fill="E4E4E4"/>
          </w:tcPr>
          <w:p>
            <w:pPr>
              <w:spacing w:after="0"/>
              <w:rPr>
                <w:sz w:val="18"/>
                <w:szCs w:val="18"/>
                <w:color w:val="auto"/>
              </w:rPr>
            </w:pPr>
          </w:p>
        </w:tc>
        <w:tc>
          <w:tcPr>
            <w:tcW w:w="1200" w:type="dxa"/>
            <w:vAlign w:val="bottom"/>
            <w:tcBorders>
              <w:top w:val="single" w:sz="8" w:color="auto"/>
              <w:right w:val="single" w:sz="8" w:color="E4E4E4"/>
            </w:tcBorders>
            <w:shd w:val="clear" w:color="auto" w:fill="E4E4E4"/>
          </w:tcPr>
          <w:p>
            <w:pPr>
              <w:spacing w:after="0"/>
              <w:rPr>
                <w:sz w:val="18"/>
                <w:szCs w:val="18"/>
                <w:color w:val="auto"/>
              </w:rPr>
            </w:pPr>
          </w:p>
        </w:tc>
        <w:tc>
          <w:tcPr>
            <w:tcW w:w="100" w:type="dxa"/>
            <w:vAlign w:val="bottom"/>
            <w:tcBorders>
              <w:top w:val="single" w:sz="8" w:color="E4E4E4"/>
              <w:right w:val="single" w:sz="8" w:color="E4E4E4"/>
            </w:tcBorders>
            <w:shd w:val="clear" w:color="auto" w:fill="E4E4E4"/>
          </w:tcPr>
          <w:p>
            <w:pPr>
              <w:spacing w:after="0"/>
              <w:rPr>
                <w:sz w:val="18"/>
                <w:szCs w:val="18"/>
                <w:color w:val="auto"/>
              </w:rPr>
            </w:pPr>
          </w:p>
        </w:tc>
        <w:tc>
          <w:tcPr>
            <w:tcW w:w="620" w:type="dxa"/>
            <w:vAlign w:val="bottom"/>
            <w:tcBorders>
              <w:top w:val="single" w:sz="8" w:color="auto"/>
            </w:tcBorders>
            <w:shd w:val="clear" w:color="auto" w:fill="E4E4E4"/>
          </w:tcPr>
          <w:p>
            <w:pPr>
              <w:spacing w:after="0"/>
              <w:rPr>
                <w:sz w:val="18"/>
                <w:szCs w:val="18"/>
                <w:color w:val="auto"/>
              </w:rPr>
            </w:pPr>
          </w:p>
        </w:tc>
        <w:tc>
          <w:tcPr>
            <w:tcW w:w="1100" w:type="dxa"/>
            <w:vAlign w:val="bottom"/>
            <w:tcBorders>
              <w:top w:val="single" w:sz="8" w:color="auto"/>
            </w:tcBorders>
            <w:shd w:val="clear" w:color="auto" w:fill="E4E4E4"/>
          </w:tcPr>
          <w:p>
            <w:pPr>
              <w:spacing w:after="0"/>
              <w:rPr>
                <w:sz w:val="18"/>
                <w:szCs w:val="18"/>
                <w:color w:val="auto"/>
              </w:rPr>
            </w:pPr>
          </w:p>
        </w:tc>
        <w:tc>
          <w:tcPr>
            <w:tcW w:w="10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20" w:type="dxa"/>
            <w:vAlign w:val="bottom"/>
            <w:gridSpan w:val="2"/>
          </w:tcPr>
          <w:p>
            <w:pPr>
              <w:spacing w:after="0"/>
              <w:rPr>
                <w:sz w:val="20"/>
                <w:szCs w:val="20"/>
                <w:color w:val="auto"/>
              </w:rPr>
            </w:pPr>
            <w:r>
              <w:rPr>
                <w:rFonts w:ascii="Arial" w:cs="Arial" w:eastAsia="Arial" w:hAnsi="Arial"/>
                <w:sz w:val="20"/>
                <w:szCs w:val="20"/>
                <w:color w:val="auto"/>
              </w:rPr>
              <w:t>Current liabilities: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E4E4E4"/>
          </w:tcPr>
          <w:p>
            <w:pPr>
              <w:ind w:left="280"/>
              <w:spacing w:after="0"/>
              <w:rPr>
                <w:sz w:val="20"/>
                <w:szCs w:val="20"/>
                <w:color w:val="auto"/>
              </w:rPr>
            </w:pPr>
            <w:r>
              <w:rPr>
                <w:rFonts w:ascii="Arial" w:cs="Arial" w:eastAsia="Arial" w:hAnsi="Arial"/>
                <w:sz w:val="20"/>
                <w:szCs w:val="20"/>
                <w:color w:val="auto"/>
              </w:rPr>
              <w:t>Accounts payable</w:t>
            </w:r>
          </w:p>
        </w:tc>
        <w:tc>
          <w:tcPr>
            <w:tcW w:w="32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w w:val="71"/>
              </w:rPr>
              <w:t>$</w:t>
            </w:r>
          </w:p>
        </w:tc>
        <w:tc>
          <w:tcPr>
            <w:tcW w:w="120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129</w:t>
            </w:r>
          </w:p>
        </w:tc>
        <w:tc>
          <w:tcPr>
            <w:tcW w:w="100" w:type="dxa"/>
            <w:vAlign w:val="bottom"/>
            <w:tcBorders>
              <w:right w:val="single" w:sz="8" w:color="E4E4E4"/>
            </w:tcBorders>
            <w:shd w:val="clear" w:color="auto" w:fill="E4E4E4"/>
          </w:tcPr>
          <w:p>
            <w:pPr>
              <w:spacing w:after="0"/>
              <w:rPr>
                <w:sz w:val="20"/>
                <w:szCs w:val="20"/>
                <w:color w:val="auto"/>
              </w:rPr>
            </w:pPr>
          </w:p>
        </w:tc>
        <w:tc>
          <w:tcPr>
            <w:tcW w:w="620" w:type="dxa"/>
            <w:vAlign w:val="bottom"/>
            <w:shd w:val="clear" w:color="auto" w:fill="E4E4E4"/>
          </w:tcPr>
          <w:p>
            <w:pPr>
              <w:jc w:val="center"/>
              <w:ind w:right="420"/>
              <w:spacing w:after="0"/>
              <w:rPr>
                <w:sz w:val="20"/>
                <w:szCs w:val="20"/>
                <w:color w:val="auto"/>
              </w:rPr>
            </w:pPr>
            <w:r>
              <w:rPr>
                <w:rFonts w:ascii="Arial" w:cs="Arial" w:eastAsia="Arial" w:hAnsi="Arial"/>
                <w:sz w:val="20"/>
                <w:szCs w:val="20"/>
                <w:color w:val="auto"/>
                <w:w w:val="89"/>
              </w:rPr>
              <w:t>$</w:t>
            </w:r>
          </w:p>
        </w:tc>
        <w:tc>
          <w:tcPr>
            <w:tcW w:w="120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auto"/>
              </w:rPr>
              <w:t>2,501</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18,343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8,604</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E4E4E4"/>
          </w:tcPr>
          <w:p>
            <w:pPr>
              <w:ind w:left="280"/>
              <w:spacing w:after="0"/>
              <w:rPr>
                <w:sz w:val="20"/>
                <w:szCs w:val="20"/>
                <w:color w:val="auto"/>
              </w:rPr>
            </w:pPr>
            <w:r>
              <w:rPr>
                <w:rFonts w:ascii="Arial" w:cs="Arial" w:eastAsia="Arial" w:hAnsi="Arial"/>
                <w:sz w:val="20"/>
                <w:szCs w:val="20"/>
                <w:color w:val="auto"/>
              </w:rPr>
              <w:t>Accrued legal settlement (Note 7)</w:t>
            </w:r>
          </w:p>
        </w:tc>
        <w:tc>
          <w:tcPr>
            <w:tcW w:w="320" w:type="dxa"/>
            <w:vAlign w:val="bottom"/>
            <w:shd w:val="clear" w:color="auto" w:fill="E4E4E4"/>
          </w:tcPr>
          <w:p>
            <w:pPr>
              <w:spacing w:after="0"/>
              <w:rPr>
                <w:sz w:val="19"/>
                <w:szCs w:val="19"/>
                <w:color w:val="auto"/>
              </w:rPr>
            </w:pPr>
          </w:p>
        </w:tc>
        <w:tc>
          <w:tcPr>
            <w:tcW w:w="120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10,000</w:t>
            </w:r>
          </w:p>
        </w:tc>
        <w:tc>
          <w:tcPr>
            <w:tcW w:w="100" w:type="dxa"/>
            <w:vAlign w:val="bottom"/>
            <w:tcBorders>
              <w:right w:val="single" w:sz="8" w:color="E4E4E4"/>
            </w:tcBorders>
            <w:shd w:val="clear" w:color="auto" w:fill="E4E4E4"/>
          </w:tcPr>
          <w:p>
            <w:pPr>
              <w:spacing w:after="0"/>
              <w:rPr>
                <w:sz w:val="19"/>
                <w:szCs w:val="19"/>
                <w:color w:val="auto"/>
              </w:rPr>
            </w:pPr>
          </w:p>
        </w:tc>
        <w:tc>
          <w:tcPr>
            <w:tcW w:w="620" w:type="dxa"/>
            <w:vAlign w:val="bottom"/>
            <w:shd w:val="clear" w:color="auto" w:fill="E4E4E4"/>
          </w:tcPr>
          <w:p>
            <w:pPr>
              <w:spacing w:after="0"/>
              <w:rPr>
                <w:sz w:val="19"/>
                <w:szCs w:val="19"/>
                <w:color w:val="auto"/>
              </w:rPr>
            </w:pPr>
          </w:p>
        </w:tc>
        <w:tc>
          <w:tcPr>
            <w:tcW w:w="120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auto"/>
              </w:rPr>
              <w:t>10,000</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80"/>
              <w:spacing w:after="0"/>
              <w:rPr>
                <w:sz w:val="20"/>
                <w:szCs w:val="20"/>
                <w:color w:val="auto"/>
              </w:rPr>
            </w:pPr>
            <w:r>
              <w:rPr>
                <w:rFonts w:ascii="Arial" w:cs="Arial" w:eastAsia="Arial" w:hAnsi="Arial"/>
                <w:sz w:val="20"/>
                <w:szCs w:val="20"/>
                <w:color w:val="auto"/>
              </w:rPr>
              <w:t>Current operating lease liability</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368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326</w:t>
            </w:r>
          </w:p>
        </w:tc>
        <w:tc>
          <w:tcPr>
            <w:tcW w:w="0" w:type="dxa"/>
            <w:vAlign w:val="bottom"/>
          </w:tcPr>
          <w:p>
            <w:pPr>
              <w:spacing w:after="0"/>
              <w:rPr>
                <w:sz w:val="1"/>
                <w:szCs w:val="1"/>
                <w:color w:val="auto"/>
              </w:rPr>
            </w:pPr>
          </w:p>
        </w:tc>
      </w:tr>
      <w:tr>
        <w:trPr>
          <w:trHeight w:val="20"/>
        </w:trPr>
        <w:tc>
          <w:tcPr>
            <w:tcW w:w="5920" w:type="dxa"/>
            <w:vAlign w:val="bottom"/>
            <w:gridSpan w:val="2"/>
            <w:vMerge w:val="restart"/>
            <w:shd w:val="clear" w:color="auto" w:fill="E4E4E4"/>
          </w:tcPr>
          <w:p>
            <w:pPr>
              <w:ind w:left="560"/>
              <w:spacing w:after="0"/>
              <w:rPr>
                <w:sz w:val="20"/>
                <w:szCs w:val="20"/>
                <w:color w:val="auto"/>
              </w:rPr>
            </w:pPr>
            <w:r>
              <w:rPr>
                <w:rFonts w:ascii="Arial" w:cs="Arial" w:eastAsia="Arial" w:hAnsi="Arial"/>
                <w:sz w:val="20"/>
                <w:szCs w:val="20"/>
                <w:color w:val="auto"/>
              </w:rPr>
              <w:t>Total current liabilities</w:t>
            </w:r>
          </w:p>
        </w:tc>
        <w:tc>
          <w:tcPr>
            <w:tcW w:w="320" w:type="dxa"/>
            <w:vAlign w:val="bottom"/>
            <w:shd w:val="clear" w:color="auto" w:fill="000000"/>
          </w:tcPr>
          <w:p>
            <w:pPr>
              <w:spacing w:after="0" w:line="20" w:lineRule="exact"/>
              <w:rPr>
                <w:sz w:val="1"/>
                <w:szCs w:val="1"/>
                <w:color w:val="auto"/>
              </w:rPr>
            </w:pPr>
          </w:p>
        </w:tc>
        <w:tc>
          <w:tcPr>
            <w:tcW w:w="1200" w:type="dxa"/>
            <w:vAlign w:val="bottom"/>
            <w:tcBorders>
              <w:right w:val="single" w:sz="8" w:color="E4E4E4"/>
            </w:tcBorders>
            <w:shd w:val="clear" w:color="auto" w:fill="000000"/>
          </w:tcPr>
          <w:p>
            <w:pPr>
              <w:spacing w:after="0" w:line="20" w:lineRule="exact"/>
              <w:rPr>
                <w:sz w:val="1"/>
                <w:szCs w:val="1"/>
                <w:color w:val="auto"/>
              </w:rPr>
            </w:pPr>
          </w:p>
        </w:tc>
        <w:tc>
          <w:tcPr>
            <w:tcW w:w="100" w:type="dxa"/>
            <w:vAlign w:val="bottom"/>
            <w:tcBorders>
              <w:right w:val="single" w:sz="8" w:color="E4E4E4"/>
            </w:tcBorders>
            <w:shd w:val="clear" w:color="auto" w:fill="E4E4E4"/>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920" w:type="dxa"/>
            <w:vAlign w:val="bottom"/>
            <w:gridSpan w:val="2"/>
            <w:vMerge w:val="continue"/>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200" w:type="dxa"/>
            <w:vAlign w:val="bottom"/>
            <w:tcBorders>
              <w:right w:val="single" w:sz="8" w:color="E4E4E4"/>
            </w:tcBorders>
            <w:shd w:val="clear" w:color="auto" w:fill="E4E4E4"/>
          </w:tcPr>
          <w:p>
            <w:pPr>
              <w:jc w:val="right"/>
              <w:spacing w:after="0" w:line="220" w:lineRule="exact"/>
              <w:rPr>
                <w:sz w:val="20"/>
                <w:szCs w:val="20"/>
                <w:color w:val="auto"/>
              </w:rPr>
            </w:pPr>
            <w:r>
              <w:rPr>
                <w:rFonts w:ascii="Arial" w:cs="Arial" w:eastAsia="Arial" w:hAnsi="Arial"/>
                <w:sz w:val="20"/>
                <w:szCs w:val="20"/>
                <w:color w:val="auto"/>
              </w:rPr>
              <w:t>28,840</w:t>
            </w:r>
          </w:p>
        </w:tc>
        <w:tc>
          <w:tcPr>
            <w:tcW w:w="100" w:type="dxa"/>
            <w:vAlign w:val="bottom"/>
            <w:tcBorders>
              <w:right w:val="single" w:sz="8" w:color="E4E4E4"/>
            </w:tcBorders>
            <w:shd w:val="clear" w:color="auto" w:fill="E4E4E4"/>
          </w:tcPr>
          <w:p>
            <w:pPr>
              <w:spacing w:after="0"/>
              <w:rPr>
                <w:sz w:val="19"/>
                <w:szCs w:val="19"/>
                <w:color w:val="auto"/>
              </w:rPr>
            </w:pPr>
          </w:p>
        </w:tc>
        <w:tc>
          <w:tcPr>
            <w:tcW w:w="620" w:type="dxa"/>
            <w:vAlign w:val="bottom"/>
            <w:shd w:val="clear" w:color="auto" w:fill="E4E4E4"/>
          </w:tcPr>
          <w:p>
            <w:pPr>
              <w:spacing w:after="0"/>
              <w:rPr>
                <w:sz w:val="19"/>
                <w:szCs w:val="19"/>
                <w:color w:val="auto"/>
              </w:rPr>
            </w:pPr>
          </w:p>
        </w:tc>
        <w:tc>
          <w:tcPr>
            <w:tcW w:w="1200" w:type="dxa"/>
            <w:vAlign w:val="bottom"/>
            <w:gridSpan w:val="2"/>
            <w:shd w:val="clear" w:color="auto" w:fill="E4E4E4"/>
          </w:tcPr>
          <w:p>
            <w:pPr>
              <w:jc w:val="right"/>
              <w:ind w:right="100"/>
              <w:spacing w:after="0" w:line="220" w:lineRule="exact"/>
              <w:rPr>
                <w:sz w:val="20"/>
                <w:szCs w:val="20"/>
                <w:color w:val="auto"/>
              </w:rPr>
            </w:pPr>
            <w:r>
              <w:rPr>
                <w:rFonts w:ascii="Arial" w:cs="Arial" w:eastAsia="Arial" w:hAnsi="Arial"/>
                <w:sz w:val="20"/>
                <w:szCs w:val="20"/>
                <w:color w:val="auto"/>
              </w:rPr>
              <w:t>21,431</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20"/>
                <w:szCs w:val="20"/>
                <w:color w:val="auto"/>
              </w:rPr>
              <w:t>Operating lease liability, less current portion</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1,217</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1,585</w:t>
            </w:r>
          </w:p>
        </w:tc>
        <w:tc>
          <w:tcPr>
            <w:tcW w:w="0" w:type="dxa"/>
            <w:vAlign w:val="bottom"/>
          </w:tcPr>
          <w:p>
            <w:pPr>
              <w:spacing w:after="0"/>
              <w:rPr>
                <w:sz w:val="1"/>
                <w:szCs w:val="1"/>
                <w:color w:val="auto"/>
              </w:rPr>
            </w:pPr>
          </w:p>
        </w:tc>
      </w:tr>
      <w:tr>
        <w:trPr>
          <w:trHeight w:val="20"/>
        </w:trPr>
        <w:tc>
          <w:tcPr>
            <w:tcW w:w="5920" w:type="dxa"/>
            <w:vAlign w:val="bottom"/>
            <w:gridSpan w:val="2"/>
            <w:vMerge w:val="restart"/>
            <w:shd w:val="clear" w:color="auto" w:fill="E4E4E4"/>
          </w:tcPr>
          <w:p>
            <w:pPr>
              <w:ind w:left="560"/>
              <w:spacing w:after="0"/>
              <w:rPr>
                <w:sz w:val="20"/>
                <w:szCs w:val="20"/>
                <w:color w:val="auto"/>
              </w:rPr>
            </w:pPr>
            <w:r>
              <w:rPr>
                <w:rFonts w:ascii="Arial" w:cs="Arial" w:eastAsia="Arial" w:hAnsi="Arial"/>
                <w:sz w:val="20"/>
                <w:szCs w:val="20"/>
                <w:color w:val="auto"/>
              </w:rPr>
              <w:t>Total liabilities</w:t>
            </w:r>
          </w:p>
        </w:tc>
        <w:tc>
          <w:tcPr>
            <w:tcW w:w="320" w:type="dxa"/>
            <w:vAlign w:val="bottom"/>
            <w:shd w:val="clear" w:color="auto" w:fill="000000"/>
          </w:tcPr>
          <w:p>
            <w:pPr>
              <w:spacing w:after="0" w:line="20" w:lineRule="exact"/>
              <w:rPr>
                <w:sz w:val="1"/>
                <w:szCs w:val="1"/>
                <w:color w:val="auto"/>
              </w:rPr>
            </w:pPr>
          </w:p>
        </w:tc>
        <w:tc>
          <w:tcPr>
            <w:tcW w:w="1200" w:type="dxa"/>
            <w:vAlign w:val="bottom"/>
            <w:tcBorders>
              <w:right w:val="single" w:sz="8" w:color="E4E4E4"/>
            </w:tcBorders>
            <w:shd w:val="clear" w:color="auto" w:fill="000000"/>
          </w:tcPr>
          <w:p>
            <w:pPr>
              <w:spacing w:after="0" w:line="20" w:lineRule="exact"/>
              <w:rPr>
                <w:sz w:val="1"/>
                <w:szCs w:val="1"/>
                <w:color w:val="auto"/>
              </w:rPr>
            </w:pPr>
          </w:p>
        </w:tc>
        <w:tc>
          <w:tcPr>
            <w:tcW w:w="100" w:type="dxa"/>
            <w:vAlign w:val="bottom"/>
            <w:tcBorders>
              <w:right w:val="single" w:sz="8" w:color="E4E4E4"/>
            </w:tcBorders>
            <w:shd w:val="clear" w:color="auto" w:fill="E4E4E4"/>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920" w:type="dxa"/>
            <w:vAlign w:val="bottom"/>
            <w:gridSpan w:val="2"/>
            <w:vMerge w:val="continue"/>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200" w:type="dxa"/>
            <w:vAlign w:val="bottom"/>
            <w:tcBorders>
              <w:right w:val="single" w:sz="8" w:color="E4E4E4"/>
            </w:tcBorders>
            <w:shd w:val="clear" w:color="auto" w:fill="E4E4E4"/>
          </w:tcPr>
          <w:p>
            <w:pPr>
              <w:jc w:val="right"/>
              <w:spacing w:after="0" w:line="220" w:lineRule="exact"/>
              <w:rPr>
                <w:sz w:val="20"/>
                <w:szCs w:val="20"/>
                <w:color w:val="auto"/>
              </w:rPr>
            </w:pPr>
            <w:r>
              <w:rPr>
                <w:rFonts w:ascii="Arial" w:cs="Arial" w:eastAsia="Arial" w:hAnsi="Arial"/>
                <w:sz w:val="20"/>
                <w:szCs w:val="20"/>
                <w:color w:val="auto"/>
              </w:rPr>
              <w:t>30,057</w:t>
            </w:r>
          </w:p>
        </w:tc>
        <w:tc>
          <w:tcPr>
            <w:tcW w:w="100" w:type="dxa"/>
            <w:vAlign w:val="bottom"/>
            <w:tcBorders>
              <w:right w:val="single" w:sz="8" w:color="E4E4E4"/>
            </w:tcBorders>
            <w:shd w:val="clear" w:color="auto" w:fill="E4E4E4"/>
          </w:tcPr>
          <w:p>
            <w:pPr>
              <w:spacing w:after="0"/>
              <w:rPr>
                <w:sz w:val="19"/>
                <w:szCs w:val="19"/>
                <w:color w:val="auto"/>
              </w:rPr>
            </w:pPr>
          </w:p>
        </w:tc>
        <w:tc>
          <w:tcPr>
            <w:tcW w:w="620" w:type="dxa"/>
            <w:vAlign w:val="bottom"/>
            <w:shd w:val="clear" w:color="auto" w:fill="E4E4E4"/>
          </w:tcPr>
          <w:p>
            <w:pPr>
              <w:spacing w:after="0"/>
              <w:rPr>
                <w:sz w:val="19"/>
                <w:szCs w:val="19"/>
                <w:color w:val="auto"/>
              </w:rPr>
            </w:pPr>
          </w:p>
        </w:tc>
        <w:tc>
          <w:tcPr>
            <w:tcW w:w="1200" w:type="dxa"/>
            <w:vAlign w:val="bottom"/>
            <w:gridSpan w:val="2"/>
            <w:shd w:val="clear" w:color="auto" w:fill="E4E4E4"/>
          </w:tcPr>
          <w:p>
            <w:pPr>
              <w:jc w:val="right"/>
              <w:ind w:right="100"/>
              <w:spacing w:after="0" w:line="220" w:lineRule="exact"/>
              <w:rPr>
                <w:sz w:val="20"/>
                <w:szCs w:val="20"/>
                <w:color w:val="auto"/>
              </w:rPr>
            </w:pPr>
            <w:r>
              <w:rPr>
                <w:rFonts w:ascii="Arial" w:cs="Arial" w:eastAsia="Arial" w:hAnsi="Arial"/>
                <w:sz w:val="20"/>
                <w:szCs w:val="20"/>
                <w:color w:val="auto"/>
              </w:rPr>
              <w:t>23,016</w:t>
            </w:r>
          </w:p>
        </w:tc>
        <w:tc>
          <w:tcPr>
            <w:tcW w:w="0" w:type="dxa"/>
            <w:vAlign w:val="bottom"/>
          </w:tcPr>
          <w:p>
            <w:pPr>
              <w:spacing w:after="0"/>
              <w:rPr>
                <w:sz w:val="1"/>
                <w:szCs w:val="1"/>
                <w:color w:val="auto"/>
              </w:rPr>
            </w:pPr>
          </w:p>
        </w:tc>
      </w:tr>
      <w:tr>
        <w:trPr>
          <w:trHeight w:val="220"/>
        </w:trPr>
        <w:tc>
          <w:tcPr>
            <w:tcW w:w="5920" w:type="dxa"/>
            <w:vAlign w:val="bottom"/>
            <w:gridSpan w:val="2"/>
          </w:tcPr>
          <w:p>
            <w:pPr>
              <w:spacing w:after="0" w:line="220" w:lineRule="exact"/>
              <w:rPr>
                <w:sz w:val="20"/>
                <w:szCs w:val="20"/>
                <w:color w:val="auto"/>
              </w:rPr>
            </w:pPr>
            <w:r>
              <w:rPr>
                <w:rFonts w:ascii="Arial" w:cs="Arial" w:eastAsia="Arial" w:hAnsi="Arial"/>
                <w:sz w:val="20"/>
                <w:szCs w:val="20"/>
                <w:color w:val="auto"/>
              </w:rPr>
              <w:t>Stockholders' equity:</w:t>
            </w: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E4E4E4"/>
          </w:tcPr>
          <w:p>
            <w:pPr>
              <w:ind w:left="280"/>
              <w:spacing w:after="0" w:line="210" w:lineRule="exact"/>
              <w:rPr>
                <w:sz w:val="20"/>
                <w:szCs w:val="20"/>
                <w:color w:val="auto"/>
              </w:rPr>
            </w:pPr>
            <w:r>
              <w:rPr>
                <w:rFonts w:ascii="Arial" w:cs="Arial" w:eastAsia="Arial" w:hAnsi="Arial"/>
                <w:sz w:val="20"/>
                <w:szCs w:val="20"/>
                <w:color w:val="auto"/>
              </w:rPr>
              <w:t>Common stock, $0.0001 par value; 900,000,000 shares</w:t>
            </w:r>
          </w:p>
        </w:tc>
        <w:tc>
          <w:tcPr>
            <w:tcW w:w="20" w:type="dxa"/>
            <w:vAlign w:val="bottom"/>
            <w:shd w:val="clear" w:color="auto" w:fill="E4E4E4"/>
          </w:tcPr>
          <w:p>
            <w:pPr>
              <w:spacing w:after="0"/>
              <w:rPr>
                <w:sz w:val="18"/>
                <w:szCs w:val="18"/>
                <w:color w:val="auto"/>
              </w:rPr>
            </w:pPr>
          </w:p>
        </w:tc>
        <w:tc>
          <w:tcPr>
            <w:tcW w:w="320" w:type="dxa"/>
            <w:vAlign w:val="bottom"/>
            <w:shd w:val="clear" w:color="auto" w:fill="E4E4E4"/>
          </w:tcPr>
          <w:p>
            <w:pPr>
              <w:spacing w:after="0"/>
              <w:rPr>
                <w:sz w:val="18"/>
                <w:szCs w:val="18"/>
                <w:color w:val="auto"/>
              </w:rPr>
            </w:pPr>
          </w:p>
        </w:tc>
        <w:tc>
          <w:tcPr>
            <w:tcW w:w="1200" w:type="dxa"/>
            <w:vAlign w:val="bottom"/>
            <w:tcBorders>
              <w:right w:val="single" w:sz="8" w:color="E4E4E4"/>
            </w:tcBorders>
            <w:shd w:val="clear" w:color="auto" w:fill="E4E4E4"/>
          </w:tcPr>
          <w:p>
            <w:pPr>
              <w:spacing w:after="0"/>
              <w:rPr>
                <w:sz w:val="18"/>
                <w:szCs w:val="18"/>
                <w:color w:val="auto"/>
              </w:rPr>
            </w:pPr>
          </w:p>
        </w:tc>
        <w:tc>
          <w:tcPr>
            <w:tcW w:w="100" w:type="dxa"/>
            <w:vAlign w:val="bottom"/>
            <w:tcBorders>
              <w:right w:val="single" w:sz="8" w:color="E4E4E4"/>
            </w:tcBorders>
            <w:shd w:val="clear" w:color="auto" w:fill="E4E4E4"/>
          </w:tcPr>
          <w:p>
            <w:pPr>
              <w:spacing w:after="0"/>
              <w:rPr>
                <w:sz w:val="18"/>
                <w:szCs w:val="18"/>
                <w:color w:val="auto"/>
              </w:rPr>
            </w:pPr>
          </w:p>
        </w:tc>
        <w:tc>
          <w:tcPr>
            <w:tcW w:w="620" w:type="dxa"/>
            <w:vAlign w:val="bottom"/>
            <w:shd w:val="clear" w:color="auto" w:fill="E4E4E4"/>
          </w:tcPr>
          <w:p>
            <w:pPr>
              <w:spacing w:after="0"/>
              <w:rPr>
                <w:sz w:val="18"/>
                <w:szCs w:val="18"/>
                <w:color w:val="auto"/>
              </w:rPr>
            </w:pPr>
          </w:p>
        </w:tc>
        <w:tc>
          <w:tcPr>
            <w:tcW w:w="110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E4E4E4"/>
          </w:tcPr>
          <w:p>
            <w:pPr>
              <w:ind w:left="440"/>
              <w:spacing w:after="0"/>
              <w:rPr>
                <w:sz w:val="20"/>
                <w:szCs w:val="20"/>
                <w:color w:val="auto"/>
              </w:rPr>
            </w:pPr>
            <w:r>
              <w:rPr>
                <w:rFonts w:ascii="Arial" w:cs="Arial" w:eastAsia="Arial" w:hAnsi="Arial"/>
                <w:sz w:val="20"/>
                <w:szCs w:val="20"/>
                <w:color w:val="auto"/>
              </w:rPr>
              <w:t>authorized at December 31, 2023 and December 31, 2022,</w:t>
            </w:r>
          </w:p>
        </w:tc>
        <w:tc>
          <w:tcPr>
            <w:tcW w:w="20" w:type="dxa"/>
            <w:vAlign w:val="bottom"/>
            <w:shd w:val="clear" w:color="auto" w:fill="E4E4E4"/>
          </w:tcPr>
          <w:p>
            <w:pPr>
              <w:spacing w:after="0"/>
              <w:rPr>
                <w:sz w:val="20"/>
                <w:szCs w:val="20"/>
                <w:color w:val="auto"/>
              </w:rPr>
            </w:pPr>
          </w:p>
        </w:tc>
        <w:tc>
          <w:tcPr>
            <w:tcW w:w="320" w:type="dxa"/>
            <w:vAlign w:val="bottom"/>
            <w:shd w:val="clear" w:color="auto" w:fill="E4E4E4"/>
          </w:tcPr>
          <w:p>
            <w:pPr>
              <w:spacing w:after="0"/>
              <w:rPr>
                <w:sz w:val="20"/>
                <w:szCs w:val="20"/>
                <w:color w:val="auto"/>
              </w:rPr>
            </w:pPr>
          </w:p>
        </w:tc>
        <w:tc>
          <w:tcPr>
            <w:tcW w:w="1200" w:type="dxa"/>
            <w:vAlign w:val="bottom"/>
            <w:tcBorders>
              <w:right w:val="single" w:sz="8" w:color="E4E4E4"/>
            </w:tcBorders>
            <w:shd w:val="clear" w:color="auto" w:fill="E4E4E4"/>
          </w:tcPr>
          <w:p>
            <w:pPr>
              <w:spacing w:after="0"/>
              <w:rPr>
                <w:sz w:val="20"/>
                <w:szCs w:val="20"/>
                <w:color w:val="auto"/>
              </w:rPr>
            </w:pPr>
          </w:p>
        </w:tc>
        <w:tc>
          <w:tcPr>
            <w:tcW w:w="100" w:type="dxa"/>
            <w:vAlign w:val="bottom"/>
            <w:tcBorders>
              <w:right w:val="single" w:sz="8" w:color="E4E4E4"/>
            </w:tcBorders>
            <w:shd w:val="clear" w:color="auto" w:fill="E4E4E4"/>
          </w:tcPr>
          <w:p>
            <w:pPr>
              <w:spacing w:after="0"/>
              <w:rPr>
                <w:sz w:val="20"/>
                <w:szCs w:val="20"/>
                <w:color w:val="auto"/>
              </w:rPr>
            </w:pPr>
          </w:p>
        </w:tc>
        <w:tc>
          <w:tcPr>
            <w:tcW w:w="620" w:type="dxa"/>
            <w:vAlign w:val="bottom"/>
            <w:shd w:val="clear" w:color="auto" w:fill="E4E4E4"/>
          </w:tcPr>
          <w:p>
            <w:pPr>
              <w:spacing w:after="0"/>
              <w:rPr>
                <w:sz w:val="20"/>
                <w:szCs w:val="20"/>
                <w:color w:val="auto"/>
              </w:rPr>
            </w:pPr>
          </w:p>
        </w:tc>
        <w:tc>
          <w:tcPr>
            <w:tcW w:w="110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E4E4E4"/>
          </w:tcPr>
          <w:p>
            <w:pPr>
              <w:ind w:left="440"/>
              <w:spacing w:after="0"/>
              <w:rPr>
                <w:sz w:val="20"/>
                <w:szCs w:val="20"/>
                <w:color w:val="auto"/>
              </w:rPr>
            </w:pPr>
            <w:r>
              <w:rPr>
                <w:rFonts w:ascii="Arial" w:cs="Arial" w:eastAsia="Arial" w:hAnsi="Arial"/>
                <w:sz w:val="20"/>
                <w:szCs w:val="20"/>
                <w:color w:val="auto"/>
              </w:rPr>
              <w:t>respectively; 38,172,603 and 37,877,387 shares issued</w:t>
            </w:r>
          </w:p>
        </w:tc>
        <w:tc>
          <w:tcPr>
            <w:tcW w:w="2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200" w:type="dxa"/>
            <w:vAlign w:val="bottom"/>
            <w:tcBorders>
              <w:right w:val="single" w:sz="8" w:color="E4E4E4"/>
            </w:tcBorders>
            <w:shd w:val="clear" w:color="auto" w:fill="E4E4E4"/>
          </w:tcPr>
          <w:p>
            <w:pPr>
              <w:spacing w:after="0"/>
              <w:rPr>
                <w:sz w:val="19"/>
                <w:szCs w:val="19"/>
                <w:color w:val="auto"/>
              </w:rPr>
            </w:pPr>
          </w:p>
        </w:tc>
        <w:tc>
          <w:tcPr>
            <w:tcW w:w="100" w:type="dxa"/>
            <w:vAlign w:val="bottom"/>
            <w:tcBorders>
              <w:right w:val="single" w:sz="8" w:color="E4E4E4"/>
            </w:tcBorders>
            <w:shd w:val="clear" w:color="auto" w:fill="E4E4E4"/>
          </w:tcPr>
          <w:p>
            <w:pPr>
              <w:spacing w:after="0"/>
              <w:rPr>
                <w:sz w:val="19"/>
                <w:szCs w:val="19"/>
                <w:color w:val="auto"/>
              </w:rPr>
            </w:pPr>
          </w:p>
        </w:tc>
        <w:tc>
          <w:tcPr>
            <w:tcW w:w="620" w:type="dxa"/>
            <w:vAlign w:val="bottom"/>
            <w:shd w:val="clear" w:color="auto" w:fill="E4E4E4"/>
          </w:tcPr>
          <w:p>
            <w:pPr>
              <w:spacing w:after="0"/>
              <w:rPr>
                <w:sz w:val="19"/>
                <w:szCs w:val="19"/>
                <w:color w:val="auto"/>
              </w:rPr>
            </w:pPr>
          </w:p>
        </w:tc>
        <w:tc>
          <w:tcPr>
            <w:tcW w:w="11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900" w:type="dxa"/>
            <w:vAlign w:val="bottom"/>
            <w:shd w:val="clear" w:color="auto" w:fill="E4E4E4"/>
          </w:tcPr>
          <w:p>
            <w:pPr>
              <w:ind w:left="440"/>
              <w:spacing w:after="0"/>
              <w:rPr>
                <w:sz w:val="20"/>
                <w:szCs w:val="20"/>
                <w:color w:val="auto"/>
              </w:rPr>
            </w:pPr>
            <w:r>
              <w:rPr>
                <w:rFonts w:ascii="Arial" w:cs="Arial" w:eastAsia="Arial" w:hAnsi="Arial"/>
                <w:sz w:val="20"/>
                <w:szCs w:val="20"/>
                <w:color w:val="auto"/>
              </w:rPr>
              <w:t>and outstanding at December 31, 2023 and December 31,</w:t>
            </w:r>
          </w:p>
        </w:tc>
        <w:tc>
          <w:tcPr>
            <w:tcW w:w="2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200" w:type="dxa"/>
            <w:vAlign w:val="bottom"/>
            <w:tcBorders>
              <w:right w:val="single" w:sz="8" w:color="E4E4E4"/>
            </w:tcBorders>
            <w:shd w:val="clear" w:color="auto" w:fill="E4E4E4"/>
          </w:tcPr>
          <w:p>
            <w:pPr>
              <w:spacing w:after="0"/>
              <w:rPr>
                <w:sz w:val="21"/>
                <w:szCs w:val="21"/>
                <w:color w:val="auto"/>
              </w:rPr>
            </w:pPr>
          </w:p>
        </w:tc>
        <w:tc>
          <w:tcPr>
            <w:tcW w:w="100" w:type="dxa"/>
            <w:vAlign w:val="bottom"/>
            <w:tcBorders>
              <w:right w:val="single" w:sz="8" w:color="E4E4E4"/>
            </w:tcBorders>
            <w:shd w:val="clear" w:color="auto" w:fill="E4E4E4"/>
          </w:tcPr>
          <w:p>
            <w:pPr>
              <w:spacing w:after="0"/>
              <w:rPr>
                <w:sz w:val="21"/>
                <w:szCs w:val="21"/>
                <w:color w:val="auto"/>
              </w:rPr>
            </w:pPr>
          </w:p>
        </w:tc>
        <w:tc>
          <w:tcPr>
            <w:tcW w:w="620" w:type="dxa"/>
            <w:vAlign w:val="bottom"/>
            <w:shd w:val="clear" w:color="auto" w:fill="E4E4E4"/>
          </w:tcPr>
          <w:p>
            <w:pPr>
              <w:spacing w:after="0"/>
              <w:rPr>
                <w:sz w:val="21"/>
                <w:szCs w:val="21"/>
                <w:color w:val="auto"/>
              </w:rPr>
            </w:pPr>
          </w:p>
        </w:tc>
        <w:tc>
          <w:tcPr>
            <w:tcW w:w="110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E4E4E4"/>
          </w:tcPr>
          <w:p>
            <w:pPr>
              <w:ind w:left="440"/>
              <w:spacing w:after="0"/>
              <w:rPr>
                <w:sz w:val="20"/>
                <w:szCs w:val="20"/>
                <w:color w:val="auto"/>
              </w:rPr>
            </w:pPr>
            <w:r>
              <w:rPr>
                <w:rFonts w:ascii="Arial" w:cs="Arial" w:eastAsia="Arial" w:hAnsi="Arial"/>
                <w:sz w:val="20"/>
                <w:szCs w:val="20"/>
                <w:color w:val="auto"/>
              </w:rPr>
              <w:t>2022, respectively</w:t>
            </w:r>
          </w:p>
        </w:tc>
        <w:tc>
          <w:tcPr>
            <w:tcW w:w="20" w:type="dxa"/>
            <w:vAlign w:val="bottom"/>
            <w:shd w:val="clear" w:color="auto" w:fill="E4E4E4"/>
          </w:tcPr>
          <w:p>
            <w:pPr>
              <w:spacing w:after="0"/>
              <w:rPr>
                <w:sz w:val="20"/>
                <w:szCs w:val="20"/>
                <w:color w:val="auto"/>
              </w:rPr>
            </w:pPr>
          </w:p>
        </w:tc>
        <w:tc>
          <w:tcPr>
            <w:tcW w:w="320" w:type="dxa"/>
            <w:vAlign w:val="bottom"/>
            <w:shd w:val="clear" w:color="auto" w:fill="E4E4E4"/>
          </w:tcPr>
          <w:p>
            <w:pPr>
              <w:spacing w:after="0"/>
              <w:rPr>
                <w:sz w:val="20"/>
                <w:szCs w:val="20"/>
                <w:color w:val="auto"/>
              </w:rPr>
            </w:pPr>
          </w:p>
        </w:tc>
        <w:tc>
          <w:tcPr>
            <w:tcW w:w="120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4</w:t>
            </w:r>
          </w:p>
        </w:tc>
        <w:tc>
          <w:tcPr>
            <w:tcW w:w="100" w:type="dxa"/>
            <w:vAlign w:val="bottom"/>
            <w:tcBorders>
              <w:right w:val="single" w:sz="8" w:color="E4E4E4"/>
            </w:tcBorders>
            <w:shd w:val="clear" w:color="auto" w:fill="E4E4E4"/>
          </w:tcPr>
          <w:p>
            <w:pPr>
              <w:spacing w:after="0"/>
              <w:rPr>
                <w:sz w:val="20"/>
                <w:szCs w:val="20"/>
                <w:color w:val="auto"/>
              </w:rPr>
            </w:pPr>
          </w:p>
        </w:tc>
        <w:tc>
          <w:tcPr>
            <w:tcW w:w="620" w:type="dxa"/>
            <w:vAlign w:val="bottom"/>
            <w:shd w:val="clear" w:color="auto" w:fill="E4E4E4"/>
          </w:tcPr>
          <w:p>
            <w:pPr>
              <w:spacing w:after="0"/>
              <w:rPr>
                <w:sz w:val="20"/>
                <w:szCs w:val="20"/>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w:t>
            </w: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80"/>
              <w:spacing w:after="0"/>
              <w:rPr>
                <w:sz w:val="20"/>
                <w:szCs w:val="20"/>
                <w:color w:val="auto"/>
              </w:rPr>
            </w:pPr>
            <w:r>
              <w:rPr>
                <w:rFonts w:ascii="Arial" w:cs="Arial" w:eastAsia="Arial" w:hAnsi="Arial"/>
                <w:sz w:val="20"/>
                <w:szCs w:val="20"/>
                <w:color w:val="auto"/>
              </w:rPr>
              <w:t>Additional paid-in capital</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439,739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428,623</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E4E4E4"/>
          </w:tcPr>
          <w:p>
            <w:pPr>
              <w:ind w:left="280"/>
              <w:spacing w:after="0"/>
              <w:rPr>
                <w:sz w:val="20"/>
                <w:szCs w:val="20"/>
                <w:color w:val="auto"/>
              </w:rPr>
            </w:pPr>
            <w:r>
              <w:rPr>
                <w:rFonts w:ascii="Arial" w:cs="Arial" w:eastAsia="Arial" w:hAnsi="Arial"/>
                <w:sz w:val="20"/>
                <w:szCs w:val="20"/>
                <w:color w:val="auto"/>
              </w:rPr>
              <w:t>Accumulated other comprehensive loss</w:t>
            </w:r>
          </w:p>
        </w:tc>
        <w:tc>
          <w:tcPr>
            <w:tcW w:w="320" w:type="dxa"/>
            <w:vAlign w:val="bottom"/>
            <w:shd w:val="clear" w:color="auto" w:fill="E4E4E4"/>
          </w:tcPr>
          <w:p>
            <w:pPr>
              <w:spacing w:after="0"/>
              <w:rPr>
                <w:sz w:val="19"/>
                <w:szCs w:val="19"/>
                <w:color w:val="auto"/>
              </w:rPr>
            </w:pPr>
          </w:p>
        </w:tc>
        <w:tc>
          <w:tcPr>
            <w:tcW w:w="120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(349)</w:t>
            </w:r>
          </w:p>
        </w:tc>
        <w:tc>
          <w:tcPr>
            <w:tcW w:w="100" w:type="dxa"/>
            <w:vAlign w:val="bottom"/>
            <w:tcBorders>
              <w:right w:val="single" w:sz="8" w:color="E4E4E4"/>
            </w:tcBorders>
            <w:shd w:val="clear" w:color="auto" w:fill="E4E4E4"/>
          </w:tcPr>
          <w:p>
            <w:pPr>
              <w:spacing w:after="0"/>
              <w:rPr>
                <w:sz w:val="19"/>
                <w:szCs w:val="19"/>
                <w:color w:val="auto"/>
              </w:rPr>
            </w:pPr>
          </w:p>
        </w:tc>
        <w:tc>
          <w:tcPr>
            <w:tcW w:w="620" w:type="dxa"/>
            <w:vAlign w:val="bottom"/>
            <w:shd w:val="clear" w:color="auto" w:fill="E4E4E4"/>
          </w:tcPr>
          <w:p>
            <w:pPr>
              <w:spacing w:after="0"/>
              <w:rPr>
                <w:sz w:val="19"/>
                <w:szCs w:val="19"/>
                <w:color w:val="auto"/>
              </w:rPr>
            </w:pPr>
          </w:p>
        </w:tc>
        <w:tc>
          <w:tcPr>
            <w:tcW w:w="1200" w:type="dxa"/>
            <w:vAlign w:val="bottom"/>
            <w:gridSpan w:val="2"/>
            <w:shd w:val="clear" w:color="auto" w:fill="E4E4E4"/>
          </w:tcPr>
          <w:p>
            <w:pPr>
              <w:jc w:val="right"/>
              <w:ind w:right="20"/>
              <w:spacing w:after="0"/>
              <w:rPr>
                <w:sz w:val="20"/>
                <w:szCs w:val="20"/>
                <w:color w:val="auto"/>
              </w:rPr>
            </w:pPr>
            <w:r>
              <w:rPr>
                <w:rFonts w:ascii="Arial" w:cs="Arial" w:eastAsia="Arial" w:hAnsi="Arial"/>
                <w:sz w:val="20"/>
                <w:szCs w:val="20"/>
                <w:color w:val="auto"/>
              </w:rPr>
              <w:t>(1,956)</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80"/>
              <w:spacing w:after="0"/>
              <w:rPr>
                <w:sz w:val="20"/>
                <w:szCs w:val="20"/>
                <w:color w:val="auto"/>
              </w:rPr>
            </w:pPr>
            <w:r>
              <w:rPr>
                <w:rFonts w:ascii="Arial" w:cs="Arial" w:eastAsia="Arial" w:hAnsi="Arial"/>
                <w:sz w:val="20"/>
                <w:szCs w:val="20"/>
                <w:color w:val="auto"/>
              </w:rPr>
              <w:t>Accumulated deficit</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(309,206)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(191,534)</w:t>
            </w:r>
          </w:p>
        </w:tc>
        <w:tc>
          <w:tcPr>
            <w:tcW w:w="0" w:type="dxa"/>
            <w:vAlign w:val="bottom"/>
          </w:tcPr>
          <w:p>
            <w:pPr>
              <w:spacing w:after="0"/>
              <w:rPr>
                <w:sz w:val="1"/>
                <w:szCs w:val="1"/>
                <w:color w:val="auto"/>
              </w:rPr>
            </w:pPr>
          </w:p>
        </w:tc>
      </w:tr>
      <w:tr>
        <w:trPr>
          <w:trHeight w:val="20"/>
        </w:trPr>
        <w:tc>
          <w:tcPr>
            <w:tcW w:w="5920" w:type="dxa"/>
            <w:vAlign w:val="bottom"/>
            <w:gridSpan w:val="2"/>
            <w:vMerge w:val="restart"/>
            <w:shd w:val="clear" w:color="auto" w:fill="E4E4E4"/>
          </w:tcPr>
          <w:p>
            <w:pPr>
              <w:ind w:left="560"/>
              <w:spacing w:after="0"/>
              <w:rPr>
                <w:sz w:val="20"/>
                <w:szCs w:val="20"/>
                <w:color w:val="auto"/>
              </w:rPr>
            </w:pPr>
            <w:r>
              <w:rPr>
                <w:rFonts w:ascii="Arial" w:cs="Arial" w:eastAsia="Arial" w:hAnsi="Arial"/>
                <w:sz w:val="20"/>
                <w:szCs w:val="20"/>
                <w:color w:val="auto"/>
              </w:rPr>
              <w:t>Total stockholders' equity</w:t>
            </w:r>
          </w:p>
        </w:tc>
        <w:tc>
          <w:tcPr>
            <w:tcW w:w="320" w:type="dxa"/>
            <w:vAlign w:val="bottom"/>
            <w:shd w:val="clear" w:color="auto" w:fill="000000"/>
          </w:tcPr>
          <w:p>
            <w:pPr>
              <w:spacing w:after="0" w:line="20" w:lineRule="exact"/>
              <w:rPr>
                <w:sz w:val="1"/>
                <w:szCs w:val="1"/>
                <w:color w:val="auto"/>
              </w:rPr>
            </w:pPr>
          </w:p>
        </w:tc>
        <w:tc>
          <w:tcPr>
            <w:tcW w:w="1200" w:type="dxa"/>
            <w:vAlign w:val="bottom"/>
            <w:tcBorders>
              <w:right w:val="single" w:sz="8" w:color="E4E4E4"/>
            </w:tcBorders>
            <w:shd w:val="clear" w:color="auto" w:fill="000000"/>
          </w:tcPr>
          <w:p>
            <w:pPr>
              <w:spacing w:after="0" w:line="20" w:lineRule="exact"/>
              <w:rPr>
                <w:sz w:val="1"/>
                <w:szCs w:val="1"/>
                <w:color w:val="auto"/>
              </w:rPr>
            </w:pPr>
          </w:p>
        </w:tc>
        <w:tc>
          <w:tcPr>
            <w:tcW w:w="100" w:type="dxa"/>
            <w:vAlign w:val="bottom"/>
            <w:tcBorders>
              <w:right w:val="single" w:sz="8" w:color="E4E4E4"/>
            </w:tcBorders>
            <w:shd w:val="clear" w:color="auto" w:fill="E4E4E4"/>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920" w:type="dxa"/>
            <w:vAlign w:val="bottom"/>
            <w:gridSpan w:val="2"/>
            <w:vMerge w:val="continue"/>
            <w:shd w:val="clear" w:color="auto" w:fill="E4E4E4"/>
          </w:tcPr>
          <w:p>
            <w:pPr>
              <w:spacing w:after="0"/>
              <w:rPr>
                <w:sz w:val="20"/>
                <w:szCs w:val="20"/>
                <w:color w:val="auto"/>
              </w:rPr>
            </w:pPr>
          </w:p>
        </w:tc>
        <w:tc>
          <w:tcPr>
            <w:tcW w:w="320" w:type="dxa"/>
            <w:vAlign w:val="bottom"/>
            <w:shd w:val="clear" w:color="auto" w:fill="E4E4E4"/>
          </w:tcPr>
          <w:p>
            <w:pPr>
              <w:spacing w:after="0"/>
              <w:rPr>
                <w:sz w:val="20"/>
                <w:szCs w:val="20"/>
                <w:color w:val="auto"/>
              </w:rPr>
            </w:pPr>
          </w:p>
        </w:tc>
        <w:tc>
          <w:tcPr>
            <w:tcW w:w="1200" w:type="dxa"/>
            <w:vAlign w:val="bottom"/>
            <w:tcBorders>
              <w:right w:val="single" w:sz="8" w:color="E4E4E4"/>
            </w:tcBorders>
            <w:shd w:val="clear" w:color="auto" w:fill="E4E4E4"/>
          </w:tcPr>
          <w:p>
            <w:pPr>
              <w:jc w:val="right"/>
              <w:spacing w:after="0" w:line="220" w:lineRule="exact"/>
              <w:rPr>
                <w:sz w:val="20"/>
                <w:szCs w:val="20"/>
                <w:color w:val="auto"/>
              </w:rPr>
            </w:pPr>
            <w:r>
              <w:rPr>
                <w:rFonts w:ascii="Arial" w:cs="Arial" w:eastAsia="Arial" w:hAnsi="Arial"/>
                <w:sz w:val="20"/>
                <w:szCs w:val="20"/>
                <w:color w:val="auto"/>
              </w:rPr>
              <w:t>130,188</w:t>
            </w:r>
          </w:p>
        </w:tc>
        <w:tc>
          <w:tcPr>
            <w:tcW w:w="100" w:type="dxa"/>
            <w:vAlign w:val="bottom"/>
            <w:tcBorders>
              <w:right w:val="single" w:sz="8" w:color="E4E4E4"/>
            </w:tcBorders>
            <w:shd w:val="clear" w:color="auto" w:fill="E4E4E4"/>
          </w:tcPr>
          <w:p>
            <w:pPr>
              <w:spacing w:after="0"/>
              <w:rPr>
                <w:sz w:val="20"/>
                <w:szCs w:val="20"/>
                <w:color w:val="auto"/>
              </w:rPr>
            </w:pPr>
          </w:p>
        </w:tc>
        <w:tc>
          <w:tcPr>
            <w:tcW w:w="620" w:type="dxa"/>
            <w:vAlign w:val="bottom"/>
            <w:shd w:val="clear" w:color="auto" w:fill="E4E4E4"/>
          </w:tcPr>
          <w:p>
            <w:pPr>
              <w:spacing w:after="0"/>
              <w:rPr>
                <w:sz w:val="20"/>
                <w:szCs w:val="20"/>
                <w:color w:val="auto"/>
              </w:rPr>
            </w:pPr>
          </w:p>
        </w:tc>
        <w:tc>
          <w:tcPr>
            <w:tcW w:w="1200" w:type="dxa"/>
            <w:vAlign w:val="bottom"/>
            <w:gridSpan w:val="2"/>
            <w:shd w:val="clear" w:color="auto" w:fill="E4E4E4"/>
          </w:tcPr>
          <w:p>
            <w:pPr>
              <w:jc w:val="right"/>
              <w:ind w:right="100"/>
              <w:spacing w:after="0" w:line="220" w:lineRule="exact"/>
              <w:rPr>
                <w:sz w:val="20"/>
                <w:szCs w:val="20"/>
                <w:color w:val="auto"/>
              </w:rPr>
            </w:pPr>
            <w:r>
              <w:rPr>
                <w:rFonts w:ascii="Arial" w:cs="Arial" w:eastAsia="Arial" w:hAnsi="Arial"/>
                <w:sz w:val="20"/>
                <w:szCs w:val="20"/>
                <w:color w:val="auto"/>
              </w:rPr>
              <w:t>235,137</w:t>
            </w:r>
          </w:p>
        </w:tc>
        <w:tc>
          <w:tcPr>
            <w:tcW w:w="0" w:type="dxa"/>
            <w:vAlign w:val="bottom"/>
          </w:tcPr>
          <w:p>
            <w:pPr>
              <w:spacing w:after="0"/>
              <w:rPr>
                <w:sz w:val="1"/>
                <w:szCs w:val="1"/>
                <w:color w:val="auto"/>
              </w:rPr>
            </w:pPr>
          </w:p>
        </w:tc>
      </w:tr>
      <w:tr>
        <w:trPr>
          <w:trHeight w:val="201"/>
        </w:trPr>
        <w:tc>
          <w:tcPr>
            <w:tcW w:w="5920" w:type="dxa"/>
            <w:vAlign w:val="bottom"/>
            <w:tcBorders>
              <w:top w:val="single" w:sz="8" w:color="E4E4E4"/>
            </w:tcBorders>
            <w:gridSpan w:val="2"/>
          </w:tcPr>
          <w:p>
            <w:pPr>
              <w:ind w:left="560"/>
              <w:spacing w:after="0" w:line="201" w:lineRule="exact"/>
              <w:rPr>
                <w:sz w:val="20"/>
                <w:szCs w:val="20"/>
                <w:color w:val="auto"/>
              </w:rPr>
            </w:pPr>
            <w:r>
              <w:rPr>
                <w:rFonts w:ascii="Arial" w:cs="Arial" w:eastAsia="Arial" w:hAnsi="Arial"/>
                <w:sz w:val="20"/>
                <w:szCs w:val="20"/>
                <w:color w:val="auto"/>
              </w:rPr>
              <w:t>Total liabilities and stockholders' equity</w:t>
            </w:r>
          </w:p>
        </w:tc>
        <w:tc>
          <w:tcPr>
            <w:tcW w:w="320" w:type="dxa"/>
            <w:vAlign w:val="bottom"/>
            <w:tcBorders>
              <w:top w:val="single" w:sz="8" w:color="auto"/>
            </w:tcBorders>
          </w:tcPr>
          <w:p>
            <w:pPr>
              <w:jc w:val="right"/>
              <w:ind w:right="120"/>
              <w:spacing w:after="0" w:line="201" w:lineRule="exact"/>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160,245</w:t>
            </w:r>
          </w:p>
        </w:tc>
        <w:tc>
          <w:tcPr>
            <w:tcW w:w="100" w:type="dxa"/>
            <w:vAlign w:val="bottom"/>
            <w:tcBorders>
              <w:top w:val="single" w:sz="8" w:color="E4E4E4"/>
            </w:tcBorders>
          </w:tcPr>
          <w:p>
            <w:pPr>
              <w:spacing w:after="0"/>
              <w:rPr>
                <w:sz w:val="17"/>
                <w:szCs w:val="17"/>
                <w:color w:val="auto"/>
              </w:rPr>
            </w:pPr>
          </w:p>
        </w:tc>
        <w:tc>
          <w:tcPr>
            <w:tcW w:w="620" w:type="dxa"/>
            <w:vAlign w:val="bottom"/>
            <w:tcBorders>
              <w:top w:val="single" w:sz="8" w:color="auto"/>
            </w:tcBorders>
          </w:tcPr>
          <w:p>
            <w:pPr>
              <w:jc w:val="center"/>
              <w:ind w:right="420"/>
              <w:spacing w:after="0" w:line="201" w:lineRule="exact"/>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258,153</w:t>
            </w:r>
          </w:p>
        </w:tc>
        <w:tc>
          <w:tcPr>
            <w:tcW w:w="100" w:type="dxa"/>
            <w:vAlign w:val="bottom"/>
            <w:tcBorders>
              <w:top w:val="single" w:sz="8" w:color="E4E4E4"/>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-4041140</wp:posOffset>
                </wp:positionV>
                <wp:extent cx="375285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5285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8.1999pt" to="295.5pt,-318.19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4670425</wp:posOffset>
                </wp:positionH>
                <wp:positionV relativeFrom="paragraph">
                  <wp:posOffset>-4041140</wp:posOffset>
                </wp:positionV>
                <wp:extent cx="11557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57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75pt,-318.1999pt" to="376.85pt,-318.19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5885180</wp:posOffset>
                </wp:positionH>
                <wp:positionV relativeFrom="paragraph">
                  <wp:posOffset>-4041140</wp:posOffset>
                </wp:positionV>
                <wp:extent cx="5778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8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4pt,-318.1999pt" to="467.95pt,-318.19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4670425</wp:posOffset>
                </wp:positionH>
                <wp:positionV relativeFrom="paragraph">
                  <wp:posOffset>-3158490</wp:posOffset>
                </wp:positionV>
                <wp:extent cx="11557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570" cy="4763"/>
                        </a:xfrm>
                        <a:prstGeom prst="line">
                          <a:avLst/>
                        </a:prstGeom>
                        <a:solidFill>
                          <a:srgbClr val="FFFFFF"/>
                        </a:solidFill>
                        <a:ln w="6095">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75pt,-248.6999pt" to="376.85pt,-248.6999pt" o:allowincell="f" strokecolor="#FFFFFF" strokeweight="0.4799pt"/>
            </w:pict>
          </mc:Fallback>
        </mc:AlternateContent>
        <mc:AlternateContent>
          <mc:Choice Requires="wps">
            <w:drawing>
              <wp:anchor simplePos="0" relativeHeight="251657728" behindDoc="1" locked="0" layoutInCell="0" allowOverlap="1">
                <wp:simplePos x="0" y="0"/>
                <wp:positionH relativeFrom="column">
                  <wp:posOffset>4670425</wp:posOffset>
                </wp:positionH>
                <wp:positionV relativeFrom="paragraph">
                  <wp:posOffset>-1650365</wp:posOffset>
                </wp:positionV>
                <wp:extent cx="11557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57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75pt,-129.9499pt" to="376.85pt,-129.9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-177165</wp:posOffset>
                </wp:positionV>
                <wp:extent cx="375285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5285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499pt" to="295.5pt,-13.9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4670425</wp:posOffset>
                </wp:positionH>
                <wp:positionV relativeFrom="paragraph">
                  <wp:posOffset>-177165</wp:posOffset>
                </wp:positionV>
                <wp:extent cx="11557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57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75pt,-13.9499pt" to="376.85pt,-13.9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5885180</wp:posOffset>
                </wp:positionH>
                <wp:positionV relativeFrom="paragraph">
                  <wp:posOffset>-177165</wp:posOffset>
                </wp:positionV>
                <wp:extent cx="5778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8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4pt,-13.9499pt" to="467.95pt,-13.9499pt" o:allowincell="f" strokecolor="#FFFFFF" strokeweight="0.48pt"/>
            </w:pict>
          </mc:Fallback>
        </mc:AlternateConten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accompanying notes are an integral part of these consolidated financial statements.</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136</w:t>
      </w:r>
    </w:p>
    <w:p>
      <w:pPr>
        <w:sectPr>
          <w:pgSz w:w="11880" w:h="15474" w:orient="portrait"/>
          <w:cols w:equalWidth="0" w:num="1">
            <w:col w:w="9360"/>
          </w:cols>
          <w:pgMar w:left="1240" w:top="1251" w:right="1274" w:bottom="0" w:gutter="0" w:footer="0" w:header="0"/>
          <w:type w:val="continuous"/>
        </w:sectPr>
      </w:pPr>
    </w:p>
    <w:bookmarkStart w:id="142" w:name="page143"/>
    <w:bookmarkEnd w:id="142"/>
    <w:p>
      <w:pPr>
        <w:jc w:val="center"/>
        <w:spacing w:after="0"/>
        <w:rPr>
          <w:sz w:val="20"/>
          <w:szCs w:val="20"/>
          <w:color w:val="auto"/>
        </w:rPr>
      </w:pPr>
      <w:r>
        <w:rPr>
          <w:rFonts w:ascii="Arial" w:cs="Arial" w:eastAsia="Arial" w:hAnsi="Arial"/>
          <w:sz w:val="20"/>
          <w:szCs w:val="20"/>
          <w:b w:val="1"/>
          <w:bCs w:val="1"/>
          <w:color w:val="auto"/>
        </w:rPr>
        <w:t>Athira Pharma,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gridSpan w:val="7"/>
          </w:tcPr>
          <w:p>
            <w:pPr>
              <w:jc w:val="right"/>
              <w:ind w:right="38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652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63"/>
              <w:spacing w:after="0" w:line="175" w:lineRule="exact"/>
              <w:rPr>
                <w:sz w:val="20"/>
                <w:szCs w:val="20"/>
                <w:color w:val="auto"/>
              </w:rPr>
            </w:pPr>
            <w:r>
              <w:rPr>
                <w:rFonts w:ascii="Arial" w:cs="Arial" w:eastAsia="Arial" w:hAnsi="Arial"/>
                <w:sz w:val="16"/>
                <w:szCs w:val="16"/>
                <w:b w:val="1"/>
                <w:bCs w:val="1"/>
                <w:color w:val="auto"/>
              </w:rPr>
              <w:t>2023</w:t>
            </w: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E4E4E4"/>
            </w:tcBorders>
          </w:tcPr>
          <w:p>
            <w:pPr>
              <w:spacing w:after="0"/>
              <w:rPr>
                <w:sz w:val="15"/>
                <w:szCs w:val="15"/>
                <w:color w:val="auto"/>
              </w:rPr>
            </w:pPr>
          </w:p>
        </w:tc>
        <w:tc>
          <w:tcPr>
            <w:tcW w:w="20" w:type="dxa"/>
            <w:vAlign w:val="bottom"/>
            <w:tcBorders>
              <w:top w:val="single" w:sz="8" w:color="auto"/>
              <w:bottom w:val="single" w:sz="8" w:color="E4E4E4"/>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61"/>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540" w:type="dxa"/>
            <w:vAlign w:val="bottom"/>
            <w:gridSpan w:val="2"/>
            <w:shd w:val="clear" w:color="auto" w:fill="E4E4E4"/>
          </w:tcPr>
          <w:p>
            <w:pPr>
              <w:spacing w:after="0" w:line="220" w:lineRule="exact"/>
              <w:rPr>
                <w:sz w:val="20"/>
                <w:szCs w:val="20"/>
                <w:color w:val="auto"/>
              </w:rPr>
            </w:pPr>
            <w:r>
              <w:rPr>
                <w:rFonts w:ascii="Arial" w:cs="Arial" w:eastAsia="Arial" w:hAnsi="Arial"/>
                <w:sz w:val="20"/>
                <w:szCs w:val="20"/>
                <w:color w:val="auto"/>
              </w:rPr>
              <w:t>Operating expenses:</w:t>
            </w:r>
          </w:p>
        </w:tc>
        <w:tc>
          <w:tcPr>
            <w:tcW w:w="180" w:type="dxa"/>
            <w:vAlign w:val="bottom"/>
            <w:shd w:val="clear" w:color="auto" w:fill="E4E4E4"/>
          </w:tcPr>
          <w:p>
            <w:pPr>
              <w:spacing w:after="0"/>
              <w:rPr>
                <w:sz w:val="19"/>
                <w:szCs w:val="19"/>
                <w:color w:val="auto"/>
              </w:rPr>
            </w:pPr>
          </w:p>
        </w:tc>
        <w:tc>
          <w:tcPr>
            <w:tcW w:w="10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0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gridSpan w:val="2"/>
          </w:tcPr>
          <w:p>
            <w:pPr>
              <w:ind w:left="280"/>
              <w:spacing w:after="0"/>
              <w:rPr>
                <w:sz w:val="20"/>
                <w:szCs w:val="20"/>
                <w:color w:val="auto"/>
              </w:rPr>
            </w:pPr>
            <w:r>
              <w:rPr>
                <w:rFonts w:ascii="Arial" w:cs="Arial" w:eastAsia="Arial" w:hAnsi="Arial"/>
                <w:sz w:val="20"/>
                <w:szCs w:val="20"/>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60" w:type="dxa"/>
            <w:vAlign w:val="bottom"/>
            <w:gridSpan w:val="3"/>
          </w:tcPr>
          <w:p>
            <w:pPr>
              <w:jc w:val="right"/>
              <w:ind w:right="180"/>
              <w:spacing w:after="0"/>
              <w:rPr>
                <w:sz w:val="20"/>
                <w:szCs w:val="20"/>
                <w:color w:val="auto"/>
              </w:rPr>
            </w:pPr>
            <w:r>
              <w:rPr>
                <w:rFonts w:ascii="Arial" w:cs="Arial" w:eastAsia="Arial" w:hAnsi="Arial"/>
                <w:sz w:val="20"/>
                <w:szCs w:val="20"/>
                <w:color w:val="auto"/>
              </w:rPr>
              <w:t>93,790</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61,464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E4E4E4"/>
          </w:tcPr>
          <w:p>
            <w:pPr>
              <w:ind w:left="280"/>
              <w:spacing w:after="0"/>
              <w:rPr>
                <w:sz w:val="20"/>
                <w:szCs w:val="20"/>
                <w:color w:val="auto"/>
              </w:rPr>
            </w:pPr>
            <w:r>
              <w:rPr>
                <w:rFonts w:ascii="Arial" w:cs="Arial" w:eastAsia="Arial" w:hAnsi="Arial"/>
                <w:sz w:val="20"/>
                <w:szCs w:val="20"/>
                <w:color w:val="auto"/>
              </w:rPr>
              <w:t>General and administrative</w:t>
            </w:r>
          </w:p>
        </w:tc>
        <w:tc>
          <w:tcPr>
            <w:tcW w:w="180" w:type="dxa"/>
            <w:vAlign w:val="bottom"/>
            <w:shd w:val="clear" w:color="auto" w:fill="E4E4E4"/>
          </w:tcPr>
          <w:p>
            <w:pPr>
              <w:spacing w:after="0"/>
              <w:rPr>
                <w:sz w:val="20"/>
                <w:szCs w:val="20"/>
                <w:color w:val="auto"/>
              </w:rPr>
            </w:pPr>
          </w:p>
        </w:tc>
        <w:tc>
          <w:tcPr>
            <w:tcW w:w="1260" w:type="dxa"/>
            <w:vAlign w:val="bottom"/>
            <w:gridSpan w:val="3"/>
            <w:shd w:val="clear" w:color="auto" w:fill="E4E4E4"/>
          </w:tcPr>
          <w:p>
            <w:pPr>
              <w:jc w:val="right"/>
              <w:ind w:right="180"/>
              <w:spacing w:after="0"/>
              <w:rPr>
                <w:sz w:val="20"/>
                <w:szCs w:val="20"/>
                <w:color w:val="auto"/>
              </w:rPr>
            </w:pPr>
            <w:r>
              <w:rPr>
                <w:rFonts w:ascii="Arial" w:cs="Arial" w:eastAsia="Arial" w:hAnsi="Arial"/>
                <w:sz w:val="20"/>
                <w:szCs w:val="20"/>
                <w:color w:val="auto"/>
              </w:rPr>
              <w:t>33,304</w:t>
            </w:r>
          </w:p>
        </w:tc>
        <w:tc>
          <w:tcPr>
            <w:tcW w:w="20" w:type="dxa"/>
            <w:vAlign w:val="bottom"/>
            <w:shd w:val="clear" w:color="auto" w:fill="E4E4E4"/>
          </w:tcPr>
          <w:p>
            <w:pPr>
              <w:spacing w:after="0"/>
              <w:rPr>
                <w:sz w:val="20"/>
                <w:szCs w:val="20"/>
                <w:color w:val="auto"/>
              </w:rPr>
            </w:pPr>
          </w:p>
        </w:tc>
        <w:tc>
          <w:tcPr>
            <w:tcW w:w="180" w:type="dxa"/>
            <w:vAlign w:val="bottom"/>
            <w:shd w:val="clear" w:color="auto" w:fill="E4E4E4"/>
          </w:tcPr>
          <w:p>
            <w:pPr>
              <w:spacing w:after="0"/>
              <w:rPr>
                <w:sz w:val="20"/>
                <w:szCs w:val="20"/>
                <w:color w:val="auto"/>
              </w:rPr>
            </w:pPr>
          </w:p>
        </w:tc>
        <w:tc>
          <w:tcPr>
            <w:tcW w:w="118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32,552</w:t>
            </w:r>
          </w:p>
        </w:tc>
        <w:tc>
          <w:tcPr>
            <w:tcW w:w="0" w:type="dxa"/>
            <w:vAlign w:val="bottom"/>
          </w:tcPr>
          <w:p>
            <w:pPr>
              <w:spacing w:after="0"/>
              <w:rPr>
                <w:sz w:val="1"/>
                <w:szCs w:val="1"/>
                <w:color w:val="auto"/>
              </w:rPr>
            </w:pPr>
          </w:p>
        </w:tc>
      </w:tr>
      <w:tr>
        <w:trPr>
          <w:trHeight w:val="230"/>
        </w:trPr>
        <w:tc>
          <w:tcPr>
            <w:tcW w:w="6540" w:type="dxa"/>
            <w:vAlign w:val="bottom"/>
            <w:gridSpan w:val="2"/>
          </w:tcPr>
          <w:p>
            <w:pPr>
              <w:ind w:left="280"/>
              <w:spacing w:after="0"/>
              <w:rPr>
                <w:sz w:val="20"/>
                <w:szCs w:val="20"/>
                <w:color w:val="auto"/>
              </w:rPr>
            </w:pPr>
            <w:r>
              <w:rPr>
                <w:rFonts w:ascii="Arial" w:cs="Arial" w:eastAsia="Arial" w:hAnsi="Arial"/>
                <w:sz w:val="20"/>
                <w:szCs w:val="20"/>
                <w:color w:val="auto"/>
              </w:rPr>
              <w:t>Legal settlement</w:t>
            </w:r>
          </w:p>
        </w:tc>
        <w:tc>
          <w:tcPr>
            <w:tcW w:w="180" w:type="dxa"/>
            <w:vAlign w:val="bottom"/>
          </w:tcPr>
          <w:p>
            <w:pPr>
              <w:spacing w:after="0"/>
              <w:rPr>
                <w:sz w:val="20"/>
                <w:szCs w:val="20"/>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10,000</w:t>
            </w:r>
          </w:p>
        </w:tc>
        <w:tc>
          <w:tcPr>
            <w:tcW w:w="0" w:type="dxa"/>
            <w:vAlign w:val="bottom"/>
          </w:tcPr>
          <w:p>
            <w:pPr>
              <w:spacing w:after="0"/>
              <w:rPr>
                <w:sz w:val="1"/>
                <w:szCs w:val="1"/>
                <w:color w:val="auto"/>
              </w:rPr>
            </w:pPr>
          </w:p>
        </w:tc>
      </w:tr>
      <w:tr>
        <w:trPr>
          <w:trHeight w:val="249"/>
        </w:trPr>
        <w:tc>
          <w:tcPr>
            <w:tcW w:w="6540" w:type="dxa"/>
            <w:vAlign w:val="bottom"/>
            <w:gridSpan w:val="2"/>
            <w:shd w:val="clear" w:color="auto" w:fill="E4E4E4"/>
          </w:tcPr>
          <w:p>
            <w:pPr>
              <w:ind w:left="280"/>
              <w:spacing w:after="0"/>
              <w:rPr>
                <w:sz w:val="20"/>
                <w:szCs w:val="20"/>
                <w:color w:val="auto"/>
              </w:rPr>
            </w:pPr>
            <w:r>
              <w:rPr>
                <w:rFonts w:ascii="Arial" w:cs="Arial" w:eastAsia="Arial" w:hAnsi="Arial"/>
                <w:sz w:val="20"/>
                <w:szCs w:val="20"/>
                <w:color w:val="auto"/>
              </w:rPr>
              <w:t>Insurance recovery related to legal settlement</w:t>
            </w:r>
          </w:p>
        </w:tc>
        <w:tc>
          <w:tcPr>
            <w:tcW w:w="180" w:type="dxa"/>
            <w:vAlign w:val="bottom"/>
            <w:shd w:val="clear" w:color="auto" w:fill="E4E4E4"/>
          </w:tcPr>
          <w:p>
            <w:pPr>
              <w:spacing w:after="0"/>
              <w:rPr>
                <w:sz w:val="21"/>
                <w:szCs w:val="21"/>
                <w:color w:val="auto"/>
              </w:rPr>
            </w:pPr>
          </w:p>
        </w:tc>
        <w:tc>
          <w:tcPr>
            <w:tcW w:w="10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(1,628)</w:t>
            </w:r>
          </w:p>
        </w:tc>
        <w:tc>
          <w:tcPr>
            <w:tcW w:w="2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118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0"/>
        </w:trPr>
        <w:tc>
          <w:tcPr>
            <w:tcW w:w="6540" w:type="dxa"/>
            <w:vAlign w:val="bottom"/>
            <w:tcBorders>
              <w:top w:val="single" w:sz="8" w:color="E4E4E4"/>
              <w:bottom w:val="single" w:sz="8" w:color="E4E4E4"/>
            </w:tcBorders>
            <w:gridSpan w:val="2"/>
          </w:tcPr>
          <w:p>
            <w:pPr>
              <w:ind w:left="560"/>
              <w:spacing w:after="0" w:line="200" w:lineRule="exact"/>
              <w:rPr>
                <w:sz w:val="20"/>
                <w:szCs w:val="20"/>
                <w:color w:val="auto"/>
              </w:rPr>
            </w:pPr>
            <w:r>
              <w:rPr>
                <w:rFonts w:ascii="Arial" w:cs="Arial" w:eastAsia="Arial" w:hAnsi="Arial"/>
                <w:sz w:val="20"/>
                <w:szCs w:val="20"/>
                <w:color w:val="auto"/>
              </w:rPr>
              <w:t>Total operating expenses</w:t>
            </w: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125,466</w:t>
            </w:r>
          </w:p>
        </w:tc>
        <w:tc>
          <w:tcPr>
            <w:tcW w:w="20" w:type="dxa"/>
            <w:vAlign w:val="bottom"/>
            <w:tcBorders>
              <w:top w:val="single" w:sz="8" w:color="E4E4E4"/>
              <w:bottom w:val="single" w:sz="8" w:color="E4E4E4"/>
            </w:tcBorders>
          </w:tcPr>
          <w:p>
            <w:pPr>
              <w:spacing w:after="0"/>
              <w:rPr>
                <w:sz w:val="17"/>
                <w:szCs w:val="17"/>
                <w:color w:val="auto"/>
              </w:rPr>
            </w:pPr>
          </w:p>
        </w:tc>
        <w:tc>
          <w:tcPr>
            <w:tcW w:w="160" w:type="dxa"/>
            <w:vAlign w:val="bottom"/>
            <w:tcBorders>
              <w:top w:val="single" w:sz="8" w:color="E4E4E4"/>
              <w:bottom w:val="single" w:sz="8" w:color="E4E4E4"/>
            </w:tcBorders>
          </w:tcPr>
          <w:p>
            <w:pPr>
              <w:spacing w:after="0"/>
              <w:rPr>
                <w:sz w:val="17"/>
                <w:szCs w:val="17"/>
                <w:color w:val="auto"/>
              </w:rPr>
            </w:pPr>
          </w:p>
        </w:tc>
        <w:tc>
          <w:tcPr>
            <w:tcW w:w="20" w:type="dxa"/>
            <w:vAlign w:val="bottom"/>
            <w:tcBorders>
              <w:top w:val="single" w:sz="8" w:color="E4E4E4"/>
              <w:bottom w:val="single" w:sz="8" w:color="E4E4E4"/>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104,016</w:t>
            </w:r>
          </w:p>
        </w:tc>
        <w:tc>
          <w:tcPr>
            <w:tcW w:w="100" w:type="dxa"/>
            <w:vAlign w:val="bottom"/>
            <w:tcBorders>
              <w:top w:val="single" w:sz="8" w:color="E4E4E4"/>
              <w:bottom w:val="single" w:sz="8" w:color="E4E4E4"/>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540" w:type="dxa"/>
            <w:vAlign w:val="bottom"/>
            <w:gridSpan w:val="2"/>
            <w:shd w:val="clear" w:color="auto" w:fill="E4E4E4"/>
          </w:tcPr>
          <w:p>
            <w:pPr>
              <w:spacing w:after="0" w:line="220" w:lineRule="exact"/>
              <w:rPr>
                <w:sz w:val="20"/>
                <w:szCs w:val="20"/>
                <w:color w:val="auto"/>
              </w:rPr>
            </w:pPr>
            <w:r>
              <w:rPr>
                <w:rFonts w:ascii="Arial" w:cs="Arial" w:eastAsia="Arial" w:hAnsi="Arial"/>
                <w:sz w:val="20"/>
                <w:szCs w:val="20"/>
                <w:color w:val="auto"/>
              </w:rPr>
              <w:t>Loss from operations</w:t>
            </w:r>
          </w:p>
        </w:tc>
        <w:tc>
          <w:tcPr>
            <w:tcW w:w="180" w:type="dxa"/>
            <w:vAlign w:val="bottom"/>
            <w:shd w:val="clear" w:color="auto" w:fill="E4E4E4"/>
          </w:tcPr>
          <w:p>
            <w:pPr>
              <w:spacing w:after="0"/>
              <w:rPr>
                <w:sz w:val="19"/>
                <w:szCs w:val="19"/>
                <w:color w:val="auto"/>
              </w:rPr>
            </w:pPr>
          </w:p>
        </w:tc>
        <w:tc>
          <w:tcPr>
            <w:tcW w:w="108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rPr>
              <w:t>(125,466)</w:t>
            </w:r>
          </w:p>
        </w:tc>
        <w:tc>
          <w:tcPr>
            <w:tcW w:w="2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180" w:type="dxa"/>
            <w:vAlign w:val="bottom"/>
            <w:gridSpan w:val="2"/>
            <w:shd w:val="clear" w:color="auto" w:fill="E4E4E4"/>
          </w:tcPr>
          <w:p>
            <w:pPr>
              <w:jc w:val="right"/>
              <w:spacing w:after="0" w:line="220" w:lineRule="exact"/>
              <w:rPr>
                <w:sz w:val="20"/>
                <w:szCs w:val="20"/>
                <w:color w:val="auto"/>
              </w:rPr>
            </w:pPr>
            <w:r>
              <w:rPr>
                <w:rFonts w:ascii="Arial" w:cs="Arial" w:eastAsia="Arial" w:hAnsi="Arial"/>
                <w:sz w:val="20"/>
                <w:szCs w:val="20"/>
                <w:color w:val="auto"/>
              </w:rPr>
              <w:t>(104,016)</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20"/>
                <w:szCs w:val="20"/>
                <w:color w:val="auto"/>
              </w:rPr>
              <w:t>Grant income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157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5,161</w:t>
            </w:r>
          </w:p>
        </w:tc>
        <w:tc>
          <w:tcPr>
            <w:tcW w:w="0" w:type="dxa"/>
            <w:vAlign w:val="bottom"/>
          </w:tcPr>
          <w:p>
            <w:pPr>
              <w:spacing w:after="0"/>
              <w:rPr>
                <w:sz w:val="1"/>
                <w:szCs w:val="1"/>
                <w:color w:val="auto"/>
              </w:rPr>
            </w:pPr>
          </w:p>
        </w:tc>
      </w:tr>
      <w:tr>
        <w:trPr>
          <w:trHeight w:val="249"/>
        </w:trPr>
        <w:tc>
          <w:tcPr>
            <w:tcW w:w="6540" w:type="dxa"/>
            <w:vAlign w:val="bottom"/>
            <w:gridSpan w:val="2"/>
            <w:shd w:val="clear" w:color="auto" w:fill="E4E4E4"/>
          </w:tcPr>
          <w:p>
            <w:pPr>
              <w:spacing w:after="0"/>
              <w:rPr>
                <w:sz w:val="20"/>
                <w:szCs w:val="20"/>
                <w:color w:val="auto"/>
              </w:rPr>
            </w:pPr>
            <w:r>
              <w:rPr>
                <w:rFonts w:ascii="Arial" w:cs="Arial" w:eastAsia="Arial" w:hAnsi="Arial"/>
                <w:sz w:val="20"/>
                <w:szCs w:val="20"/>
                <w:color w:val="auto"/>
              </w:rPr>
              <w:t>Other income, net</w:t>
            </w:r>
          </w:p>
        </w:tc>
        <w:tc>
          <w:tcPr>
            <w:tcW w:w="180" w:type="dxa"/>
            <w:vAlign w:val="bottom"/>
            <w:shd w:val="clear" w:color="auto" w:fill="E4E4E4"/>
          </w:tcPr>
          <w:p>
            <w:pPr>
              <w:spacing w:after="0"/>
              <w:rPr>
                <w:sz w:val="21"/>
                <w:szCs w:val="21"/>
                <w:color w:val="auto"/>
              </w:rPr>
            </w:pPr>
          </w:p>
        </w:tc>
        <w:tc>
          <w:tcPr>
            <w:tcW w:w="1100" w:type="dxa"/>
            <w:vAlign w:val="bottom"/>
            <w:gridSpan w:val="2"/>
            <w:shd w:val="clear" w:color="auto" w:fill="E4E4E4"/>
          </w:tcPr>
          <w:p>
            <w:pPr>
              <w:jc w:val="right"/>
              <w:ind w:right="20"/>
              <w:spacing w:after="0"/>
              <w:rPr>
                <w:sz w:val="20"/>
                <w:szCs w:val="20"/>
                <w:color w:val="auto"/>
              </w:rPr>
            </w:pPr>
            <w:r>
              <w:rPr>
                <w:rFonts w:ascii="Arial" w:cs="Arial" w:eastAsia="Arial" w:hAnsi="Arial"/>
                <w:sz w:val="20"/>
                <w:szCs w:val="20"/>
                <w:color w:val="auto"/>
              </w:rPr>
              <w:t>7,637</w:t>
            </w:r>
          </w:p>
        </w:tc>
        <w:tc>
          <w:tcPr>
            <w:tcW w:w="1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118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3,216</w:t>
            </w:r>
          </w:p>
        </w:tc>
        <w:tc>
          <w:tcPr>
            <w:tcW w:w="0" w:type="dxa"/>
            <w:vAlign w:val="bottom"/>
          </w:tcPr>
          <w:p>
            <w:pPr>
              <w:spacing w:after="0"/>
              <w:rPr>
                <w:sz w:val="1"/>
                <w:szCs w:val="1"/>
                <w:color w:val="auto"/>
              </w:rPr>
            </w:pPr>
          </w:p>
        </w:tc>
      </w:tr>
      <w:tr>
        <w:trPr>
          <w:trHeight w:val="240"/>
        </w:trPr>
        <w:tc>
          <w:tcPr>
            <w:tcW w:w="6540" w:type="dxa"/>
            <w:vAlign w:val="bottom"/>
            <w:tcBorders>
              <w:top w:val="single" w:sz="8" w:color="E4E4E4"/>
              <w:bottom w:val="single" w:sz="8" w:color="E4E4E4"/>
            </w:tcBorders>
            <w:gridSpan w:val="2"/>
          </w:tcPr>
          <w:p>
            <w:pPr>
              <w:spacing w:after="0" w:line="200" w:lineRule="exact"/>
              <w:rPr>
                <w:sz w:val="20"/>
                <w:szCs w:val="20"/>
                <w:color w:val="auto"/>
              </w:rPr>
            </w:pPr>
            <w:r>
              <w:rPr>
                <w:rFonts w:ascii="Arial" w:cs="Arial" w:eastAsia="Arial" w:hAnsi="Arial"/>
                <w:sz w:val="20"/>
                <w:szCs w:val="20"/>
                <w:color w:val="auto"/>
              </w:rPr>
              <w:t>Net loss</w:t>
            </w:r>
          </w:p>
        </w:tc>
        <w:tc>
          <w:tcPr>
            <w:tcW w:w="18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(117,672)</w:t>
            </w:r>
          </w:p>
        </w:tc>
        <w:tc>
          <w:tcPr>
            <w:tcW w:w="20" w:type="dxa"/>
            <w:vAlign w:val="bottom"/>
            <w:tcBorders>
              <w:top w:val="single" w:sz="8" w:color="E4E4E4"/>
              <w:bottom w:val="single" w:sz="8" w:color="auto"/>
            </w:tcBorders>
          </w:tcPr>
          <w:p>
            <w:pPr>
              <w:spacing w:after="0"/>
              <w:rPr>
                <w:sz w:val="20"/>
                <w:szCs w:val="20"/>
                <w:color w:val="auto"/>
              </w:rPr>
            </w:pPr>
          </w:p>
        </w:tc>
        <w:tc>
          <w:tcPr>
            <w:tcW w:w="160" w:type="dxa"/>
            <w:vAlign w:val="bottom"/>
            <w:tcBorders>
              <w:top w:val="single" w:sz="8" w:color="E4E4E4"/>
              <w:bottom w:val="single" w:sz="8" w:color="E4E4E4"/>
            </w:tcBorders>
          </w:tcPr>
          <w:p>
            <w:pPr>
              <w:spacing w:after="0"/>
              <w:rPr>
                <w:sz w:val="20"/>
                <w:szCs w:val="20"/>
                <w:color w:val="auto"/>
              </w:rPr>
            </w:pPr>
          </w:p>
        </w:tc>
        <w:tc>
          <w:tcPr>
            <w:tcW w:w="20" w:type="dxa"/>
            <w:vAlign w:val="bottom"/>
            <w:tcBorders>
              <w:top w:val="single" w:sz="8" w:color="E4E4E4"/>
              <w:bottom w:val="single" w:sz="8" w:color="E4E4E4"/>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(95,639</w:t>
            </w:r>
          </w:p>
        </w:tc>
        <w:tc>
          <w:tcPr>
            <w:tcW w:w="100" w:type="dxa"/>
            <w:vAlign w:val="bottom"/>
            <w:tcBorders>
              <w:top w:val="single" w:sz="8" w:color="E4E4E4"/>
              <w:bottom w:val="single" w:sz="8" w:color="E4E4E4"/>
            </w:tcBorders>
          </w:tcPr>
          <w:p>
            <w:pPr>
              <w:jc w:val="right"/>
              <w:spacing w:after="0" w:line="200" w:lineRule="exact"/>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E4E4E4"/>
          </w:tcPr>
          <w:p>
            <w:pPr>
              <w:spacing w:after="0" w:line="216" w:lineRule="exact"/>
              <w:rPr>
                <w:sz w:val="20"/>
                <w:szCs w:val="20"/>
                <w:color w:val="auto"/>
              </w:rPr>
            </w:pPr>
            <w:r>
              <w:rPr>
                <w:rFonts w:ascii="Arial" w:cs="Arial" w:eastAsia="Arial" w:hAnsi="Arial"/>
                <w:sz w:val="20"/>
                <w:szCs w:val="20"/>
                <w:color w:val="auto"/>
              </w:rPr>
              <w:t>Unrealized gain (loss) on available-for-sale securities</w:t>
            </w:r>
          </w:p>
        </w:tc>
        <w:tc>
          <w:tcPr>
            <w:tcW w:w="180" w:type="dxa"/>
            <w:vAlign w:val="bottom"/>
            <w:shd w:val="clear" w:color="auto" w:fill="E4E4E4"/>
          </w:tcPr>
          <w:p>
            <w:pPr>
              <w:spacing w:after="0"/>
              <w:rPr>
                <w:sz w:val="18"/>
                <w:szCs w:val="18"/>
                <w:color w:val="auto"/>
              </w:rPr>
            </w:pPr>
          </w:p>
        </w:tc>
        <w:tc>
          <w:tcPr>
            <w:tcW w:w="1100" w:type="dxa"/>
            <w:vAlign w:val="bottom"/>
            <w:gridSpan w:val="2"/>
            <w:shd w:val="clear" w:color="auto" w:fill="E4E4E4"/>
          </w:tcPr>
          <w:p>
            <w:pPr>
              <w:jc w:val="right"/>
              <w:ind w:right="20"/>
              <w:spacing w:after="0" w:line="216" w:lineRule="exact"/>
              <w:rPr>
                <w:sz w:val="20"/>
                <w:szCs w:val="20"/>
                <w:color w:val="auto"/>
              </w:rPr>
            </w:pPr>
            <w:r>
              <w:rPr>
                <w:rFonts w:ascii="Arial" w:cs="Arial" w:eastAsia="Arial" w:hAnsi="Arial"/>
                <w:sz w:val="20"/>
                <w:szCs w:val="20"/>
                <w:color w:val="auto"/>
              </w:rPr>
              <w:t>1,607</w:t>
            </w:r>
          </w:p>
        </w:tc>
        <w:tc>
          <w:tcPr>
            <w:tcW w:w="1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180" w:type="dxa"/>
            <w:vAlign w:val="bottom"/>
            <w:gridSpan w:val="2"/>
            <w:shd w:val="clear" w:color="auto" w:fill="E4E4E4"/>
          </w:tcPr>
          <w:p>
            <w:pPr>
              <w:jc w:val="right"/>
              <w:spacing w:after="0" w:line="216" w:lineRule="exact"/>
              <w:rPr>
                <w:sz w:val="20"/>
                <w:szCs w:val="20"/>
                <w:color w:val="auto"/>
              </w:rPr>
            </w:pPr>
            <w:r>
              <w:rPr>
                <w:rFonts w:ascii="Arial" w:cs="Arial" w:eastAsia="Arial" w:hAnsi="Arial"/>
                <w:sz w:val="20"/>
                <w:szCs w:val="20"/>
                <w:color w:val="auto"/>
              </w:rPr>
              <w:t>(1,568)</w:t>
            </w:r>
          </w:p>
        </w:tc>
        <w:tc>
          <w:tcPr>
            <w:tcW w:w="0" w:type="dxa"/>
            <w:vAlign w:val="bottom"/>
          </w:tcPr>
          <w:p>
            <w:pPr>
              <w:spacing w:after="0"/>
              <w:rPr>
                <w:sz w:val="1"/>
                <w:szCs w:val="1"/>
                <w:color w:val="auto"/>
              </w:rPr>
            </w:pPr>
          </w:p>
        </w:tc>
      </w:tr>
      <w:tr>
        <w:trPr>
          <w:trHeight w:val="260"/>
        </w:trPr>
        <w:tc>
          <w:tcPr>
            <w:tcW w:w="6540" w:type="dxa"/>
            <w:vAlign w:val="bottom"/>
            <w:tcBorders>
              <w:bottom w:val="single" w:sz="8" w:color="E4E4E4"/>
            </w:tcBorders>
            <w:gridSpan w:val="2"/>
          </w:tcPr>
          <w:p>
            <w:pPr>
              <w:spacing w:after="0" w:line="220" w:lineRule="exact"/>
              <w:rPr>
                <w:sz w:val="20"/>
                <w:szCs w:val="20"/>
                <w:color w:val="auto"/>
              </w:rPr>
            </w:pPr>
            <w:r>
              <w:rPr>
                <w:rFonts w:ascii="Arial" w:cs="Arial" w:eastAsia="Arial" w:hAnsi="Arial"/>
                <w:sz w:val="20"/>
                <w:szCs w:val="20"/>
                <w:color w:val="auto"/>
              </w:rPr>
              <w:t>Comprehensive loss attributable to common stockholders</w:t>
            </w:r>
          </w:p>
        </w:tc>
        <w:tc>
          <w:tcPr>
            <w:tcW w:w="1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(116,065)</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E4E4E4"/>
            </w:tcBorders>
          </w:tcPr>
          <w:p>
            <w:pPr>
              <w:spacing w:after="0"/>
              <w:rPr>
                <w:sz w:val="22"/>
                <w:szCs w:val="22"/>
                <w:color w:val="auto"/>
              </w:rPr>
            </w:pPr>
          </w:p>
        </w:tc>
        <w:tc>
          <w:tcPr>
            <w:tcW w:w="20" w:type="dxa"/>
            <w:vAlign w:val="bottom"/>
            <w:tcBorders>
              <w:bottom w:val="single" w:sz="8" w:color="E4E4E4"/>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(97,207</w:t>
            </w:r>
          </w:p>
        </w:tc>
        <w:tc>
          <w:tcPr>
            <w:tcW w:w="100" w:type="dxa"/>
            <w:vAlign w:val="bottom"/>
            <w:tcBorders>
              <w:bottom w:val="single" w:sz="8" w:color="E4E4E4"/>
            </w:tcBorders>
          </w:tcPr>
          <w:p>
            <w:pPr>
              <w:jc w:val="right"/>
              <w:spacing w:after="0" w:line="220" w:lineRule="exact"/>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15"/>
        </w:trPr>
        <w:tc>
          <w:tcPr>
            <w:tcW w:w="6540" w:type="dxa"/>
            <w:vAlign w:val="bottom"/>
            <w:gridSpan w:val="2"/>
            <w:shd w:val="clear" w:color="auto" w:fill="E4E4E4"/>
          </w:tcPr>
          <w:p>
            <w:pPr>
              <w:spacing w:after="0" w:line="215" w:lineRule="exact"/>
              <w:rPr>
                <w:sz w:val="20"/>
                <w:szCs w:val="20"/>
                <w:color w:val="auto"/>
              </w:rPr>
            </w:pPr>
            <w:r>
              <w:rPr>
                <w:rFonts w:ascii="Arial" w:cs="Arial" w:eastAsia="Arial" w:hAnsi="Arial"/>
                <w:sz w:val="20"/>
                <w:szCs w:val="20"/>
                <w:color w:val="auto"/>
              </w:rPr>
              <w:t>Net loss per share attributable to common</w:t>
            </w:r>
          </w:p>
        </w:tc>
        <w:tc>
          <w:tcPr>
            <w:tcW w:w="180" w:type="dxa"/>
            <w:vAlign w:val="bottom"/>
            <w:shd w:val="clear" w:color="auto" w:fill="E4E4E4"/>
          </w:tcPr>
          <w:p>
            <w:pPr>
              <w:spacing w:after="0"/>
              <w:rPr>
                <w:sz w:val="18"/>
                <w:szCs w:val="18"/>
                <w:color w:val="auto"/>
              </w:rPr>
            </w:pPr>
          </w:p>
        </w:tc>
        <w:tc>
          <w:tcPr>
            <w:tcW w:w="108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08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E4E4E4"/>
          </w:tcPr>
          <w:p>
            <w:pPr>
              <w:ind w:left="160"/>
              <w:spacing w:after="0"/>
              <w:rPr>
                <w:sz w:val="20"/>
                <w:szCs w:val="20"/>
                <w:color w:val="auto"/>
              </w:rPr>
            </w:pPr>
            <w:r>
              <w:rPr>
                <w:rFonts w:ascii="Arial" w:cs="Arial" w:eastAsia="Arial" w:hAnsi="Arial"/>
                <w:sz w:val="20"/>
                <w:szCs w:val="20"/>
                <w:color w:val="auto"/>
              </w:rPr>
              <w:t>stockholders, basic and diluted</w:t>
            </w:r>
          </w:p>
        </w:tc>
        <w:tc>
          <w:tcPr>
            <w:tcW w:w="20" w:type="dxa"/>
            <w:vAlign w:val="bottom"/>
            <w:shd w:val="clear" w:color="auto" w:fill="E4E4E4"/>
          </w:tcPr>
          <w:p>
            <w:pPr>
              <w:spacing w:after="0"/>
              <w:rPr>
                <w:sz w:val="19"/>
                <w:szCs w:val="19"/>
                <w:color w:val="auto"/>
              </w:rPr>
            </w:pPr>
          </w:p>
        </w:tc>
        <w:tc>
          <w:tcPr>
            <w:tcW w:w="180" w:type="dxa"/>
            <w:vAlign w:val="bottom"/>
            <w:shd w:val="clear" w:color="auto" w:fill="E4E4E4"/>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(3.09)</w:t>
            </w:r>
          </w:p>
        </w:tc>
        <w:tc>
          <w:tcPr>
            <w:tcW w:w="2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(2.53)</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20"/>
                <w:szCs w:val="20"/>
                <w:color w:val="auto"/>
              </w:rPr>
              <w:t>Weighted-average shares used in computing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ind w:left="160"/>
              <w:spacing w:after="0"/>
              <w:rPr>
                <w:sz w:val="20"/>
                <w:szCs w:val="20"/>
                <w:color w:val="auto"/>
              </w:rPr>
            </w:pPr>
            <w:r>
              <w:rPr>
                <w:rFonts w:ascii="Arial" w:cs="Arial" w:eastAsia="Arial" w:hAnsi="Arial"/>
                <w:sz w:val="20"/>
                <w:szCs w:val="20"/>
                <w:color w:val="auto"/>
              </w:rPr>
              <w:t>net loss per share attributable to common</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540" w:type="dxa"/>
            <w:vAlign w:val="bottom"/>
            <w:gridSpan w:val="2"/>
          </w:tcPr>
          <w:p>
            <w:pPr>
              <w:ind w:left="160"/>
              <w:spacing w:after="0"/>
              <w:rPr>
                <w:sz w:val="20"/>
                <w:szCs w:val="20"/>
                <w:color w:val="auto"/>
              </w:rPr>
            </w:pPr>
            <w:r>
              <w:rPr>
                <w:rFonts w:ascii="Arial" w:cs="Arial" w:eastAsia="Arial" w:hAnsi="Arial"/>
                <w:sz w:val="20"/>
                <w:szCs w:val="20"/>
                <w:color w:val="auto"/>
              </w:rPr>
              <w:t>stockholders, basic and diluted</w:t>
            </w:r>
          </w:p>
        </w:tc>
        <w:tc>
          <w:tcPr>
            <w:tcW w:w="1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0"/>
                <w:szCs w:val="20"/>
                <w:color w:val="auto"/>
              </w:rPr>
              <w:t>38,020,182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37,733,240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-1888490</wp:posOffset>
                </wp:positionV>
                <wp:extent cx="414337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4337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8.6999pt" to="326.25pt,-148.69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4954905</wp:posOffset>
                </wp:positionH>
                <wp:positionV relativeFrom="paragraph">
                  <wp:posOffset>-1888490</wp:posOffset>
                </wp:positionV>
                <wp:extent cx="11811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11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15pt,-148.6999pt" to="399.45pt,-148.69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5884545</wp:posOffset>
                </wp:positionH>
                <wp:positionV relativeFrom="paragraph">
                  <wp:posOffset>-1888490</wp:posOffset>
                </wp:positionV>
                <wp:extent cx="5842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2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35pt,-148.6999pt" to="467.95pt,-148.69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-1292225</wp:posOffset>
                </wp:positionV>
                <wp:extent cx="414337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4337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7499pt" to="326.25pt,-101.74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4954905</wp:posOffset>
                </wp:positionH>
                <wp:positionV relativeFrom="paragraph">
                  <wp:posOffset>-1292225</wp:posOffset>
                </wp:positionV>
                <wp:extent cx="11811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11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15pt,-101.7499pt" to="399.45pt,-101.74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5884545</wp:posOffset>
                </wp:positionH>
                <wp:positionV relativeFrom="paragraph">
                  <wp:posOffset>-1292225</wp:posOffset>
                </wp:positionV>
                <wp:extent cx="5842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2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35pt,-101.7499pt" to="467.95pt,-101.74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4143375</wp:posOffset>
                </wp:positionH>
                <wp:positionV relativeFrom="paragraph">
                  <wp:posOffset>-466725</wp:posOffset>
                </wp:positionV>
                <wp:extent cx="81153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25pt,-36.7499pt" to="390.15pt,-36.7499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5073015</wp:posOffset>
                </wp:positionH>
                <wp:positionV relativeFrom="paragraph">
                  <wp:posOffset>-466725</wp:posOffset>
                </wp:positionV>
                <wp:extent cx="81153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45pt,-36.7499pt" to="463.35pt,-36.7499pt" o:allowincell="f" strokecolor="#FFFFFF" strokeweight="0.1209pt"/>
            </w:pict>
          </mc:Fallback>
        </mc:AlternateConten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accompanying notes are an integral part of these consolidated financial statements.</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137</w:t>
      </w:r>
    </w:p>
    <w:p>
      <w:pPr>
        <w:sectPr>
          <w:pgSz w:w="11880" w:h="15474" w:orient="portrait"/>
          <w:cols w:equalWidth="0" w:num="1">
            <w:col w:w="9360"/>
          </w:cols>
          <w:pgMar w:left="1240" w:top="1251" w:right="1274" w:bottom="0" w:gutter="0" w:footer="0" w:header="0"/>
          <w:type w:val="continuous"/>
        </w:sectPr>
      </w:pPr>
    </w:p>
    <w:bookmarkStart w:id="143" w:name="page144"/>
    <w:bookmarkEnd w:id="143"/>
    <w:p>
      <w:pPr>
        <w:jc w:val="center"/>
        <w:spacing w:after="0"/>
        <w:rPr>
          <w:sz w:val="20"/>
          <w:szCs w:val="20"/>
          <w:color w:val="auto"/>
        </w:rPr>
      </w:pPr>
      <w:r>
        <w:rPr>
          <w:rFonts w:ascii="Arial" w:cs="Arial" w:eastAsia="Arial" w:hAnsi="Arial"/>
          <w:sz w:val="20"/>
          <w:szCs w:val="20"/>
          <w:b w:val="1"/>
          <w:bCs w:val="1"/>
          <w:color w:val="auto"/>
        </w:rPr>
        <w:t>Athira Pharma, Inc.</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jc w:val="center"/>
        <w:spacing w:after="0"/>
        <w:rPr>
          <w:sz w:val="20"/>
          <w:szCs w:val="20"/>
          <w:color w:val="auto"/>
        </w:rPr>
      </w:pPr>
      <w:r>
        <w:rPr>
          <w:rFonts w:ascii="Arial" w:cs="Arial" w:eastAsia="Arial" w:hAnsi="Arial"/>
          <w:sz w:val="20"/>
          <w:szCs w:val="20"/>
          <w:b w:val="1"/>
          <w:bCs w:val="1"/>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Accumulated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8"/>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7"/>
              </w:rPr>
              <w:t>Paid-In</w:t>
            </w:r>
          </w:p>
        </w:tc>
        <w:tc>
          <w:tcPr>
            <w:tcW w:w="14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9"/>
              </w:rPr>
              <w:t>Comprehensive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9"/>
              </w:rPr>
              <w:t>Accumulated</w:t>
            </w:r>
          </w:p>
        </w:tc>
        <w:tc>
          <w:tcPr>
            <w:tcW w:w="13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73"/>
        </w:trPr>
        <w:tc>
          <w:tcPr>
            <w:tcW w:w="4000" w:type="dxa"/>
            <w:vAlign w:val="bottom"/>
            <w:tcBorders>
              <w:bottom w:val="single" w:sz="8" w:color="E4E4E4"/>
            </w:tcBorders>
          </w:tcPr>
          <w:p>
            <w:pPr>
              <w:spacing w:after="0"/>
              <w:rPr>
                <w:sz w:val="15"/>
                <w:szCs w:val="15"/>
                <w:color w:val="auto"/>
              </w:rPr>
            </w:pPr>
          </w:p>
        </w:tc>
        <w:tc>
          <w:tcPr>
            <w:tcW w:w="140" w:type="dxa"/>
            <w:vAlign w:val="bottom"/>
            <w:tcBorders>
              <w:bottom w:val="single" w:sz="8" w:color="E4E4E4"/>
            </w:tcBorders>
          </w:tcPr>
          <w:p>
            <w:pPr>
              <w:spacing w:after="0"/>
              <w:rPr>
                <w:sz w:val="15"/>
                <w:szCs w:val="15"/>
                <w:color w:val="auto"/>
              </w:rPr>
            </w:pPr>
          </w:p>
        </w:tc>
        <w:tc>
          <w:tcPr>
            <w:tcW w:w="1220" w:type="dxa"/>
            <w:vAlign w:val="bottom"/>
            <w:tcBorders>
              <w:bottom w:val="single" w:sz="8" w:color="auto"/>
            </w:tcBorders>
          </w:tcPr>
          <w:p>
            <w:pPr>
              <w:jc w:val="right"/>
              <w:ind w:right="271"/>
              <w:spacing w:after="0" w:line="173" w:lineRule="exact"/>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E4E4E4"/>
            </w:tcBorders>
          </w:tcPr>
          <w:p>
            <w:pPr>
              <w:spacing w:after="0"/>
              <w:rPr>
                <w:sz w:val="15"/>
                <w:szCs w:val="15"/>
                <w:color w:val="auto"/>
              </w:rPr>
            </w:pPr>
          </w:p>
        </w:tc>
        <w:tc>
          <w:tcPr>
            <w:tcW w:w="9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b w:val="1"/>
                <w:bCs w:val="1"/>
                <w:color w:val="auto"/>
              </w:rPr>
              <w:t>Amount</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E4E4E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2"/>
              <w:spacing w:after="0" w:line="173" w:lineRule="exact"/>
              <w:rPr>
                <w:sz w:val="20"/>
                <w:szCs w:val="20"/>
                <w:color w:val="auto"/>
              </w:rPr>
            </w:pPr>
            <w:r>
              <w:rPr>
                <w:rFonts w:ascii="Arial" w:cs="Arial" w:eastAsia="Arial" w:hAnsi="Arial"/>
                <w:sz w:val="16"/>
                <w:szCs w:val="16"/>
                <w:b w:val="1"/>
                <w:bCs w:val="1"/>
                <w:color w:val="auto"/>
                <w:w w:val="97"/>
              </w:rPr>
              <w:t>Capital</w:t>
            </w:r>
          </w:p>
        </w:tc>
        <w:tc>
          <w:tcPr>
            <w:tcW w:w="240" w:type="dxa"/>
            <w:vAlign w:val="bottom"/>
            <w:tcBorders>
              <w:bottom w:val="single" w:sz="8" w:color="E4E4E4"/>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2"/>
              <w:spacing w:after="0" w:line="173" w:lineRule="exact"/>
              <w:rPr>
                <w:sz w:val="20"/>
                <w:szCs w:val="20"/>
                <w:color w:val="auto"/>
              </w:rPr>
            </w:pPr>
            <w:r>
              <w:rPr>
                <w:rFonts w:ascii="Arial" w:cs="Arial" w:eastAsia="Arial" w:hAnsi="Arial"/>
                <w:sz w:val="16"/>
                <w:szCs w:val="16"/>
                <w:b w:val="1"/>
                <w:bCs w:val="1"/>
                <w:color w:val="auto"/>
                <w:w w:val="99"/>
              </w:rPr>
              <w:t>Income (Loss)</w:t>
            </w:r>
          </w:p>
        </w:tc>
        <w:tc>
          <w:tcPr>
            <w:tcW w:w="140" w:type="dxa"/>
            <w:vAlign w:val="bottom"/>
            <w:tcBorders>
              <w:bottom w:val="single" w:sz="8" w:color="E4E4E4"/>
            </w:tcBorders>
          </w:tcPr>
          <w:p>
            <w:pPr>
              <w:spacing w:after="0"/>
              <w:rPr>
                <w:sz w:val="15"/>
                <w:szCs w:val="15"/>
                <w:color w:val="auto"/>
              </w:rPr>
            </w:pPr>
          </w:p>
        </w:tc>
        <w:tc>
          <w:tcPr>
            <w:tcW w:w="140" w:type="dxa"/>
            <w:vAlign w:val="bottom"/>
            <w:tcBorders>
              <w:bottom w:val="single" w:sz="8" w:color="E4E4E4"/>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1"/>
              <w:spacing w:after="0" w:line="173" w:lineRule="exact"/>
              <w:rPr>
                <w:sz w:val="20"/>
                <w:szCs w:val="20"/>
                <w:color w:val="auto"/>
              </w:rPr>
            </w:pPr>
            <w:r>
              <w:rPr>
                <w:rFonts w:ascii="Arial" w:cs="Arial" w:eastAsia="Arial" w:hAnsi="Arial"/>
                <w:sz w:val="16"/>
                <w:szCs w:val="16"/>
                <w:b w:val="1"/>
                <w:bCs w:val="1"/>
                <w:color w:val="auto"/>
              </w:rPr>
              <w:t>Deficit</w:t>
            </w:r>
          </w:p>
        </w:tc>
        <w:tc>
          <w:tcPr>
            <w:tcW w:w="260" w:type="dxa"/>
            <w:vAlign w:val="bottom"/>
            <w:tcBorders>
              <w:bottom w:val="single" w:sz="8" w:color="E4E4E4"/>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31"/>
              <w:spacing w:after="0" w:line="173" w:lineRule="exact"/>
              <w:rPr>
                <w:sz w:val="20"/>
                <w:szCs w:val="20"/>
                <w:color w:val="auto"/>
              </w:rPr>
            </w:pPr>
            <w:r>
              <w:rPr>
                <w:rFonts w:ascii="Arial" w:cs="Arial" w:eastAsia="Arial" w:hAnsi="Arial"/>
                <w:sz w:val="16"/>
                <w:szCs w:val="16"/>
                <w:b w:val="1"/>
                <w:bCs w:val="1"/>
                <w:color w:val="auto"/>
                <w:w w:val="98"/>
              </w:rPr>
              <w:t>Equity</w:t>
            </w:r>
          </w:p>
        </w:tc>
        <w:tc>
          <w:tcPr>
            <w:tcW w:w="14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140" w:type="dxa"/>
            <w:vAlign w:val="bottom"/>
            <w:tcBorders>
              <w:right w:val="single" w:sz="8" w:color="E4E4E4"/>
            </w:tcBorders>
            <w:gridSpan w:val="2"/>
            <w:shd w:val="clear" w:color="auto" w:fill="E4E4E4"/>
          </w:tcPr>
          <w:p>
            <w:pPr>
              <w:spacing w:after="0" w:line="197" w:lineRule="exact"/>
              <w:rPr>
                <w:sz w:val="20"/>
                <w:szCs w:val="20"/>
                <w:color w:val="auto"/>
              </w:rPr>
            </w:pPr>
            <w:r>
              <w:rPr>
                <w:rFonts w:ascii="Arial" w:cs="Arial" w:eastAsia="Arial" w:hAnsi="Arial"/>
                <w:sz w:val="18"/>
                <w:szCs w:val="18"/>
                <w:b w:val="1"/>
                <w:bCs w:val="1"/>
                <w:color w:val="auto"/>
              </w:rPr>
              <w:t>Balance as of January 1, 2022</w:t>
            </w:r>
          </w:p>
        </w:tc>
        <w:tc>
          <w:tcPr>
            <w:tcW w:w="1220" w:type="dxa"/>
            <w:vAlign w:val="bottom"/>
            <w:tcBorders>
              <w:right w:val="single" w:sz="8" w:color="E4E4E4"/>
            </w:tcBorders>
            <w:shd w:val="clear" w:color="auto" w:fill="E4E4E4"/>
          </w:tcPr>
          <w:p>
            <w:pPr>
              <w:jc w:val="right"/>
              <w:spacing w:after="0" w:line="197" w:lineRule="exact"/>
              <w:rPr>
                <w:sz w:val="20"/>
                <w:szCs w:val="20"/>
                <w:color w:val="auto"/>
              </w:rPr>
            </w:pPr>
            <w:r>
              <w:rPr>
                <w:rFonts w:ascii="Arial" w:cs="Arial" w:eastAsia="Arial" w:hAnsi="Arial"/>
                <w:sz w:val="18"/>
                <w:szCs w:val="18"/>
                <w:color w:val="auto"/>
              </w:rPr>
              <w:t>37,379,077</w:t>
            </w:r>
          </w:p>
        </w:tc>
        <w:tc>
          <w:tcPr>
            <w:tcW w:w="1200" w:type="dxa"/>
            <w:vAlign w:val="bottom"/>
            <w:gridSpan w:val="2"/>
            <w:shd w:val="clear" w:color="auto" w:fill="E4E4E4"/>
          </w:tcPr>
          <w:p>
            <w:pPr>
              <w:jc w:val="right"/>
              <w:ind w:right="773"/>
              <w:spacing w:after="0" w:line="197" w:lineRule="exact"/>
              <w:rPr>
                <w:sz w:val="20"/>
                <w:szCs w:val="20"/>
                <w:color w:val="auto"/>
              </w:rPr>
            </w:pPr>
            <w:r>
              <w:rPr>
                <w:rFonts w:ascii="Arial" w:cs="Arial" w:eastAsia="Arial" w:hAnsi="Arial"/>
                <w:sz w:val="18"/>
                <w:szCs w:val="18"/>
                <w:color w:val="auto"/>
              </w:rPr>
              <w:t>$</w:t>
            </w:r>
          </w:p>
        </w:tc>
        <w:tc>
          <w:tcPr>
            <w:tcW w:w="520" w:type="dxa"/>
            <w:vAlign w:val="bottom"/>
            <w:tcBorders>
              <w:right w:val="single" w:sz="8" w:color="E4E4E4"/>
            </w:tcBorders>
            <w:gridSpan w:val="2"/>
            <w:shd w:val="clear" w:color="auto" w:fill="E4E4E4"/>
          </w:tcPr>
          <w:p>
            <w:pPr>
              <w:ind w:left="160"/>
              <w:spacing w:after="0" w:line="197" w:lineRule="exact"/>
              <w:rPr>
                <w:sz w:val="20"/>
                <w:szCs w:val="20"/>
                <w:color w:val="auto"/>
              </w:rPr>
            </w:pPr>
            <w:r>
              <w:rPr>
                <w:rFonts w:ascii="Arial" w:cs="Arial" w:eastAsia="Arial" w:hAnsi="Arial"/>
                <w:sz w:val="18"/>
                <w:szCs w:val="18"/>
                <w:color w:val="auto"/>
              </w:rPr>
              <w:t>4</w:t>
            </w:r>
          </w:p>
        </w:tc>
        <w:tc>
          <w:tcPr>
            <w:tcW w:w="160" w:type="dxa"/>
            <w:vAlign w:val="bottom"/>
            <w:shd w:val="clear" w:color="auto" w:fill="E4E4E4"/>
          </w:tcPr>
          <w:p>
            <w:pPr>
              <w:jc w:val="right"/>
              <w:spacing w:after="0" w:line="197" w:lineRule="exact"/>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E4E4E4"/>
            </w:tcBorders>
            <w:shd w:val="clear" w:color="auto" w:fill="E4E4E4"/>
          </w:tcPr>
          <w:p>
            <w:pPr>
              <w:jc w:val="right"/>
              <w:spacing w:after="0" w:line="197" w:lineRule="exact"/>
              <w:rPr>
                <w:sz w:val="20"/>
                <w:szCs w:val="20"/>
                <w:color w:val="auto"/>
              </w:rPr>
            </w:pPr>
            <w:r>
              <w:rPr>
                <w:rFonts w:ascii="Arial" w:cs="Arial" w:eastAsia="Arial" w:hAnsi="Arial"/>
                <w:sz w:val="18"/>
                <w:szCs w:val="18"/>
                <w:color w:val="auto"/>
              </w:rPr>
              <w:t>417,363</w:t>
            </w:r>
          </w:p>
        </w:tc>
        <w:tc>
          <w:tcPr>
            <w:tcW w:w="240" w:type="dxa"/>
            <w:vAlign w:val="bottom"/>
            <w:shd w:val="clear" w:color="auto" w:fill="E4E4E4"/>
          </w:tcPr>
          <w:p>
            <w:pPr>
              <w:spacing w:after="0"/>
              <w:rPr>
                <w:sz w:val="17"/>
                <w:szCs w:val="17"/>
                <w:color w:val="auto"/>
              </w:rPr>
            </w:pPr>
          </w:p>
        </w:tc>
        <w:tc>
          <w:tcPr>
            <w:tcW w:w="120" w:type="dxa"/>
            <w:vAlign w:val="bottom"/>
            <w:shd w:val="clear" w:color="auto" w:fill="E4E4E4"/>
          </w:tcPr>
          <w:p>
            <w:pPr>
              <w:jc w:val="right"/>
              <w:spacing w:after="0" w:line="197"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E4E4E4"/>
          </w:tcPr>
          <w:p>
            <w:pPr>
              <w:jc w:val="right"/>
              <w:spacing w:after="0" w:line="197" w:lineRule="exact"/>
              <w:rPr>
                <w:sz w:val="20"/>
                <w:szCs w:val="20"/>
                <w:color w:val="auto"/>
              </w:rPr>
            </w:pPr>
            <w:r>
              <w:rPr>
                <w:rFonts w:ascii="Arial" w:cs="Arial" w:eastAsia="Arial" w:hAnsi="Arial"/>
                <w:sz w:val="18"/>
                <w:szCs w:val="18"/>
                <w:color w:val="auto"/>
              </w:rPr>
              <w:t>(388</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gridSpan w:val="2"/>
            <w:shd w:val="clear" w:color="auto" w:fill="E4E4E4"/>
          </w:tcPr>
          <w:p>
            <w:pPr>
              <w:jc w:val="right"/>
              <w:spacing w:after="0" w:line="197"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E4E4E4"/>
            </w:tcBorders>
            <w:gridSpan w:val="2"/>
            <w:shd w:val="clear" w:color="auto" w:fill="E4E4E4"/>
          </w:tcPr>
          <w:p>
            <w:pPr>
              <w:jc w:val="right"/>
              <w:ind w:right="200"/>
              <w:spacing w:after="0" w:line="197" w:lineRule="exact"/>
              <w:rPr>
                <w:sz w:val="20"/>
                <w:szCs w:val="20"/>
                <w:color w:val="auto"/>
              </w:rPr>
            </w:pPr>
            <w:r>
              <w:rPr>
                <w:rFonts w:ascii="Arial" w:cs="Arial" w:eastAsia="Arial" w:hAnsi="Arial"/>
                <w:sz w:val="18"/>
                <w:szCs w:val="18"/>
                <w:color w:val="auto"/>
              </w:rPr>
              <w:t>(95,895)</w:t>
            </w:r>
          </w:p>
        </w:tc>
        <w:tc>
          <w:tcPr>
            <w:tcW w:w="220" w:type="dxa"/>
            <w:vAlign w:val="bottom"/>
            <w:shd w:val="clear" w:color="auto" w:fill="E4E4E4"/>
          </w:tcPr>
          <w:p>
            <w:pPr>
              <w:jc w:val="right"/>
              <w:ind w:right="33"/>
              <w:spacing w:after="0" w:line="197"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E4E4E4"/>
          </w:tcPr>
          <w:p>
            <w:pPr>
              <w:jc w:val="right"/>
              <w:spacing w:after="0" w:line="197" w:lineRule="exact"/>
              <w:rPr>
                <w:sz w:val="20"/>
                <w:szCs w:val="20"/>
                <w:color w:val="auto"/>
              </w:rPr>
            </w:pPr>
            <w:r>
              <w:rPr>
                <w:rFonts w:ascii="Arial" w:cs="Arial" w:eastAsia="Arial" w:hAnsi="Arial"/>
                <w:sz w:val="18"/>
                <w:szCs w:val="18"/>
                <w:color w:val="auto"/>
              </w:rPr>
              <w:t>321,084</w:t>
            </w:r>
          </w:p>
        </w:tc>
        <w:tc>
          <w:tcPr>
            <w:tcW w:w="14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40" w:type="dxa"/>
            <w:vAlign w:val="bottom"/>
            <w:gridSpan w:val="2"/>
          </w:tcPr>
          <w:p>
            <w:pPr>
              <w:ind w:left="200"/>
              <w:spacing w:after="0" w:line="168" w:lineRule="exact"/>
              <w:rPr>
                <w:sz w:val="20"/>
                <w:szCs w:val="20"/>
                <w:color w:val="auto"/>
              </w:rPr>
            </w:pPr>
            <w:r>
              <w:rPr>
                <w:rFonts w:ascii="Arial" w:cs="Arial" w:eastAsia="Arial" w:hAnsi="Arial"/>
                <w:sz w:val="18"/>
                <w:szCs w:val="18"/>
                <w:color w:val="auto"/>
              </w:rPr>
              <w:t>Issuance of common stock upon exercise of</w:t>
            </w: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140" w:type="dxa"/>
            <w:vAlign w:val="bottom"/>
            <w:gridSpan w:val="2"/>
          </w:tcPr>
          <w:p>
            <w:pPr>
              <w:ind w:left="360"/>
              <w:spacing w:after="0"/>
              <w:rPr>
                <w:sz w:val="20"/>
                <w:szCs w:val="20"/>
                <w:color w:val="auto"/>
              </w:rPr>
            </w:pPr>
            <w:r>
              <w:rPr>
                <w:rFonts w:ascii="Arial" w:cs="Arial" w:eastAsia="Arial" w:hAnsi="Arial"/>
                <w:sz w:val="18"/>
                <w:szCs w:val="18"/>
                <w:color w:val="auto"/>
              </w:rPr>
              <w:t>common stock options and vesting of</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140" w:type="dxa"/>
            <w:vAlign w:val="bottom"/>
            <w:gridSpan w:val="2"/>
          </w:tcPr>
          <w:p>
            <w:pPr>
              <w:ind w:left="360"/>
              <w:spacing w:after="0"/>
              <w:rPr>
                <w:sz w:val="20"/>
                <w:szCs w:val="20"/>
                <w:color w:val="auto"/>
              </w:rPr>
            </w:pPr>
            <w:r>
              <w:rPr>
                <w:rFonts w:ascii="Arial" w:cs="Arial" w:eastAsia="Arial" w:hAnsi="Arial"/>
                <w:sz w:val="18"/>
                <w:szCs w:val="18"/>
                <w:color w:val="auto"/>
              </w:rPr>
              <w:t>restricted stock units</w:t>
            </w:r>
          </w:p>
        </w:tc>
        <w:tc>
          <w:tcPr>
            <w:tcW w:w="1220" w:type="dxa"/>
            <w:vAlign w:val="bottom"/>
          </w:tcPr>
          <w:p>
            <w:pPr>
              <w:jc w:val="right"/>
              <w:spacing w:after="0"/>
              <w:rPr>
                <w:sz w:val="20"/>
                <w:szCs w:val="20"/>
                <w:color w:val="auto"/>
              </w:rPr>
            </w:pPr>
            <w:r>
              <w:rPr>
                <w:rFonts w:ascii="Arial" w:cs="Arial" w:eastAsia="Arial" w:hAnsi="Arial"/>
                <w:sz w:val="18"/>
                <w:szCs w:val="18"/>
                <w:color w:val="auto"/>
              </w:rPr>
              <w:t>419,949</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140" w:type="dxa"/>
            <w:vAlign w:val="bottom"/>
            <w:tcBorders>
              <w:right w:val="single" w:sz="8" w:color="E4E4E4"/>
            </w:tcBorders>
            <w:gridSpan w:val="2"/>
            <w:shd w:val="clear" w:color="auto" w:fill="E4E4E4"/>
          </w:tcPr>
          <w:p>
            <w:pPr>
              <w:ind w:left="200"/>
              <w:spacing w:after="0"/>
              <w:rPr>
                <w:sz w:val="20"/>
                <w:szCs w:val="20"/>
                <w:color w:val="auto"/>
              </w:rPr>
            </w:pPr>
            <w:r>
              <w:rPr>
                <w:rFonts w:ascii="Arial" w:cs="Arial" w:eastAsia="Arial" w:hAnsi="Arial"/>
                <w:sz w:val="18"/>
                <w:szCs w:val="18"/>
                <w:color w:val="auto"/>
              </w:rPr>
              <w:t>Issuance of common stock under</w:t>
            </w:r>
          </w:p>
        </w:tc>
        <w:tc>
          <w:tcPr>
            <w:tcW w:w="1220" w:type="dxa"/>
            <w:vAlign w:val="bottom"/>
            <w:tcBorders>
              <w:right w:val="single" w:sz="8" w:color="E4E4E4"/>
            </w:tcBorders>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960" w:type="dxa"/>
            <w:vAlign w:val="bottom"/>
            <w:shd w:val="clear" w:color="auto" w:fill="E4E4E4"/>
          </w:tcPr>
          <w:p>
            <w:pPr>
              <w:spacing w:after="0"/>
              <w:rPr>
                <w:sz w:val="18"/>
                <w:szCs w:val="18"/>
                <w:color w:val="auto"/>
              </w:rPr>
            </w:pPr>
          </w:p>
        </w:tc>
        <w:tc>
          <w:tcPr>
            <w:tcW w:w="260" w:type="dxa"/>
            <w:vAlign w:val="bottom"/>
            <w:tcBorders>
              <w:right w:val="single" w:sz="8" w:color="E4E4E4"/>
            </w:tcBorders>
            <w:shd w:val="clear" w:color="auto" w:fill="E4E4E4"/>
          </w:tcPr>
          <w:p>
            <w:pPr>
              <w:spacing w:after="0"/>
              <w:rPr>
                <w:sz w:val="18"/>
                <w:szCs w:val="18"/>
                <w:color w:val="auto"/>
              </w:rPr>
            </w:pPr>
          </w:p>
        </w:tc>
        <w:tc>
          <w:tcPr>
            <w:tcW w:w="260" w:type="dxa"/>
            <w:vAlign w:val="bottom"/>
            <w:tcBorders>
              <w:right w:val="single" w:sz="8" w:color="E4E4E4"/>
            </w:tcBorders>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1060" w:type="dxa"/>
            <w:vAlign w:val="bottom"/>
            <w:tcBorders>
              <w:right w:val="single" w:sz="8" w:color="E4E4E4"/>
            </w:tcBorders>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2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40" w:type="dxa"/>
            <w:vAlign w:val="bottom"/>
            <w:tcBorders>
              <w:right w:val="single" w:sz="8" w:color="E4E4E4"/>
            </w:tcBorders>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120" w:type="dxa"/>
            <w:vAlign w:val="bottom"/>
            <w:shd w:val="clear" w:color="auto" w:fill="E4E4E4"/>
          </w:tcPr>
          <w:p>
            <w:pPr>
              <w:spacing w:after="0"/>
              <w:rPr>
                <w:sz w:val="18"/>
                <w:szCs w:val="18"/>
                <w:color w:val="auto"/>
              </w:rPr>
            </w:pPr>
          </w:p>
        </w:tc>
        <w:tc>
          <w:tcPr>
            <w:tcW w:w="260" w:type="dxa"/>
            <w:vAlign w:val="bottom"/>
            <w:tcBorders>
              <w:right w:val="single" w:sz="8" w:color="E4E4E4"/>
            </w:tcBorders>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98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shd w:val="clear" w:color="auto" w:fill="E4E4E4"/>
          </w:tcPr>
          <w:p>
            <w:pPr>
              <w:ind w:left="360"/>
              <w:spacing w:after="0"/>
              <w:rPr>
                <w:sz w:val="20"/>
                <w:szCs w:val="20"/>
                <w:color w:val="auto"/>
              </w:rPr>
            </w:pPr>
            <w:r>
              <w:rPr>
                <w:rFonts w:ascii="Arial" w:cs="Arial" w:eastAsia="Arial" w:hAnsi="Arial"/>
                <w:sz w:val="18"/>
                <w:szCs w:val="18"/>
                <w:color w:val="auto"/>
              </w:rPr>
              <w:t>employee stock purchase plan</w:t>
            </w:r>
          </w:p>
        </w:tc>
        <w:tc>
          <w:tcPr>
            <w:tcW w:w="140" w:type="dxa"/>
            <w:vAlign w:val="bottom"/>
            <w:tcBorders>
              <w:right w:val="single" w:sz="8" w:color="E4E4E4"/>
            </w:tcBorders>
            <w:shd w:val="clear" w:color="auto" w:fill="E4E4E4"/>
          </w:tcPr>
          <w:p>
            <w:pPr>
              <w:spacing w:after="0"/>
              <w:rPr>
                <w:sz w:val="17"/>
                <w:szCs w:val="17"/>
                <w:color w:val="auto"/>
              </w:rPr>
            </w:pPr>
          </w:p>
        </w:tc>
        <w:tc>
          <w:tcPr>
            <w:tcW w:w="122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18"/>
                <w:szCs w:val="18"/>
                <w:color w:val="auto"/>
              </w:rPr>
              <w:t>78,361</w:t>
            </w:r>
          </w:p>
        </w:tc>
        <w:tc>
          <w:tcPr>
            <w:tcW w:w="240" w:type="dxa"/>
            <w:vAlign w:val="bottom"/>
            <w:shd w:val="clear" w:color="auto" w:fill="E4E4E4"/>
          </w:tcPr>
          <w:p>
            <w:pPr>
              <w:spacing w:after="0"/>
              <w:rPr>
                <w:sz w:val="17"/>
                <w:szCs w:val="17"/>
                <w:color w:val="auto"/>
              </w:rPr>
            </w:pPr>
          </w:p>
        </w:tc>
        <w:tc>
          <w:tcPr>
            <w:tcW w:w="960" w:type="dxa"/>
            <w:vAlign w:val="bottom"/>
            <w:shd w:val="clear" w:color="auto" w:fill="E4E4E4"/>
          </w:tcPr>
          <w:p>
            <w:pPr>
              <w:spacing w:after="0"/>
              <w:rPr>
                <w:sz w:val="17"/>
                <w:szCs w:val="17"/>
                <w:color w:val="auto"/>
              </w:rPr>
            </w:pPr>
          </w:p>
        </w:tc>
        <w:tc>
          <w:tcPr>
            <w:tcW w:w="260" w:type="dxa"/>
            <w:vAlign w:val="bottom"/>
            <w:tcBorders>
              <w:right w:val="single" w:sz="8" w:color="E4E4E4"/>
            </w:tcBorders>
            <w:shd w:val="clear" w:color="auto" w:fill="E4E4E4"/>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Borders>
              <w:right w:val="single" w:sz="8" w:color="E4E4E4"/>
            </w:tcBorders>
            <w:shd w:val="clear" w:color="auto" w:fill="E4E4E4"/>
          </w:tcPr>
          <w:p>
            <w:pPr>
              <w:spacing w:after="0"/>
              <w:rPr>
                <w:sz w:val="17"/>
                <w:szCs w:val="17"/>
                <w:color w:val="auto"/>
              </w:rPr>
            </w:pPr>
          </w:p>
        </w:tc>
        <w:tc>
          <w:tcPr>
            <w:tcW w:w="160" w:type="dxa"/>
            <w:vAlign w:val="bottom"/>
            <w:shd w:val="clear" w:color="auto" w:fill="E4E4E4"/>
          </w:tcPr>
          <w:p>
            <w:pPr>
              <w:spacing w:after="0"/>
              <w:rPr>
                <w:sz w:val="17"/>
                <w:szCs w:val="17"/>
                <w:color w:val="auto"/>
              </w:rPr>
            </w:pPr>
          </w:p>
        </w:tc>
        <w:tc>
          <w:tcPr>
            <w:tcW w:w="106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1220" w:type="dxa"/>
            <w:vAlign w:val="bottom"/>
            <w:shd w:val="clear" w:color="auto" w:fill="E4E4E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4E4E4"/>
          </w:tcPr>
          <w:p>
            <w:pPr>
              <w:spacing w:after="0"/>
              <w:rPr>
                <w:sz w:val="17"/>
                <w:szCs w:val="17"/>
                <w:color w:val="auto"/>
              </w:rPr>
            </w:pPr>
          </w:p>
        </w:tc>
        <w:tc>
          <w:tcPr>
            <w:tcW w:w="140" w:type="dxa"/>
            <w:vAlign w:val="bottom"/>
            <w:tcBorders>
              <w:right w:val="single" w:sz="8" w:color="E4E4E4"/>
            </w:tcBorders>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1380" w:type="dxa"/>
            <w:vAlign w:val="bottom"/>
            <w:tcBorders>
              <w:right w:val="single" w:sz="8" w:color="E4E4E4"/>
            </w:tcBorders>
            <w:gridSpan w:val="2"/>
            <w:shd w:val="clear" w:color="auto" w:fill="E4E4E4"/>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40" w:type="dxa"/>
            <w:vAlign w:val="bottom"/>
            <w:gridSpan w:val="2"/>
          </w:tcPr>
          <w:p>
            <w:pPr>
              <w:ind w:left="200"/>
              <w:spacing w:after="0"/>
              <w:rPr>
                <w:sz w:val="20"/>
                <w:szCs w:val="20"/>
                <w:color w:val="auto"/>
              </w:rPr>
            </w:pPr>
            <w:r>
              <w:rPr>
                <w:rFonts w:ascii="Arial" w:cs="Arial" w:eastAsia="Arial" w:hAnsi="Arial"/>
                <w:sz w:val="18"/>
                <w:szCs w:val="18"/>
                <w:color w:val="auto"/>
              </w:rPr>
              <w:t>Stock-based compensation</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10,606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40" w:type="dxa"/>
            <w:vAlign w:val="bottom"/>
            <w:tcBorders>
              <w:right w:val="single" w:sz="8" w:color="E4E4E4"/>
            </w:tcBorders>
            <w:gridSpan w:val="2"/>
            <w:shd w:val="clear" w:color="auto" w:fill="E4E4E4"/>
          </w:tcPr>
          <w:p>
            <w:pPr>
              <w:ind w:left="200"/>
              <w:spacing w:after="0"/>
              <w:rPr>
                <w:sz w:val="20"/>
                <w:szCs w:val="20"/>
                <w:color w:val="auto"/>
              </w:rPr>
            </w:pPr>
            <w:r>
              <w:rPr>
                <w:rFonts w:ascii="Arial" w:cs="Arial" w:eastAsia="Arial" w:hAnsi="Arial"/>
                <w:sz w:val="18"/>
                <w:szCs w:val="18"/>
                <w:color w:val="auto"/>
              </w:rPr>
              <w:t>Unrealized loss on available-for-sale securities</w:t>
            </w:r>
          </w:p>
        </w:tc>
        <w:tc>
          <w:tcPr>
            <w:tcW w:w="122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4E4E4"/>
          </w:tcPr>
          <w:p>
            <w:pPr>
              <w:spacing w:after="0"/>
              <w:rPr>
                <w:sz w:val="17"/>
                <w:szCs w:val="17"/>
                <w:color w:val="auto"/>
              </w:rPr>
            </w:pPr>
          </w:p>
        </w:tc>
        <w:tc>
          <w:tcPr>
            <w:tcW w:w="960" w:type="dxa"/>
            <w:vAlign w:val="bottom"/>
            <w:shd w:val="clear" w:color="auto" w:fill="E4E4E4"/>
          </w:tcPr>
          <w:p>
            <w:pPr>
              <w:spacing w:after="0"/>
              <w:rPr>
                <w:sz w:val="17"/>
                <w:szCs w:val="17"/>
                <w:color w:val="auto"/>
              </w:rPr>
            </w:pPr>
          </w:p>
        </w:tc>
        <w:tc>
          <w:tcPr>
            <w:tcW w:w="520" w:type="dxa"/>
            <w:vAlign w:val="bottom"/>
            <w:tcBorders>
              <w:right w:val="single" w:sz="8" w:color="E4E4E4"/>
            </w:tcBorders>
            <w:gridSpan w:val="2"/>
            <w:shd w:val="clear" w:color="auto" w:fill="E4E4E4"/>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4E4E4"/>
          </w:tcPr>
          <w:p>
            <w:pPr>
              <w:spacing w:after="0"/>
              <w:rPr>
                <w:sz w:val="17"/>
                <w:szCs w:val="17"/>
                <w:color w:val="auto"/>
              </w:rPr>
            </w:pPr>
          </w:p>
        </w:tc>
        <w:tc>
          <w:tcPr>
            <w:tcW w:w="1300" w:type="dxa"/>
            <w:vAlign w:val="bottom"/>
            <w:gridSpan w:val="2"/>
            <w:shd w:val="clear" w:color="auto" w:fill="E4E4E4"/>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4E4E4"/>
          </w:tcPr>
          <w:p>
            <w:pPr>
              <w:spacing w:after="0"/>
              <w:rPr>
                <w:sz w:val="17"/>
                <w:szCs w:val="17"/>
                <w:color w:val="auto"/>
              </w:rPr>
            </w:pPr>
          </w:p>
        </w:tc>
        <w:tc>
          <w:tcPr>
            <w:tcW w:w="1220" w:type="dxa"/>
            <w:vAlign w:val="bottom"/>
            <w:shd w:val="clear" w:color="auto" w:fill="E4E4E4"/>
          </w:tcPr>
          <w:p>
            <w:pPr>
              <w:jc w:val="right"/>
              <w:spacing w:after="0"/>
              <w:rPr>
                <w:sz w:val="20"/>
                <w:szCs w:val="20"/>
                <w:color w:val="auto"/>
              </w:rPr>
            </w:pPr>
            <w:r>
              <w:rPr>
                <w:rFonts w:ascii="Arial" w:cs="Arial" w:eastAsia="Arial" w:hAnsi="Arial"/>
                <w:sz w:val="18"/>
                <w:szCs w:val="18"/>
                <w:color w:val="auto"/>
              </w:rPr>
              <w:t>(1,568</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right w:val="single" w:sz="8" w:color="E4E4E4"/>
            </w:tcBorders>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1380" w:type="dxa"/>
            <w:vAlign w:val="bottom"/>
            <w:tcBorders>
              <w:right w:val="single" w:sz="8" w:color="E4E4E4"/>
            </w:tcBorders>
            <w:gridSpan w:val="2"/>
            <w:shd w:val="clear" w:color="auto" w:fill="E4E4E4"/>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4E4E4"/>
          </w:tcPr>
          <w:p>
            <w:pPr>
              <w:spacing w:after="0"/>
              <w:rPr>
                <w:sz w:val="17"/>
                <w:szCs w:val="17"/>
                <w:color w:val="auto"/>
              </w:rPr>
            </w:pPr>
          </w:p>
        </w:tc>
        <w:tc>
          <w:tcPr>
            <w:tcW w:w="1120" w:type="dxa"/>
            <w:vAlign w:val="bottom"/>
            <w:gridSpan w:val="2"/>
            <w:shd w:val="clear" w:color="auto" w:fill="E4E4E4"/>
          </w:tcPr>
          <w:p>
            <w:pPr>
              <w:jc w:val="right"/>
              <w:ind w:right="80"/>
              <w:spacing w:after="0"/>
              <w:rPr>
                <w:sz w:val="20"/>
                <w:szCs w:val="20"/>
                <w:color w:val="auto"/>
              </w:rPr>
            </w:pPr>
            <w:r>
              <w:rPr>
                <w:rFonts w:ascii="Arial" w:cs="Arial" w:eastAsia="Arial" w:hAnsi="Arial"/>
                <w:sz w:val="18"/>
                <w:szCs w:val="18"/>
                <w:color w:val="auto"/>
              </w:rPr>
              <w:t>(1,568 )</w:t>
            </w:r>
          </w:p>
        </w:tc>
        <w:tc>
          <w:tcPr>
            <w:tcW w:w="0" w:type="dxa"/>
            <w:vAlign w:val="bottom"/>
          </w:tcPr>
          <w:p>
            <w:pPr>
              <w:spacing w:after="0"/>
              <w:rPr>
                <w:sz w:val="1"/>
                <w:szCs w:val="1"/>
                <w:color w:val="auto"/>
              </w:rPr>
            </w:pPr>
          </w:p>
        </w:tc>
      </w:tr>
      <w:tr>
        <w:trPr>
          <w:trHeight w:val="208"/>
        </w:trPr>
        <w:tc>
          <w:tcPr>
            <w:tcW w:w="4140" w:type="dxa"/>
            <w:vAlign w:val="bottom"/>
            <w:gridSpan w:val="2"/>
          </w:tcPr>
          <w:p>
            <w:pPr>
              <w:ind w:left="200"/>
              <w:spacing w:after="0"/>
              <w:rPr>
                <w:sz w:val="20"/>
                <w:szCs w:val="20"/>
                <w:color w:val="auto"/>
              </w:rPr>
            </w:pPr>
            <w:r>
              <w:rPr>
                <w:rFonts w:ascii="Arial" w:cs="Arial" w:eastAsia="Arial" w:hAnsi="Arial"/>
                <w:sz w:val="18"/>
                <w:szCs w:val="18"/>
                <w:color w:val="auto"/>
              </w:rPr>
              <w:t>Net loss</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(95,639)</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(95,639 )</w:t>
            </w:r>
          </w:p>
        </w:tc>
        <w:tc>
          <w:tcPr>
            <w:tcW w:w="0" w:type="dxa"/>
            <w:vAlign w:val="bottom"/>
          </w:tcPr>
          <w:p>
            <w:pPr>
              <w:spacing w:after="0"/>
              <w:rPr>
                <w:sz w:val="1"/>
                <w:szCs w:val="1"/>
                <w:color w:val="auto"/>
              </w:rPr>
            </w:pPr>
          </w:p>
        </w:tc>
      </w:tr>
      <w:tr>
        <w:trPr>
          <w:trHeight w:val="20"/>
        </w:trPr>
        <w:tc>
          <w:tcPr>
            <w:tcW w:w="4000" w:type="dxa"/>
            <w:vAlign w:val="bottom"/>
            <w:vMerge w:val="restart"/>
            <w:shd w:val="clear" w:color="auto" w:fill="E4E4E4"/>
          </w:tcPr>
          <w:p>
            <w:pPr>
              <w:spacing w:after="0"/>
              <w:rPr>
                <w:sz w:val="20"/>
                <w:szCs w:val="20"/>
                <w:color w:val="auto"/>
              </w:rPr>
            </w:pPr>
            <w:r>
              <w:rPr>
                <w:rFonts w:ascii="Arial" w:cs="Arial" w:eastAsia="Arial" w:hAnsi="Arial"/>
                <w:sz w:val="18"/>
                <w:szCs w:val="18"/>
                <w:b w:val="1"/>
                <w:bCs w:val="1"/>
                <w:color w:val="auto"/>
              </w:rPr>
              <w:t>Balance as of December 31, 2022</w:t>
            </w:r>
          </w:p>
        </w:tc>
        <w:tc>
          <w:tcPr>
            <w:tcW w:w="140" w:type="dxa"/>
            <w:vAlign w:val="bottom"/>
            <w:tcBorders>
              <w:right w:val="single" w:sz="8" w:color="E4E4E4"/>
            </w:tcBorders>
            <w:shd w:val="clear" w:color="auto" w:fill="E4E4E4"/>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E4E4E4"/>
            </w:tcBorders>
            <w:shd w:val="clear" w:color="auto" w:fill="E4E4E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right w:val="single" w:sz="8" w:color="E4E4E4"/>
            </w:tcBorders>
            <w:shd w:val="clear" w:color="auto" w:fill="E4E4E4"/>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Borders>
              <w:right w:val="single" w:sz="8" w:color="E4E4E4"/>
            </w:tcBorders>
            <w:shd w:val="clear" w:color="auto" w:fill="E4E4E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shd w:val="clear" w:color="auto" w:fill="E4E4E4"/>
          </w:tcPr>
          <w:p>
            <w:pPr>
              <w:spacing w:after="0"/>
              <w:rPr>
                <w:sz w:val="17"/>
                <w:szCs w:val="17"/>
                <w:color w:val="auto"/>
              </w:rPr>
            </w:pPr>
          </w:p>
        </w:tc>
        <w:tc>
          <w:tcPr>
            <w:tcW w:w="140" w:type="dxa"/>
            <w:vAlign w:val="bottom"/>
            <w:tcBorders>
              <w:right w:val="single" w:sz="8" w:color="E4E4E4"/>
            </w:tcBorders>
            <w:shd w:val="clear" w:color="auto" w:fill="E4E4E4"/>
          </w:tcPr>
          <w:p>
            <w:pPr>
              <w:spacing w:after="0"/>
              <w:rPr>
                <w:sz w:val="17"/>
                <w:szCs w:val="17"/>
                <w:color w:val="auto"/>
              </w:rPr>
            </w:pPr>
          </w:p>
        </w:tc>
        <w:tc>
          <w:tcPr>
            <w:tcW w:w="1220" w:type="dxa"/>
            <w:vAlign w:val="bottom"/>
            <w:tcBorders>
              <w:right w:val="single" w:sz="8" w:color="E4E4E4"/>
            </w:tcBorders>
            <w:shd w:val="clear" w:color="auto" w:fill="E4E4E4"/>
          </w:tcPr>
          <w:p>
            <w:pPr>
              <w:jc w:val="right"/>
              <w:spacing w:after="0" w:line="197" w:lineRule="exact"/>
              <w:rPr>
                <w:sz w:val="20"/>
                <w:szCs w:val="20"/>
                <w:color w:val="auto"/>
              </w:rPr>
            </w:pPr>
            <w:r>
              <w:rPr>
                <w:rFonts w:ascii="Arial" w:cs="Arial" w:eastAsia="Arial" w:hAnsi="Arial"/>
                <w:sz w:val="18"/>
                <w:szCs w:val="18"/>
                <w:color w:val="auto"/>
              </w:rPr>
              <w:t>37,877,387</w:t>
            </w:r>
          </w:p>
        </w:tc>
        <w:tc>
          <w:tcPr>
            <w:tcW w:w="240" w:type="dxa"/>
            <w:vAlign w:val="bottom"/>
            <w:shd w:val="clear" w:color="auto" w:fill="E4E4E4"/>
          </w:tcPr>
          <w:p>
            <w:pPr>
              <w:spacing w:after="0"/>
              <w:rPr>
                <w:sz w:val="17"/>
                <w:szCs w:val="17"/>
                <w:color w:val="auto"/>
              </w:rPr>
            </w:pPr>
          </w:p>
        </w:tc>
        <w:tc>
          <w:tcPr>
            <w:tcW w:w="960" w:type="dxa"/>
            <w:vAlign w:val="bottom"/>
            <w:shd w:val="clear" w:color="auto" w:fill="E4E4E4"/>
          </w:tcPr>
          <w:p>
            <w:pPr>
              <w:jc w:val="right"/>
              <w:ind w:right="773"/>
              <w:spacing w:after="0" w:line="197" w:lineRule="exact"/>
              <w:rPr>
                <w:sz w:val="20"/>
                <w:szCs w:val="20"/>
                <w:color w:val="auto"/>
              </w:rPr>
            </w:pPr>
            <w:r>
              <w:rPr>
                <w:rFonts w:ascii="Arial" w:cs="Arial" w:eastAsia="Arial" w:hAnsi="Arial"/>
                <w:sz w:val="18"/>
                <w:szCs w:val="18"/>
                <w:color w:val="auto"/>
                <w:w w:val="79"/>
              </w:rPr>
              <w:t>$</w:t>
            </w:r>
          </w:p>
        </w:tc>
        <w:tc>
          <w:tcPr>
            <w:tcW w:w="260" w:type="dxa"/>
            <w:vAlign w:val="bottom"/>
            <w:tcBorders>
              <w:right w:val="single" w:sz="8" w:color="E4E4E4"/>
            </w:tcBorders>
            <w:shd w:val="clear" w:color="auto" w:fill="E4E4E4"/>
          </w:tcPr>
          <w:p>
            <w:pPr>
              <w:ind w:left="160"/>
              <w:spacing w:after="0"/>
              <w:rPr>
                <w:sz w:val="20"/>
                <w:szCs w:val="20"/>
                <w:color w:val="auto"/>
              </w:rPr>
            </w:pPr>
            <w:r>
              <w:rPr>
                <w:rFonts w:ascii="Arial" w:cs="Arial" w:eastAsia="Arial" w:hAnsi="Arial"/>
                <w:sz w:val="15"/>
                <w:szCs w:val="15"/>
                <w:color w:val="auto"/>
                <w:w w:val="71"/>
              </w:rPr>
              <w:t>4</w:t>
            </w:r>
          </w:p>
        </w:tc>
        <w:tc>
          <w:tcPr>
            <w:tcW w:w="260" w:type="dxa"/>
            <w:vAlign w:val="bottom"/>
            <w:tcBorders>
              <w:right w:val="single" w:sz="8" w:color="E4E4E4"/>
            </w:tcBorders>
            <w:shd w:val="clear" w:color="auto" w:fill="E4E4E4"/>
          </w:tcPr>
          <w:p>
            <w:pPr>
              <w:spacing w:after="0"/>
              <w:rPr>
                <w:sz w:val="17"/>
                <w:szCs w:val="17"/>
                <w:color w:val="auto"/>
              </w:rPr>
            </w:pPr>
          </w:p>
        </w:tc>
        <w:tc>
          <w:tcPr>
            <w:tcW w:w="160" w:type="dxa"/>
            <w:vAlign w:val="bottom"/>
            <w:shd w:val="clear" w:color="auto" w:fill="E4E4E4"/>
          </w:tcPr>
          <w:p>
            <w:pPr>
              <w:jc w:val="right"/>
              <w:spacing w:after="0" w:line="197" w:lineRule="exact"/>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E4E4E4"/>
            </w:tcBorders>
            <w:shd w:val="clear" w:color="auto" w:fill="E4E4E4"/>
          </w:tcPr>
          <w:p>
            <w:pPr>
              <w:jc w:val="right"/>
              <w:spacing w:after="0" w:line="197" w:lineRule="exact"/>
              <w:rPr>
                <w:sz w:val="20"/>
                <w:szCs w:val="20"/>
                <w:color w:val="auto"/>
              </w:rPr>
            </w:pPr>
            <w:r>
              <w:rPr>
                <w:rFonts w:ascii="Arial" w:cs="Arial" w:eastAsia="Arial" w:hAnsi="Arial"/>
                <w:sz w:val="18"/>
                <w:szCs w:val="18"/>
                <w:color w:val="auto"/>
              </w:rPr>
              <w:t>428,623</w:t>
            </w:r>
          </w:p>
        </w:tc>
        <w:tc>
          <w:tcPr>
            <w:tcW w:w="240" w:type="dxa"/>
            <w:vAlign w:val="bottom"/>
            <w:shd w:val="clear" w:color="auto" w:fill="E4E4E4"/>
          </w:tcPr>
          <w:p>
            <w:pPr>
              <w:spacing w:after="0"/>
              <w:rPr>
                <w:sz w:val="17"/>
                <w:szCs w:val="17"/>
                <w:color w:val="auto"/>
              </w:rPr>
            </w:pPr>
          </w:p>
        </w:tc>
        <w:tc>
          <w:tcPr>
            <w:tcW w:w="120" w:type="dxa"/>
            <w:vAlign w:val="bottom"/>
            <w:shd w:val="clear" w:color="auto" w:fill="E4E4E4"/>
          </w:tcPr>
          <w:p>
            <w:pPr>
              <w:jc w:val="right"/>
              <w:spacing w:after="0" w:line="197"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E4E4E4"/>
          </w:tcPr>
          <w:p>
            <w:pPr>
              <w:jc w:val="right"/>
              <w:spacing w:after="0" w:line="197" w:lineRule="exact"/>
              <w:rPr>
                <w:sz w:val="20"/>
                <w:szCs w:val="20"/>
                <w:color w:val="auto"/>
              </w:rPr>
            </w:pPr>
            <w:r>
              <w:rPr>
                <w:rFonts w:ascii="Arial" w:cs="Arial" w:eastAsia="Arial" w:hAnsi="Arial"/>
                <w:sz w:val="18"/>
                <w:szCs w:val="18"/>
                <w:color w:val="auto"/>
              </w:rPr>
              <w:t>(1,956</w:t>
            </w:r>
          </w:p>
        </w:tc>
        <w:tc>
          <w:tcPr>
            <w:tcW w:w="140" w:type="dxa"/>
            <w:vAlign w:val="bottom"/>
            <w:vMerge w:val="continue"/>
            <w:shd w:val="clear" w:color="auto" w:fill="E4E4E4"/>
          </w:tcPr>
          <w:p>
            <w:pPr>
              <w:spacing w:after="0"/>
              <w:rPr>
                <w:sz w:val="17"/>
                <w:szCs w:val="17"/>
                <w:color w:val="auto"/>
              </w:rPr>
            </w:pPr>
          </w:p>
        </w:tc>
        <w:tc>
          <w:tcPr>
            <w:tcW w:w="140" w:type="dxa"/>
            <w:vAlign w:val="bottom"/>
            <w:tcBorders>
              <w:right w:val="single" w:sz="8" w:color="E4E4E4"/>
            </w:tcBorders>
            <w:shd w:val="clear" w:color="auto" w:fill="E4E4E4"/>
          </w:tcPr>
          <w:p>
            <w:pPr>
              <w:spacing w:after="0"/>
              <w:rPr>
                <w:sz w:val="17"/>
                <w:szCs w:val="17"/>
                <w:color w:val="auto"/>
              </w:rPr>
            </w:pPr>
          </w:p>
        </w:tc>
        <w:tc>
          <w:tcPr>
            <w:tcW w:w="80" w:type="dxa"/>
            <w:vAlign w:val="bottom"/>
            <w:shd w:val="clear" w:color="auto" w:fill="E4E4E4"/>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E4E4E4"/>
            </w:tcBorders>
            <w:gridSpan w:val="2"/>
            <w:shd w:val="clear" w:color="auto" w:fill="E4E4E4"/>
          </w:tcPr>
          <w:p>
            <w:pPr>
              <w:jc w:val="right"/>
              <w:ind w:right="200"/>
              <w:spacing w:after="0" w:line="197" w:lineRule="exact"/>
              <w:rPr>
                <w:sz w:val="20"/>
                <w:szCs w:val="20"/>
                <w:color w:val="auto"/>
              </w:rPr>
            </w:pPr>
            <w:r>
              <w:rPr>
                <w:rFonts w:ascii="Arial" w:cs="Arial" w:eastAsia="Arial" w:hAnsi="Arial"/>
                <w:sz w:val="18"/>
                <w:szCs w:val="18"/>
                <w:color w:val="auto"/>
              </w:rPr>
              <w:t>(191,534 )</w:t>
            </w:r>
          </w:p>
        </w:tc>
        <w:tc>
          <w:tcPr>
            <w:tcW w:w="220" w:type="dxa"/>
            <w:vAlign w:val="bottom"/>
            <w:shd w:val="clear" w:color="auto" w:fill="E4E4E4"/>
          </w:tcPr>
          <w:p>
            <w:pPr>
              <w:jc w:val="right"/>
              <w:ind w:right="33"/>
              <w:spacing w:after="0" w:line="197"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E4E4E4"/>
          </w:tcPr>
          <w:p>
            <w:pPr>
              <w:jc w:val="right"/>
              <w:spacing w:after="0" w:line="197" w:lineRule="exact"/>
              <w:rPr>
                <w:sz w:val="20"/>
                <w:szCs w:val="20"/>
                <w:color w:val="auto"/>
              </w:rPr>
            </w:pPr>
            <w:r>
              <w:rPr>
                <w:rFonts w:ascii="Arial" w:cs="Arial" w:eastAsia="Arial" w:hAnsi="Arial"/>
                <w:sz w:val="18"/>
                <w:szCs w:val="18"/>
                <w:color w:val="auto"/>
              </w:rPr>
              <w:t>235,137</w:t>
            </w:r>
          </w:p>
        </w:tc>
        <w:tc>
          <w:tcPr>
            <w:tcW w:w="14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0"/>
              <w:spacing w:after="0" w:line="193" w:lineRule="exact"/>
              <w:rPr>
                <w:sz w:val="20"/>
                <w:szCs w:val="20"/>
                <w:color w:val="auto"/>
              </w:rPr>
            </w:pPr>
            <w:r>
              <w:rPr>
                <w:rFonts w:ascii="Arial" w:cs="Arial" w:eastAsia="Arial" w:hAnsi="Arial"/>
                <w:sz w:val="18"/>
                <w:szCs w:val="18"/>
                <w:color w:val="auto"/>
              </w:rPr>
              <w:t>Issuance of common stock upon exercise of</w:t>
            </w: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4140" w:type="dxa"/>
            <w:vAlign w:val="bottom"/>
            <w:gridSpan w:val="2"/>
          </w:tcPr>
          <w:p>
            <w:pPr>
              <w:ind w:left="360"/>
              <w:spacing w:after="0"/>
              <w:rPr>
                <w:sz w:val="20"/>
                <w:szCs w:val="20"/>
                <w:color w:val="auto"/>
              </w:rPr>
            </w:pPr>
            <w:r>
              <w:rPr>
                <w:rFonts w:ascii="Arial" w:cs="Arial" w:eastAsia="Arial" w:hAnsi="Arial"/>
                <w:sz w:val="18"/>
                <w:szCs w:val="18"/>
                <w:color w:val="auto"/>
              </w:rPr>
              <w:t>common stock options</w:t>
            </w:r>
          </w:p>
        </w:tc>
        <w:tc>
          <w:tcPr>
            <w:tcW w:w="1220" w:type="dxa"/>
            <w:vAlign w:val="bottom"/>
          </w:tcPr>
          <w:p>
            <w:pPr>
              <w:jc w:val="right"/>
              <w:spacing w:after="0"/>
              <w:rPr>
                <w:sz w:val="20"/>
                <w:szCs w:val="20"/>
                <w:color w:val="auto"/>
              </w:rPr>
            </w:pPr>
            <w:r>
              <w:rPr>
                <w:rFonts w:ascii="Arial" w:cs="Arial" w:eastAsia="Arial" w:hAnsi="Arial"/>
                <w:sz w:val="18"/>
                <w:szCs w:val="18"/>
                <w:color w:val="auto"/>
              </w:rPr>
              <w:t>128,534</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E4E4E4"/>
          </w:tcPr>
          <w:p>
            <w:pPr>
              <w:ind w:left="200"/>
              <w:spacing w:after="0"/>
              <w:rPr>
                <w:sz w:val="20"/>
                <w:szCs w:val="20"/>
                <w:color w:val="auto"/>
              </w:rPr>
            </w:pPr>
            <w:r>
              <w:rPr>
                <w:rFonts w:ascii="Arial" w:cs="Arial" w:eastAsia="Arial" w:hAnsi="Arial"/>
                <w:sz w:val="18"/>
                <w:szCs w:val="18"/>
                <w:color w:val="auto"/>
              </w:rPr>
              <w:t>Issuance of common stock under</w:t>
            </w:r>
          </w:p>
        </w:tc>
        <w:tc>
          <w:tcPr>
            <w:tcW w:w="140" w:type="dxa"/>
            <w:vAlign w:val="bottom"/>
            <w:tcBorders>
              <w:right w:val="single" w:sz="8" w:color="E4E4E4"/>
            </w:tcBorders>
            <w:shd w:val="clear" w:color="auto" w:fill="E4E4E4"/>
          </w:tcPr>
          <w:p>
            <w:pPr>
              <w:spacing w:after="0"/>
              <w:rPr>
                <w:sz w:val="18"/>
                <w:szCs w:val="18"/>
                <w:color w:val="auto"/>
              </w:rPr>
            </w:pPr>
          </w:p>
        </w:tc>
        <w:tc>
          <w:tcPr>
            <w:tcW w:w="1220" w:type="dxa"/>
            <w:vAlign w:val="bottom"/>
            <w:tcBorders>
              <w:right w:val="single" w:sz="8" w:color="E4E4E4"/>
            </w:tcBorders>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960" w:type="dxa"/>
            <w:vAlign w:val="bottom"/>
            <w:shd w:val="clear" w:color="auto" w:fill="E4E4E4"/>
          </w:tcPr>
          <w:p>
            <w:pPr>
              <w:spacing w:after="0"/>
              <w:rPr>
                <w:sz w:val="18"/>
                <w:szCs w:val="18"/>
                <w:color w:val="auto"/>
              </w:rPr>
            </w:pPr>
          </w:p>
        </w:tc>
        <w:tc>
          <w:tcPr>
            <w:tcW w:w="260" w:type="dxa"/>
            <w:vAlign w:val="bottom"/>
            <w:tcBorders>
              <w:right w:val="single" w:sz="8" w:color="E4E4E4"/>
            </w:tcBorders>
            <w:shd w:val="clear" w:color="auto" w:fill="E4E4E4"/>
          </w:tcPr>
          <w:p>
            <w:pPr>
              <w:spacing w:after="0"/>
              <w:rPr>
                <w:sz w:val="18"/>
                <w:szCs w:val="18"/>
                <w:color w:val="auto"/>
              </w:rPr>
            </w:pPr>
          </w:p>
        </w:tc>
        <w:tc>
          <w:tcPr>
            <w:tcW w:w="260" w:type="dxa"/>
            <w:vAlign w:val="bottom"/>
            <w:tcBorders>
              <w:right w:val="single" w:sz="8" w:color="E4E4E4"/>
            </w:tcBorders>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1060" w:type="dxa"/>
            <w:vAlign w:val="bottom"/>
            <w:tcBorders>
              <w:right w:val="single" w:sz="8" w:color="E4E4E4"/>
            </w:tcBorders>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2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40" w:type="dxa"/>
            <w:vAlign w:val="bottom"/>
            <w:tcBorders>
              <w:right w:val="single" w:sz="8" w:color="E4E4E4"/>
            </w:tcBorders>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120" w:type="dxa"/>
            <w:vAlign w:val="bottom"/>
            <w:shd w:val="clear" w:color="auto" w:fill="E4E4E4"/>
          </w:tcPr>
          <w:p>
            <w:pPr>
              <w:spacing w:after="0"/>
              <w:rPr>
                <w:sz w:val="18"/>
                <w:szCs w:val="18"/>
                <w:color w:val="auto"/>
              </w:rPr>
            </w:pPr>
          </w:p>
        </w:tc>
        <w:tc>
          <w:tcPr>
            <w:tcW w:w="260" w:type="dxa"/>
            <w:vAlign w:val="bottom"/>
            <w:tcBorders>
              <w:right w:val="single" w:sz="8" w:color="E4E4E4"/>
            </w:tcBorders>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98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00" w:type="dxa"/>
            <w:vAlign w:val="bottom"/>
            <w:shd w:val="clear" w:color="auto" w:fill="E4E4E4"/>
          </w:tcPr>
          <w:p>
            <w:pPr>
              <w:ind w:left="360"/>
              <w:spacing w:after="0"/>
              <w:rPr>
                <w:sz w:val="20"/>
                <w:szCs w:val="20"/>
                <w:color w:val="auto"/>
              </w:rPr>
            </w:pPr>
            <w:r>
              <w:rPr>
                <w:rFonts w:ascii="Arial" w:cs="Arial" w:eastAsia="Arial" w:hAnsi="Arial"/>
                <w:sz w:val="18"/>
                <w:szCs w:val="18"/>
                <w:color w:val="auto"/>
              </w:rPr>
              <w:t>employee stock purchase plan</w:t>
            </w:r>
          </w:p>
        </w:tc>
        <w:tc>
          <w:tcPr>
            <w:tcW w:w="140" w:type="dxa"/>
            <w:vAlign w:val="bottom"/>
            <w:tcBorders>
              <w:right w:val="single" w:sz="8" w:color="E4E4E4"/>
            </w:tcBorders>
            <w:shd w:val="clear" w:color="auto" w:fill="E4E4E4"/>
          </w:tcPr>
          <w:p>
            <w:pPr>
              <w:spacing w:after="0"/>
              <w:rPr>
                <w:sz w:val="19"/>
                <w:szCs w:val="19"/>
                <w:color w:val="auto"/>
              </w:rPr>
            </w:pPr>
          </w:p>
        </w:tc>
        <w:tc>
          <w:tcPr>
            <w:tcW w:w="122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18"/>
                <w:szCs w:val="18"/>
                <w:color w:val="auto"/>
              </w:rPr>
              <w:t>166,682</w:t>
            </w:r>
          </w:p>
        </w:tc>
        <w:tc>
          <w:tcPr>
            <w:tcW w:w="24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260" w:type="dxa"/>
            <w:vAlign w:val="bottom"/>
            <w:tcBorders>
              <w:right w:val="single" w:sz="8" w:color="E4E4E4"/>
            </w:tcBorders>
            <w:shd w:val="clear" w:color="auto" w:fill="E4E4E4"/>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Borders>
              <w:right w:val="single" w:sz="8" w:color="E4E4E4"/>
            </w:tcBorders>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106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20" w:type="dxa"/>
            <w:vAlign w:val="bottom"/>
            <w:shd w:val="clear" w:color="auto" w:fill="E4E4E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4E4E4"/>
          </w:tcPr>
          <w:p>
            <w:pPr>
              <w:spacing w:after="0"/>
              <w:rPr>
                <w:sz w:val="19"/>
                <w:szCs w:val="19"/>
                <w:color w:val="auto"/>
              </w:rPr>
            </w:pPr>
          </w:p>
        </w:tc>
        <w:tc>
          <w:tcPr>
            <w:tcW w:w="140" w:type="dxa"/>
            <w:vAlign w:val="bottom"/>
            <w:tcBorders>
              <w:right w:val="single" w:sz="8" w:color="E4E4E4"/>
            </w:tcBorders>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380" w:type="dxa"/>
            <w:vAlign w:val="bottom"/>
            <w:tcBorders>
              <w:right w:val="single" w:sz="8" w:color="E4E4E4"/>
            </w:tcBorders>
            <w:gridSpan w:val="2"/>
            <w:shd w:val="clear" w:color="auto" w:fill="E4E4E4"/>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4E4E4"/>
          </w:tcPr>
          <w:p>
            <w:pPr>
              <w:spacing w:after="0"/>
              <w:rPr>
                <w:sz w:val="19"/>
                <w:szCs w:val="19"/>
                <w:color w:val="auto"/>
              </w:rPr>
            </w:pPr>
          </w:p>
        </w:tc>
        <w:tc>
          <w:tcPr>
            <w:tcW w:w="980" w:type="dxa"/>
            <w:vAlign w:val="bottom"/>
            <w:shd w:val="clear" w:color="auto" w:fill="E4E4E4"/>
          </w:tcPr>
          <w:p>
            <w:pPr>
              <w:jc w:val="right"/>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200"/>
              <w:spacing w:after="0" w:line="188" w:lineRule="exact"/>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ind w:left="60"/>
              <w:spacing w:after="0" w:line="188"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line="188" w:lineRule="exact"/>
              <w:rPr>
                <w:sz w:val="20"/>
                <w:szCs w:val="20"/>
                <w:color w:val="auto"/>
              </w:rPr>
            </w:pPr>
            <w:r>
              <w:rPr>
                <w:rFonts w:ascii="Arial" w:cs="Arial" w:eastAsia="Arial" w:hAnsi="Arial"/>
                <w:sz w:val="18"/>
                <w:szCs w:val="18"/>
                <w:color w:val="auto"/>
              </w:rPr>
              <w:t>10,623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right"/>
              <w:ind w:right="260"/>
              <w:spacing w:after="0" w:line="188"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80" w:type="dxa"/>
            <w:vAlign w:val="bottom"/>
          </w:tcPr>
          <w:p>
            <w:pPr>
              <w:jc w:val="right"/>
              <w:spacing w:after="0" w:line="188" w:lineRule="exact"/>
              <w:rPr>
                <w:sz w:val="20"/>
                <w:szCs w:val="20"/>
                <w:color w:val="auto"/>
              </w:rPr>
            </w:pPr>
            <w:r>
              <w:rPr>
                <w:rFonts w:ascii="Arial" w:cs="Arial" w:eastAsia="Arial" w:hAnsi="Arial"/>
                <w:sz w:val="18"/>
                <w:szCs w:val="18"/>
                <w:color w:val="auto"/>
              </w:rPr>
              <w:t>10,623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00" w:type="dxa"/>
            <w:vAlign w:val="bottom"/>
            <w:shd w:val="clear" w:color="auto" w:fill="E4E4E4"/>
          </w:tcPr>
          <w:p>
            <w:pPr>
              <w:ind w:left="200"/>
              <w:spacing w:after="0"/>
              <w:rPr>
                <w:sz w:val="20"/>
                <w:szCs w:val="20"/>
                <w:color w:val="auto"/>
              </w:rPr>
            </w:pPr>
            <w:r>
              <w:rPr>
                <w:rFonts w:ascii="Arial" w:cs="Arial" w:eastAsia="Arial" w:hAnsi="Arial"/>
                <w:sz w:val="18"/>
                <w:szCs w:val="18"/>
                <w:color w:val="auto"/>
              </w:rPr>
              <w:t>Unrealized gain on available-for-sale securities</w:t>
            </w:r>
          </w:p>
        </w:tc>
        <w:tc>
          <w:tcPr>
            <w:tcW w:w="140" w:type="dxa"/>
            <w:vAlign w:val="bottom"/>
            <w:tcBorders>
              <w:right w:val="single" w:sz="8" w:color="E4E4E4"/>
            </w:tcBorders>
            <w:shd w:val="clear" w:color="auto" w:fill="E4E4E4"/>
          </w:tcPr>
          <w:p>
            <w:pPr>
              <w:spacing w:after="0"/>
              <w:rPr>
                <w:sz w:val="19"/>
                <w:szCs w:val="19"/>
                <w:color w:val="auto"/>
              </w:rPr>
            </w:pPr>
          </w:p>
        </w:tc>
        <w:tc>
          <w:tcPr>
            <w:tcW w:w="122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260" w:type="dxa"/>
            <w:vAlign w:val="bottom"/>
            <w:tcBorders>
              <w:right w:val="single" w:sz="8" w:color="E4E4E4"/>
            </w:tcBorders>
            <w:shd w:val="clear" w:color="auto" w:fill="E4E4E4"/>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Borders>
              <w:right w:val="single" w:sz="8" w:color="E4E4E4"/>
            </w:tcBorders>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106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20" w:type="dxa"/>
            <w:vAlign w:val="bottom"/>
            <w:shd w:val="clear" w:color="auto" w:fill="E4E4E4"/>
          </w:tcPr>
          <w:p>
            <w:pPr>
              <w:jc w:val="right"/>
              <w:spacing w:after="0"/>
              <w:rPr>
                <w:sz w:val="20"/>
                <w:szCs w:val="20"/>
                <w:color w:val="auto"/>
              </w:rPr>
            </w:pPr>
            <w:r>
              <w:rPr>
                <w:rFonts w:ascii="Arial" w:cs="Arial" w:eastAsia="Arial" w:hAnsi="Arial"/>
                <w:sz w:val="18"/>
                <w:szCs w:val="18"/>
                <w:color w:val="auto"/>
              </w:rPr>
              <w:t>1,607</w:t>
            </w:r>
          </w:p>
        </w:tc>
        <w:tc>
          <w:tcPr>
            <w:tcW w:w="140" w:type="dxa"/>
            <w:vAlign w:val="bottom"/>
            <w:shd w:val="clear" w:color="auto" w:fill="E4E4E4"/>
          </w:tcPr>
          <w:p>
            <w:pPr>
              <w:spacing w:after="0"/>
              <w:rPr>
                <w:sz w:val="19"/>
                <w:szCs w:val="19"/>
                <w:color w:val="auto"/>
              </w:rPr>
            </w:pPr>
          </w:p>
        </w:tc>
        <w:tc>
          <w:tcPr>
            <w:tcW w:w="140" w:type="dxa"/>
            <w:vAlign w:val="bottom"/>
            <w:tcBorders>
              <w:right w:val="single" w:sz="8" w:color="E4E4E4"/>
            </w:tcBorders>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380" w:type="dxa"/>
            <w:vAlign w:val="bottom"/>
            <w:tcBorders>
              <w:right w:val="single" w:sz="8" w:color="E4E4E4"/>
            </w:tcBorders>
            <w:gridSpan w:val="2"/>
            <w:shd w:val="clear" w:color="auto" w:fill="E4E4E4"/>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4E4E4"/>
          </w:tcPr>
          <w:p>
            <w:pPr>
              <w:spacing w:after="0"/>
              <w:rPr>
                <w:sz w:val="19"/>
                <w:szCs w:val="19"/>
                <w:color w:val="auto"/>
              </w:rPr>
            </w:pPr>
          </w:p>
        </w:tc>
        <w:tc>
          <w:tcPr>
            <w:tcW w:w="980" w:type="dxa"/>
            <w:vAlign w:val="bottom"/>
            <w:shd w:val="clear" w:color="auto" w:fill="E4E4E4"/>
          </w:tcPr>
          <w:p>
            <w:pPr>
              <w:jc w:val="right"/>
              <w:spacing w:after="0"/>
              <w:rPr>
                <w:sz w:val="20"/>
                <w:szCs w:val="20"/>
                <w:color w:val="auto"/>
              </w:rPr>
            </w:pPr>
            <w:r>
              <w:rPr>
                <w:rFonts w:ascii="Arial" w:cs="Arial" w:eastAsia="Arial" w:hAnsi="Arial"/>
                <w:sz w:val="18"/>
                <w:szCs w:val="18"/>
                <w:color w:val="auto"/>
              </w:rPr>
              <w:t>1,607</w:t>
            </w:r>
          </w:p>
        </w:tc>
        <w:tc>
          <w:tcPr>
            <w:tcW w:w="14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200"/>
              <w:spacing w:after="0" w:line="188" w:lineRule="exact"/>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ind w:left="60"/>
              <w:spacing w:after="0" w:line="188"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line="188"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right"/>
              <w:ind w:right="200"/>
              <w:spacing w:after="0" w:line="188" w:lineRule="exact"/>
              <w:rPr>
                <w:sz w:val="20"/>
                <w:szCs w:val="20"/>
                <w:color w:val="auto"/>
              </w:rPr>
            </w:pPr>
            <w:r>
              <w:rPr>
                <w:rFonts w:ascii="Arial" w:cs="Arial" w:eastAsia="Arial" w:hAnsi="Arial"/>
                <w:sz w:val="18"/>
                <w:szCs w:val="18"/>
                <w:color w:val="auto"/>
              </w:rPr>
              <w:t>(117,672 )</w:t>
            </w:r>
          </w:p>
        </w:tc>
        <w:tc>
          <w:tcPr>
            <w:tcW w:w="220" w:type="dxa"/>
            <w:vAlign w:val="bottom"/>
          </w:tcPr>
          <w:p>
            <w:pPr>
              <w:spacing w:after="0"/>
              <w:rPr>
                <w:sz w:val="16"/>
                <w:szCs w:val="16"/>
                <w:color w:val="auto"/>
              </w:rPr>
            </w:pPr>
          </w:p>
        </w:tc>
        <w:tc>
          <w:tcPr>
            <w:tcW w:w="1120" w:type="dxa"/>
            <w:vAlign w:val="bottom"/>
            <w:gridSpan w:val="2"/>
          </w:tcPr>
          <w:p>
            <w:pPr>
              <w:jc w:val="right"/>
              <w:ind w:right="80"/>
              <w:spacing w:after="0" w:line="188" w:lineRule="exact"/>
              <w:rPr>
                <w:sz w:val="20"/>
                <w:szCs w:val="20"/>
                <w:color w:val="auto"/>
              </w:rPr>
            </w:pPr>
            <w:r>
              <w:rPr>
                <w:rFonts w:ascii="Arial" w:cs="Arial" w:eastAsia="Arial" w:hAnsi="Arial"/>
                <w:sz w:val="18"/>
                <w:szCs w:val="18"/>
                <w:color w:val="auto"/>
              </w:rPr>
              <w:t>(117,672 )</w:t>
            </w:r>
          </w:p>
        </w:tc>
        <w:tc>
          <w:tcPr>
            <w:tcW w:w="0" w:type="dxa"/>
            <w:vAlign w:val="bottom"/>
          </w:tcPr>
          <w:p>
            <w:pPr>
              <w:spacing w:after="0"/>
              <w:rPr>
                <w:sz w:val="1"/>
                <w:szCs w:val="1"/>
                <w:color w:val="auto"/>
              </w:rPr>
            </w:pPr>
          </w:p>
        </w:tc>
      </w:tr>
      <w:tr>
        <w:trPr>
          <w:trHeight w:val="20"/>
        </w:trPr>
        <w:tc>
          <w:tcPr>
            <w:tcW w:w="4000" w:type="dxa"/>
            <w:vAlign w:val="bottom"/>
            <w:vMerge w:val="restart"/>
            <w:shd w:val="clear" w:color="auto" w:fill="E4E4E4"/>
          </w:tcPr>
          <w:p>
            <w:pPr>
              <w:spacing w:after="0"/>
              <w:rPr>
                <w:sz w:val="20"/>
                <w:szCs w:val="20"/>
                <w:color w:val="auto"/>
              </w:rPr>
            </w:pPr>
            <w:r>
              <w:rPr>
                <w:rFonts w:ascii="Arial" w:cs="Arial" w:eastAsia="Arial" w:hAnsi="Arial"/>
                <w:sz w:val="18"/>
                <w:szCs w:val="18"/>
                <w:b w:val="1"/>
                <w:bCs w:val="1"/>
                <w:color w:val="auto"/>
              </w:rPr>
              <w:t>Balance as of December 31, 2023</w:t>
            </w:r>
          </w:p>
        </w:tc>
        <w:tc>
          <w:tcPr>
            <w:tcW w:w="140" w:type="dxa"/>
            <w:vAlign w:val="bottom"/>
            <w:tcBorders>
              <w:right w:val="single" w:sz="8" w:color="E4E4E4"/>
            </w:tcBorders>
            <w:shd w:val="clear" w:color="auto" w:fill="E4E4E4"/>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E4E4E4"/>
            </w:tcBorders>
            <w:shd w:val="clear" w:color="auto" w:fill="E4E4E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right w:val="single" w:sz="8" w:color="E4E4E4"/>
            </w:tcBorders>
            <w:shd w:val="clear" w:color="auto" w:fill="E4E4E4"/>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Borders>
              <w:right w:val="single" w:sz="8" w:color="E4E4E4"/>
            </w:tcBorders>
            <w:shd w:val="clear" w:color="auto" w:fill="E4E4E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shd w:val="clear" w:color="auto" w:fill="E4E4E4"/>
          </w:tcPr>
          <w:p>
            <w:pPr>
              <w:spacing w:after="0"/>
              <w:rPr>
                <w:sz w:val="17"/>
                <w:szCs w:val="17"/>
                <w:color w:val="auto"/>
              </w:rPr>
            </w:pPr>
          </w:p>
        </w:tc>
        <w:tc>
          <w:tcPr>
            <w:tcW w:w="140" w:type="dxa"/>
            <w:vAlign w:val="bottom"/>
            <w:tcBorders>
              <w:right w:val="single" w:sz="8" w:color="E4E4E4"/>
            </w:tcBorders>
            <w:shd w:val="clear" w:color="auto" w:fill="E4E4E4"/>
          </w:tcPr>
          <w:p>
            <w:pPr>
              <w:spacing w:after="0"/>
              <w:rPr>
                <w:sz w:val="17"/>
                <w:szCs w:val="17"/>
                <w:color w:val="auto"/>
              </w:rPr>
            </w:pPr>
          </w:p>
        </w:tc>
        <w:tc>
          <w:tcPr>
            <w:tcW w:w="1220" w:type="dxa"/>
            <w:vAlign w:val="bottom"/>
            <w:tcBorders>
              <w:right w:val="single" w:sz="8" w:color="E4E4E4"/>
            </w:tcBorders>
            <w:shd w:val="clear" w:color="auto" w:fill="E4E4E4"/>
          </w:tcPr>
          <w:p>
            <w:pPr>
              <w:jc w:val="right"/>
              <w:spacing w:after="0" w:line="197" w:lineRule="exact"/>
              <w:rPr>
                <w:sz w:val="20"/>
                <w:szCs w:val="20"/>
                <w:color w:val="auto"/>
              </w:rPr>
            </w:pPr>
            <w:r>
              <w:rPr>
                <w:rFonts w:ascii="Arial" w:cs="Arial" w:eastAsia="Arial" w:hAnsi="Arial"/>
                <w:sz w:val="18"/>
                <w:szCs w:val="18"/>
                <w:color w:val="auto"/>
              </w:rPr>
              <w:t>38,172,603</w:t>
            </w:r>
          </w:p>
        </w:tc>
        <w:tc>
          <w:tcPr>
            <w:tcW w:w="240" w:type="dxa"/>
            <w:vAlign w:val="bottom"/>
            <w:shd w:val="clear" w:color="auto" w:fill="E4E4E4"/>
          </w:tcPr>
          <w:p>
            <w:pPr>
              <w:spacing w:after="0"/>
              <w:rPr>
                <w:sz w:val="17"/>
                <w:szCs w:val="17"/>
                <w:color w:val="auto"/>
              </w:rPr>
            </w:pPr>
          </w:p>
        </w:tc>
        <w:tc>
          <w:tcPr>
            <w:tcW w:w="960" w:type="dxa"/>
            <w:vAlign w:val="bottom"/>
            <w:shd w:val="clear" w:color="auto" w:fill="E4E4E4"/>
          </w:tcPr>
          <w:p>
            <w:pPr>
              <w:jc w:val="right"/>
              <w:ind w:right="773"/>
              <w:spacing w:after="0" w:line="197" w:lineRule="exact"/>
              <w:rPr>
                <w:sz w:val="20"/>
                <w:szCs w:val="20"/>
                <w:color w:val="auto"/>
              </w:rPr>
            </w:pPr>
            <w:r>
              <w:rPr>
                <w:rFonts w:ascii="Arial" w:cs="Arial" w:eastAsia="Arial" w:hAnsi="Arial"/>
                <w:sz w:val="18"/>
                <w:szCs w:val="18"/>
                <w:color w:val="auto"/>
                <w:w w:val="79"/>
              </w:rPr>
              <w:t>$</w:t>
            </w:r>
          </w:p>
        </w:tc>
        <w:tc>
          <w:tcPr>
            <w:tcW w:w="260" w:type="dxa"/>
            <w:vAlign w:val="bottom"/>
            <w:tcBorders>
              <w:right w:val="single" w:sz="8" w:color="E4E4E4"/>
            </w:tcBorders>
            <w:shd w:val="clear" w:color="auto" w:fill="E4E4E4"/>
          </w:tcPr>
          <w:p>
            <w:pPr>
              <w:ind w:left="160"/>
              <w:spacing w:after="0"/>
              <w:rPr>
                <w:sz w:val="20"/>
                <w:szCs w:val="20"/>
                <w:color w:val="auto"/>
              </w:rPr>
            </w:pPr>
            <w:r>
              <w:rPr>
                <w:rFonts w:ascii="Arial" w:cs="Arial" w:eastAsia="Arial" w:hAnsi="Arial"/>
                <w:sz w:val="15"/>
                <w:szCs w:val="15"/>
                <w:color w:val="auto"/>
                <w:w w:val="71"/>
              </w:rPr>
              <w:t>4</w:t>
            </w:r>
          </w:p>
        </w:tc>
        <w:tc>
          <w:tcPr>
            <w:tcW w:w="260" w:type="dxa"/>
            <w:vAlign w:val="bottom"/>
            <w:tcBorders>
              <w:right w:val="single" w:sz="8" w:color="E4E4E4"/>
            </w:tcBorders>
            <w:shd w:val="clear" w:color="auto" w:fill="E4E4E4"/>
          </w:tcPr>
          <w:p>
            <w:pPr>
              <w:spacing w:after="0"/>
              <w:rPr>
                <w:sz w:val="17"/>
                <w:szCs w:val="17"/>
                <w:color w:val="auto"/>
              </w:rPr>
            </w:pPr>
          </w:p>
        </w:tc>
        <w:tc>
          <w:tcPr>
            <w:tcW w:w="160" w:type="dxa"/>
            <w:vAlign w:val="bottom"/>
            <w:shd w:val="clear" w:color="auto" w:fill="E4E4E4"/>
          </w:tcPr>
          <w:p>
            <w:pPr>
              <w:jc w:val="right"/>
              <w:spacing w:after="0" w:line="197" w:lineRule="exact"/>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E4E4E4"/>
            </w:tcBorders>
            <w:shd w:val="clear" w:color="auto" w:fill="E4E4E4"/>
          </w:tcPr>
          <w:p>
            <w:pPr>
              <w:jc w:val="right"/>
              <w:spacing w:after="0" w:line="197" w:lineRule="exact"/>
              <w:rPr>
                <w:sz w:val="20"/>
                <w:szCs w:val="20"/>
                <w:color w:val="auto"/>
              </w:rPr>
            </w:pPr>
            <w:r>
              <w:rPr>
                <w:rFonts w:ascii="Arial" w:cs="Arial" w:eastAsia="Arial" w:hAnsi="Arial"/>
                <w:sz w:val="18"/>
                <w:szCs w:val="18"/>
                <w:color w:val="auto"/>
              </w:rPr>
              <w:t>439,739</w:t>
            </w:r>
          </w:p>
        </w:tc>
        <w:tc>
          <w:tcPr>
            <w:tcW w:w="240" w:type="dxa"/>
            <w:vAlign w:val="bottom"/>
            <w:shd w:val="clear" w:color="auto" w:fill="E4E4E4"/>
          </w:tcPr>
          <w:p>
            <w:pPr>
              <w:spacing w:after="0"/>
              <w:rPr>
                <w:sz w:val="17"/>
                <w:szCs w:val="17"/>
                <w:color w:val="auto"/>
              </w:rPr>
            </w:pPr>
          </w:p>
        </w:tc>
        <w:tc>
          <w:tcPr>
            <w:tcW w:w="120" w:type="dxa"/>
            <w:vAlign w:val="bottom"/>
            <w:shd w:val="clear" w:color="auto" w:fill="E4E4E4"/>
          </w:tcPr>
          <w:p>
            <w:pPr>
              <w:jc w:val="right"/>
              <w:spacing w:after="0" w:line="197"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E4E4E4"/>
          </w:tcPr>
          <w:p>
            <w:pPr>
              <w:jc w:val="right"/>
              <w:spacing w:after="0" w:line="197" w:lineRule="exact"/>
              <w:rPr>
                <w:sz w:val="20"/>
                <w:szCs w:val="20"/>
                <w:color w:val="auto"/>
              </w:rPr>
            </w:pPr>
            <w:r>
              <w:rPr>
                <w:rFonts w:ascii="Arial" w:cs="Arial" w:eastAsia="Arial" w:hAnsi="Arial"/>
                <w:sz w:val="18"/>
                <w:szCs w:val="18"/>
                <w:color w:val="auto"/>
              </w:rPr>
              <w:t>(349</w:t>
            </w:r>
          </w:p>
        </w:tc>
        <w:tc>
          <w:tcPr>
            <w:tcW w:w="140" w:type="dxa"/>
            <w:vAlign w:val="bottom"/>
            <w:vMerge w:val="continue"/>
            <w:shd w:val="clear" w:color="auto" w:fill="E4E4E4"/>
          </w:tcPr>
          <w:p>
            <w:pPr>
              <w:spacing w:after="0"/>
              <w:rPr>
                <w:sz w:val="17"/>
                <w:szCs w:val="17"/>
                <w:color w:val="auto"/>
              </w:rPr>
            </w:pPr>
          </w:p>
        </w:tc>
        <w:tc>
          <w:tcPr>
            <w:tcW w:w="140" w:type="dxa"/>
            <w:vAlign w:val="bottom"/>
            <w:tcBorders>
              <w:right w:val="single" w:sz="8" w:color="E4E4E4"/>
            </w:tcBorders>
            <w:shd w:val="clear" w:color="auto" w:fill="E4E4E4"/>
          </w:tcPr>
          <w:p>
            <w:pPr>
              <w:spacing w:after="0"/>
              <w:rPr>
                <w:sz w:val="17"/>
                <w:szCs w:val="17"/>
                <w:color w:val="auto"/>
              </w:rPr>
            </w:pPr>
          </w:p>
        </w:tc>
        <w:tc>
          <w:tcPr>
            <w:tcW w:w="80" w:type="dxa"/>
            <w:vAlign w:val="bottom"/>
            <w:shd w:val="clear" w:color="auto" w:fill="E4E4E4"/>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E4E4E4"/>
            </w:tcBorders>
            <w:gridSpan w:val="2"/>
            <w:shd w:val="clear" w:color="auto" w:fill="E4E4E4"/>
          </w:tcPr>
          <w:p>
            <w:pPr>
              <w:jc w:val="right"/>
              <w:ind w:right="200"/>
              <w:spacing w:after="0" w:line="197" w:lineRule="exact"/>
              <w:rPr>
                <w:sz w:val="20"/>
                <w:szCs w:val="20"/>
                <w:color w:val="auto"/>
              </w:rPr>
            </w:pPr>
            <w:r>
              <w:rPr>
                <w:rFonts w:ascii="Arial" w:cs="Arial" w:eastAsia="Arial" w:hAnsi="Arial"/>
                <w:sz w:val="18"/>
                <w:szCs w:val="18"/>
                <w:color w:val="auto"/>
              </w:rPr>
              <w:t>(309,206 )</w:t>
            </w:r>
          </w:p>
        </w:tc>
        <w:tc>
          <w:tcPr>
            <w:tcW w:w="220" w:type="dxa"/>
            <w:vAlign w:val="bottom"/>
            <w:shd w:val="clear" w:color="auto" w:fill="E4E4E4"/>
          </w:tcPr>
          <w:p>
            <w:pPr>
              <w:jc w:val="right"/>
              <w:ind w:right="33"/>
              <w:spacing w:after="0" w:line="197"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E4E4E4"/>
          </w:tcPr>
          <w:p>
            <w:pPr>
              <w:jc w:val="right"/>
              <w:spacing w:after="0" w:line="197" w:lineRule="exact"/>
              <w:rPr>
                <w:sz w:val="20"/>
                <w:szCs w:val="20"/>
                <w:color w:val="auto"/>
              </w:rPr>
            </w:pPr>
            <w:r>
              <w:rPr>
                <w:rFonts w:ascii="Arial" w:cs="Arial" w:eastAsia="Arial" w:hAnsi="Arial"/>
                <w:sz w:val="18"/>
                <w:szCs w:val="18"/>
                <w:color w:val="auto"/>
              </w:rPr>
              <w:t>130,188</w:t>
            </w:r>
          </w:p>
        </w:tc>
        <w:tc>
          <w:tcPr>
            <w:tcW w:w="14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accompanying notes are an integral part of these consolidated financial statements.</w:t>
      </w:r>
    </w:p>
    <w:p>
      <w:pPr>
        <w:sectPr>
          <w:pgSz w:w="15480" w:h="11874" w:orient="landscape"/>
          <w:cols w:equalWidth="0" w:num="1">
            <w:col w:w="12960"/>
          </w:cols>
          <w:pgMar w:left="1240" w:top="1172" w:right="1274" w:bottom="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138</w:t>
      </w:r>
    </w:p>
    <w:p>
      <w:pPr>
        <w:sectPr>
          <w:pgSz w:w="15480" w:h="11874" w:orient="landscape"/>
          <w:cols w:equalWidth="0" w:num="1">
            <w:col w:w="12960"/>
          </w:cols>
          <w:pgMar w:left="1240" w:top="1172" w:right="1274" w:bottom="59" w:gutter="0" w:footer="0" w:header="0"/>
          <w:type w:val="continuous"/>
        </w:sectPr>
      </w:pPr>
    </w:p>
    <w:bookmarkStart w:id="144" w:name="page145"/>
    <w:bookmarkEnd w:id="144"/>
    <w:p>
      <w:pPr>
        <w:jc w:val="center"/>
        <w:spacing w:after="0"/>
        <w:rPr>
          <w:sz w:val="20"/>
          <w:szCs w:val="20"/>
          <w:color w:val="auto"/>
        </w:rPr>
      </w:pPr>
      <w:r>
        <w:rPr>
          <w:rFonts w:ascii="Arial" w:cs="Arial" w:eastAsia="Arial" w:hAnsi="Arial"/>
          <w:sz w:val="20"/>
          <w:szCs w:val="20"/>
          <w:b w:val="1"/>
          <w:bCs w:val="1"/>
          <w:color w:val="auto"/>
        </w:rPr>
        <w:t>Athira Pharma,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20"/>
        </w:trPr>
        <w:tc>
          <w:tcPr>
            <w:tcW w:w="6520" w:type="dxa"/>
            <w:vAlign w:val="bottom"/>
            <w:tcBorders>
              <w:bottom w:val="single" w:sz="8" w:color="E4E4E4"/>
            </w:tcBorders>
          </w:tcPr>
          <w:p>
            <w:pPr>
              <w:spacing w:after="0"/>
              <w:rPr>
                <w:sz w:val="19"/>
                <w:szCs w:val="19"/>
                <w:color w:val="auto"/>
              </w:rPr>
            </w:pPr>
          </w:p>
        </w:tc>
        <w:tc>
          <w:tcPr>
            <w:tcW w:w="20" w:type="dxa"/>
            <w:vAlign w:val="bottom"/>
            <w:tcBorders>
              <w:bottom w:val="single" w:sz="8" w:color="E4E4E4"/>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E4E4E4"/>
            </w:tcBorders>
          </w:tcPr>
          <w:p>
            <w:pPr>
              <w:spacing w:after="0"/>
              <w:rPr>
                <w:sz w:val="19"/>
                <w:szCs w:val="19"/>
                <w:color w:val="auto"/>
              </w:rPr>
            </w:pPr>
          </w:p>
        </w:tc>
        <w:tc>
          <w:tcPr>
            <w:tcW w:w="100" w:type="dxa"/>
            <w:vAlign w:val="bottom"/>
            <w:tcBorders>
              <w:top w:val="single" w:sz="8" w:color="auto"/>
              <w:bottom w:val="single" w:sz="8" w:color="E4E4E4"/>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gridSpan w:val="2"/>
            <w:shd w:val="clear" w:color="auto" w:fill="E4E4E4"/>
          </w:tcPr>
          <w:p>
            <w:pPr>
              <w:spacing w:after="0" w:line="220" w:lineRule="exact"/>
              <w:rPr>
                <w:sz w:val="20"/>
                <w:szCs w:val="20"/>
                <w:color w:val="auto"/>
              </w:rPr>
            </w:pPr>
            <w:r>
              <w:rPr>
                <w:rFonts w:ascii="Arial" w:cs="Arial" w:eastAsia="Arial" w:hAnsi="Arial"/>
                <w:sz w:val="20"/>
                <w:szCs w:val="20"/>
                <w:b w:val="1"/>
                <w:bCs w:val="1"/>
                <w:color w:val="auto"/>
              </w:rPr>
              <w:t>Operating activities</w:t>
            </w:r>
          </w:p>
        </w:tc>
        <w:tc>
          <w:tcPr>
            <w:tcW w:w="240" w:type="dxa"/>
            <w:vAlign w:val="bottom"/>
            <w:shd w:val="clear" w:color="auto" w:fill="E4E4E4"/>
          </w:tcPr>
          <w:p>
            <w:pPr>
              <w:spacing w:after="0"/>
              <w:rPr>
                <w:sz w:val="19"/>
                <w:szCs w:val="19"/>
                <w:color w:val="auto"/>
              </w:rPr>
            </w:pPr>
          </w:p>
        </w:tc>
        <w:tc>
          <w:tcPr>
            <w:tcW w:w="1040" w:type="dxa"/>
            <w:vAlign w:val="bottom"/>
            <w:tcBorders>
              <w:right w:val="single" w:sz="8" w:color="E4E4E4"/>
            </w:tcBorders>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00" w:type="dxa"/>
            <w:vAlign w:val="bottom"/>
            <w:tcBorders>
              <w:right w:val="single" w:sz="8" w:color="E4E4E4"/>
            </w:tcBorders>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ind w:left="280"/>
              <w:spacing w:after="0"/>
              <w:rPr>
                <w:sz w:val="20"/>
                <w:szCs w:val="20"/>
                <w:color w:val="auto"/>
              </w:rPr>
            </w:pPr>
            <w:r>
              <w:rPr>
                <w:rFonts w:ascii="Arial" w:cs="Arial" w:eastAsia="Arial" w:hAnsi="Arial"/>
                <w:sz w:val="20"/>
                <w:szCs w:val="20"/>
                <w:color w:val="auto"/>
              </w:rPr>
              <w:t>Net loss</w:t>
            </w: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(117,672)</w:t>
            </w:r>
          </w:p>
        </w:tc>
        <w:tc>
          <w:tcPr>
            <w:tcW w:w="3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(95,639</w:t>
            </w:r>
          </w:p>
        </w:tc>
        <w:tc>
          <w:tcPr>
            <w:tcW w:w="1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E4E4E4"/>
          </w:tcPr>
          <w:p>
            <w:pPr>
              <w:ind w:left="560"/>
              <w:spacing w:after="0"/>
              <w:rPr>
                <w:sz w:val="20"/>
                <w:szCs w:val="20"/>
                <w:color w:val="auto"/>
              </w:rPr>
            </w:pPr>
            <w:r>
              <w:rPr>
                <w:rFonts w:ascii="Arial" w:cs="Arial" w:eastAsia="Arial" w:hAnsi="Arial"/>
                <w:sz w:val="20"/>
                <w:szCs w:val="20"/>
                <w:color w:val="auto"/>
              </w:rPr>
              <w:t>Adjustments to reconcile net loss to net cash used in operating</w:t>
            </w:r>
          </w:p>
        </w:tc>
        <w:tc>
          <w:tcPr>
            <w:tcW w:w="240" w:type="dxa"/>
            <w:vAlign w:val="bottom"/>
            <w:shd w:val="clear" w:color="auto" w:fill="E4E4E4"/>
          </w:tcPr>
          <w:p>
            <w:pPr>
              <w:spacing w:after="0"/>
              <w:rPr>
                <w:sz w:val="20"/>
                <w:szCs w:val="20"/>
                <w:color w:val="auto"/>
              </w:rPr>
            </w:pPr>
          </w:p>
        </w:tc>
        <w:tc>
          <w:tcPr>
            <w:tcW w:w="1040" w:type="dxa"/>
            <w:vAlign w:val="bottom"/>
            <w:tcBorders>
              <w:right w:val="single" w:sz="8" w:color="E4E4E4"/>
            </w:tcBorders>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00" w:type="dxa"/>
            <w:vAlign w:val="bottom"/>
            <w:tcBorders>
              <w:right w:val="single" w:sz="8" w:color="E4E4E4"/>
            </w:tcBorders>
            <w:shd w:val="clear" w:color="auto" w:fill="E4E4E4"/>
          </w:tcPr>
          <w:p>
            <w:pPr>
              <w:spacing w:after="0"/>
              <w:rPr>
                <w:sz w:val="20"/>
                <w:szCs w:val="20"/>
                <w:color w:val="auto"/>
              </w:rPr>
            </w:pPr>
          </w:p>
        </w:tc>
        <w:tc>
          <w:tcPr>
            <w:tcW w:w="280" w:type="dxa"/>
            <w:vAlign w:val="bottom"/>
            <w:shd w:val="clear" w:color="auto" w:fill="E4E4E4"/>
          </w:tcPr>
          <w:p>
            <w:pPr>
              <w:spacing w:after="0"/>
              <w:rPr>
                <w:sz w:val="20"/>
                <w:szCs w:val="20"/>
                <w:color w:val="auto"/>
              </w:rPr>
            </w:pPr>
          </w:p>
        </w:tc>
        <w:tc>
          <w:tcPr>
            <w:tcW w:w="98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E4E4E4"/>
          </w:tcPr>
          <w:p>
            <w:pPr>
              <w:ind w:left="560"/>
              <w:spacing w:after="0"/>
              <w:rPr>
                <w:sz w:val="20"/>
                <w:szCs w:val="20"/>
                <w:color w:val="auto"/>
              </w:rPr>
            </w:pPr>
            <w:r>
              <w:rPr>
                <w:rFonts w:ascii="Arial" w:cs="Arial" w:eastAsia="Arial" w:hAnsi="Arial"/>
                <w:sz w:val="20"/>
                <w:szCs w:val="20"/>
                <w:color w:val="auto"/>
              </w:rPr>
              <w:t>activities:</w:t>
            </w: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40" w:type="dxa"/>
            <w:vAlign w:val="bottom"/>
            <w:tcBorders>
              <w:right w:val="single" w:sz="8" w:color="E4E4E4"/>
            </w:tcBorders>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00" w:type="dxa"/>
            <w:vAlign w:val="bottom"/>
            <w:tcBorders>
              <w:right w:val="single" w:sz="8" w:color="E4E4E4"/>
            </w:tcBorders>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ind w:left="560"/>
              <w:spacing w:after="0"/>
              <w:rPr>
                <w:sz w:val="20"/>
                <w:szCs w:val="20"/>
                <w:color w:val="auto"/>
              </w:rPr>
            </w:pPr>
            <w:r>
              <w:rPr>
                <w:rFonts w:ascii="Arial" w:cs="Arial" w:eastAsia="Arial" w:hAnsi="Arial"/>
                <w:sz w:val="20"/>
                <w:szCs w:val="20"/>
                <w:color w:val="auto"/>
              </w:rPr>
              <w:t>Stock-based compensation</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10,623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10,606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40" w:type="dxa"/>
            <w:vAlign w:val="bottom"/>
            <w:gridSpan w:val="2"/>
            <w:shd w:val="clear" w:color="auto" w:fill="E4E4E4"/>
          </w:tcPr>
          <w:p>
            <w:pPr>
              <w:ind w:left="560"/>
              <w:spacing w:after="0"/>
              <w:rPr>
                <w:sz w:val="20"/>
                <w:szCs w:val="20"/>
                <w:color w:val="auto"/>
              </w:rPr>
            </w:pPr>
            <w:r>
              <w:rPr>
                <w:rFonts w:ascii="Arial" w:cs="Arial" w:eastAsia="Arial" w:hAnsi="Arial"/>
                <w:sz w:val="20"/>
                <w:szCs w:val="20"/>
                <w:color w:val="auto"/>
              </w:rPr>
              <w:t>Depreciation expense</w:t>
            </w:r>
          </w:p>
        </w:tc>
        <w:tc>
          <w:tcPr>
            <w:tcW w:w="240" w:type="dxa"/>
            <w:vAlign w:val="bottom"/>
            <w:shd w:val="clear" w:color="auto" w:fill="E4E4E4"/>
          </w:tcPr>
          <w:p>
            <w:pPr>
              <w:spacing w:after="0"/>
              <w:rPr>
                <w:sz w:val="19"/>
                <w:szCs w:val="19"/>
                <w:color w:val="auto"/>
              </w:rPr>
            </w:pPr>
          </w:p>
        </w:tc>
        <w:tc>
          <w:tcPr>
            <w:tcW w:w="104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969</w:t>
            </w:r>
          </w:p>
        </w:tc>
        <w:tc>
          <w:tcPr>
            <w:tcW w:w="80" w:type="dxa"/>
            <w:vAlign w:val="bottom"/>
            <w:shd w:val="clear" w:color="auto" w:fill="E4E4E4"/>
          </w:tcPr>
          <w:p>
            <w:pPr>
              <w:spacing w:after="0"/>
              <w:rPr>
                <w:sz w:val="19"/>
                <w:szCs w:val="19"/>
                <w:color w:val="auto"/>
              </w:rPr>
            </w:pPr>
          </w:p>
        </w:tc>
        <w:tc>
          <w:tcPr>
            <w:tcW w:w="100" w:type="dxa"/>
            <w:vAlign w:val="bottom"/>
            <w:tcBorders>
              <w:right w:val="single" w:sz="8" w:color="E4E4E4"/>
            </w:tcBorders>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108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845</w:t>
            </w:r>
          </w:p>
        </w:tc>
        <w:tc>
          <w:tcPr>
            <w:tcW w:w="0" w:type="dxa"/>
            <w:vAlign w:val="bottom"/>
          </w:tcPr>
          <w:p>
            <w:pPr>
              <w:spacing w:after="0"/>
              <w:rPr>
                <w:sz w:val="1"/>
                <w:szCs w:val="1"/>
                <w:color w:val="auto"/>
              </w:rPr>
            </w:pPr>
          </w:p>
        </w:tc>
      </w:tr>
      <w:tr>
        <w:trPr>
          <w:trHeight w:val="230"/>
        </w:trPr>
        <w:tc>
          <w:tcPr>
            <w:tcW w:w="6540" w:type="dxa"/>
            <w:vAlign w:val="bottom"/>
            <w:gridSpan w:val="2"/>
          </w:tcPr>
          <w:p>
            <w:pPr>
              <w:ind w:left="560"/>
              <w:spacing w:after="0"/>
              <w:rPr>
                <w:sz w:val="20"/>
                <w:szCs w:val="20"/>
                <w:color w:val="auto"/>
              </w:rPr>
            </w:pPr>
            <w:r>
              <w:rPr>
                <w:rFonts w:ascii="Arial" w:cs="Arial" w:eastAsia="Arial" w:hAnsi="Arial"/>
                <w:sz w:val="20"/>
                <w:szCs w:val="20"/>
                <w:color w:val="auto"/>
              </w:rPr>
              <w:t>Non-cash lease expense</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203</w:t>
            </w: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E4E4E4"/>
          </w:tcPr>
          <w:p>
            <w:pPr>
              <w:ind w:left="560"/>
              <w:spacing w:after="0"/>
              <w:rPr>
                <w:sz w:val="20"/>
                <w:szCs w:val="20"/>
                <w:color w:val="auto"/>
              </w:rPr>
            </w:pPr>
            <w:r>
              <w:rPr>
                <w:rFonts w:ascii="Arial" w:cs="Arial" w:eastAsia="Arial" w:hAnsi="Arial"/>
                <w:sz w:val="20"/>
                <w:szCs w:val="20"/>
                <w:color w:val="auto"/>
              </w:rPr>
              <w:t>Amortization of premiums and accretion of discounts on</w:t>
            </w:r>
          </w:p>
        </w:tc>
        <w:tc>
          <w:tcPr>
            <w:tcW w:w="240" w:type="dxa"/>
            <w:vAlign w:val="bottom"/>
            <w:shd w:val="clear" w:color="auto" w:fill="E4E4E4"/>
          </w:tcPr>
          <w:p>
            <w:pPr>
              <w:spacing w:after="0"/>
              <w:rPr>
                <w:sz w:val="20"/>
                <w:szCs w:val="20"/>
                <w:color w:val="auto"/>
              </w:rPr>
            </w:pPr>
          </w:p>
        </w:tc>
        <w:tc>
          <w:tcPr>
            <w:tcW w:w="1040" w:type="dxa"/>
            <w:vAlign w:val="bottom"/>
            <w:tcBorders>
              <w:right w:val="single" w:sz="8" w:color="E4E4E4"/>
            </w:tcBorders>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00" w:type="dxa"/>
            <w:vAlign w:val="bottom"/>
            <w:tcBorders>
              <w:right w:val="single" w:sz="8" w:color="E4E4E4"/>
            </w:tcBorders>
            <w:shd w:val="clear" w:color="auto" w:fill="E4E4E4"/>
          </w:tcPr>
          <w:p>
            <w:pPr>
              <w:spacing w:after="0"/>
              <w:rPr>
                <w:sz w:val="20"/>
                <w:szCs w:val="20"/>
                <w:color w:val="auto"/>
              </w:rPr>
            </w:pPr>
          </w:p>
        </w:tc>
        <w:tc>
          <w:tcPr>
            <w:tcW w:w="280" w:type="dxa"/>
            <w:vAlign w:val="bottom"/>
            <w:shd w:val="clear" w:color="auto" w:fill="E4E4E4"/>
          </w:tcPr>
          <w:p>
            <w:pPr>
              <w:spacing w:after="0"/>
              <w:rPr>
                <w:sz w:val="20"/>
                <w:szCs w:val="20"/>
                <w:color w:val="auto"/>
              </w:rPr>
            </w:pPr>
          </w:p>
        </w:tc>
        <w:tc>
          <w:tcPr>
            <w:tcW w:w="98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E4E4E4"/>
          </w:tcPr>
          <w:p>
            <w:pPr>
              <w:ind w:left="720"/>
              <w:spacing w:after="0"/>
              <w:rPr>
                <w:sz w:val="20"/>
                <w:szCs w:val="20"/>
                <w:color w:val="auto"/>
              </w:rPr>
            </w:pPr>
            <w:r>
              <w:rPr>
                <w:rFonts w:ascii="Arial" w:cs="Arial" w:eastAsia="Arial" w:hAnsi="Arial"/>
                <w:sz w:val="20"/>
                <w:szCs w:val="20"/>
                <w:color w:val="auto"/>
              </w:rPr>
              <w:t>available-for-sale securities, net</w:t>
            </w: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4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(1,414)</w:t>
            </w:r>
          </w:p>
        </w:tc>
        <w:tc>
          <w:tcPr>
            <w:tcW w:w="80" w:type="dxa"/>
            <w:vAlign w:val="bottom"/>
            <w:shd w:val="clear" w:color="auto" w:fill="E4E4E4"/>
          </w:tcPr>
          <w:p>
            <w:pPr>
              <w:spacing w:after="0"/>
              <w:rPr>
                <w:sz w:val="19"/>
                <w:szCs w:val="19"/>
                <w:color w:val="auto"/>
              </w:rPr>
            </w:pPr>
          </w:p>
        </w:tc>
        <w:tc>
          <w:tcPr>
            <w:tcW w:w="100" w:type="dxa"/>
            <w:vAlign w:val="bottom"/>
            <w:tcBorders>
              <w:right w:val="single" w:sz="8" w:color="E4E4E4"/>
            </w:tcBorders>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9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(422</w:t>
            </w:r>
          </w:p>
        </w:tc>
        <w:tc>
          <w:tcPr>
            <w:tcW w:w="100" w:type="dxa"/>
            <w:vAlign w:val="bottom"/>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30"/>
        </w:trPr>
        <w:tc>
          <w:tcPr>
            <w:tcW w:w="6540" w:type="dxa"/>
            <w:vAlign w:val="bottom"/>
            <w:gridSpan w:val="2"/>
          </w:tcPr>
          <w:p>
            <w:pPr>
              <w:ind w:left="560"/>
              <w:spacing w:after="0"/>
              <w:rPr>
                <w:sz w:val="20"/>
                <w:szCs w:val="20"/>
                <w:color w:val="auto"/>
              </w:rPr>
            </w:pPr>
            <w:r>
              <w:rPr>
                <w:rFonts w:ascii="Arial" w:cs="Arial" w:eastAsia="Arial" w:hAnsi="Arial"/>
                <w:sz w:val="20"/>
                <w:szCs w:val="20"/>
                <w:color w:val="auto"/>
              </w:rPr>
              <w:t>Changes in operating assets and liabilities: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E4E4E4"/>
          </w:tcPr>
          <w:p>
            <w:pPr>
              <w:ind w:left="840"/>
              <w:spacing w:after="0"/>
              <w:rPr>
                <w:sz w:val="20"/>
                <w:szCs w:val="20"/>
                <w:color w:val="auto"/>
              </w:rPr>
            </w:pPr>
            <w:r>
              <w:rPr>
                <w:rFonts w:ascii="Arial" w:cs="Arial" w:eastAsia="Arial" w:hAnsi="Arial"/>
                <w:sz w:val="20"/>
                <w:szCs w:val="20"/>
                <w:color w:val="auto"/>
              </w:rPr>
              <w:t>Unbilled grant receivable</w:t>
            </w:r>
          </w:p>
        </w:tc>
        <w:tc>
          <w:tcPr>
            <w:tcW w:w="240" w:type="dxa"/>
            <w:vAlign w:val="bottom"/>
            <w:shd w:val="clear" w:color="auto" w:fill="E4E4E4"/>
          </w:tcPr>
          <w:p>
            <w:pPr>
              <w:spacing w:after="0"/>
              <w:rPr>
                <w:sz w:val="20"/>
                <w:szCs w:val="20"/>
                <w:color w:val="auto"/>
              </w:rPr>
            </w:pPr>
          </w:p>
        </w:tc>
        <w:tc>
          <w:tcPr>
            <w:tcW w:w="104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1,227</w:t>
            </w:r>
          </w:p>
        </w:tc>
        <w:tc>
          <w:tcPr>
            <w:tcW w:w="80" w:type="dxa"/>
            <w:vAlign w:val="bottom"/>
            <w:shd w:val="clear" w:color="auto" w:fill="E4E4E4"/>
          </w:tcPr>
          <w:p>
            <w:pPr>
              <w:spacing w:after="0"/>
              <w:rPr>
                <w:sz w:val="20"/>
                <w:szCs w:val="20"/>
                <w:color w:val="auto"/>
              </w:rPr>
            </w:pPr>
          </w:p>
        </w:tc>
        <w:tc>
          <w:tcPr>
            <w:tcW w:w="100" w:type="dxa"/>
            <w:vAlign w:val="bottom"/>
            <w:tcBorders>
              <w:right w:val="single" w:sz="8" w:color="E4E4E4"/>
            </w:tcBorders>
            <w:shd w:val="clear" w:color="auto" w:fill="E4E4E4"/>
          </w:tcPr>
          <w:p>
            <w:pPr>
              <w:spacing w:after="0"/>
              <w:rPr>
                <w:sz w:val="20"/>
                <w:szCs w:val="20"/>
                <w:color w:val="auto"/>
              </w:rPr>
            </w:pPr>
          </w:p>
        </w:tc>
        <w:tc>
          <w:tcPr>
            <w:tcW w:w="280" w:type="dxa"/>
            <w:vAlign w:val="bottom"/>
            <w:shd w:val="clear" w:color="auto" w:fill="E4E4E4"/>
          </w:tcPr>
          <w:p>
            <w:pPr>
              <w:spacing w:after="0"/>
              <w:rPr>
                <w:sz w:val="20"/>
                <w:szCs w:val="20"/>
                <w:color w:val="auto"/>
              </w:rPr>
            </w:pPr>
          </w:p>
        </w:tc>
        <w:tc>
          <w:tcPr>
            <w:tcW w:w="108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1,109</w:t>
            </w:r>
          </w:p>
        </w:tc>
        <w:tc>
          <w:tcPr>
            <w:tcW w:w="0" w:type="dxa"/>
            <w:vAlign w:val="bottom"/>
          </w:tcPr>
          <w:p>
            <w:pPr>
              <w:spacing w:after="0"/>
              <w:rPr>
                <w:sz w:val="1"/>
                <w:szCs w:val="1"/>
                <w:color w:val="auto"/>
              </w:rPr>
            </w:pPr>
          </w:p>
        </w:tc>
      </w:tr>
      <w:tr>
        <w:trPr>
          <w:trHeight w:val="229"/>
        </w:trPr>
        <w:tc>
          <w:tcPr>
            <w:tcW w:w="6540" w:type="dxa"/>
            <w:vAlign w:val="bottom"/>
            <w:gridSpan w:val="2"/>
          </w:tcPr>
          <w:p>
            <w:pPr>
              <w:ind w:left="840"/>
              <w:spacing w:after="0"/>
              <w:rPr>
                <w:sz w:val="20"/>
                <w:szCs w:val="20"/>
                <w:color w:val="auto"/>
              </w:rPr>
            </w:pPr>
            <w:r>
              <w:rPr>
                <w:rFonts w:ascii="Arial" w:cs="Arial" w:eastAsia="Arial" w:hAnsi="Arial"/>
                <w:sz w:val="20"/>
                <w:szCs w:val="20"/>
                <w:color w:val="auto"/>
              </w:rPr>
              <w:t>Prepaid expenses and other current and long-term assets, net</w:t>
            </w: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(113)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(1,257)</w:t>
            </w: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E4E4E4"/>
          </w:tcPr>
          <w:p>
            <w:pPr>
              <w:ind w:left="840"/>
              <w:spacing w:after="0"/>
              <w:rPr>
                <w:sz w:val="20"/>
                <w:szCs w:val="20"/>
                <w:color w:val="auto"/>
              </w:rPr>
            </w:pPr>
            <w:r>
              <w:rPr>
                <w:rFonts w:ascii="Arial" w:cs="Arial" w:eastAsia="Arial" w:hAnsi="Arial"/>
                <w:sz w:val="20"/>
                <w:szCs w:val="20"/>
                <w:color w:val="auto"/>
              </w:rPr>
              <w:t>Insurance recovery receivable related to legal settlement</w:t>
            </w:r>
          </w:p>
        </w:tc>
        <w:tc>
          <w:tcPr>
            <w:tcW w:w="240" w:type="dxa"/>
            <w:vAlign w:val="bottom"/>
            <w:shd w:val="clear" w:color="auto" w:fill="E4E4E4"/>
          </w:tcPr>
          <w:p>
            <w:pPr>
              <w:spacing w:after="0"/>
              <w:rPr>
                <w:sz w:val="20"/>
                <w:szCs w:val="20"/>
                <w:color w:val="auto"/>
              </w:rPr>
            </w:pPr>
          </w:p>
        </w:tc>
        <w:tc>
          <w:tcPr>
            <w:tcW w:w="104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(1,628)</w:t>
            </w:r>
          </w:p>
        </w:tc>
        <w:tc>
          <w:tcPr>
            <w:tcW w:w="80" w:type="dxa"/>
            <w:vAlign w:val="bottom"/>
            <w:shd w:val="clear" w:color="auto" w:fill="E4E4E4"/>
          </w:tcPr>
          <w:p>
            <w:pPr>
              <w:spacing w:after="0"/>
              <w:rPr>
                <w:sz w:val="20"/>
                <w:szCs w:val="20"/>
                <w:color w:val="auto"/>
              </w:rPr>
            </w:pPr>
          </w:p>
        </w:tc>
        <w:tc>
          <w:tcPr>
            <w:tcW w:w="100" w:type="dxa"/>
            <w:vAlign w:val="bottom"/>
            <w:tcBorders>
              <w:right w:val="single" w:sz="8" w:color="E4E4E4"/>
            </w:tcBorders>
            <w:shd w:val="clear" w:color="auto" w:fill="E4E4E4"/>
          </w:tcPr>
          <w:p>
            <w:pPr>
              <w:spacing w:after="0"/>
              <w:rPr>
                <w:sz w:val="20"/>
                <w:szCs w:val="20"/>
                <w:color w:val="auto"/>
              </w:rPr>
            </w:pPr>
          </w:p>
        </w:tc>
        <w:tc>
          <w:tcPr>
            <w:tcW w:w="280" w:type="dxa"/>
            <w:vAlign w:val="bottom"/>
            <w:shd w:val="clear" w:color="auto" w:fill="E4E4E4"/>
          </w:tcPr>
          <w:p>
            <w:pPr>
              <w:spacing w:after="0"/>
              <w:rPr>
                <w:sz w:val="20"/>
                <w:szCs w:val="20"/>
                <w:color w:val="auto"/>
              </w:rPr>
            </w:pPr>
          </w:p>
        </w:tc>
        <w:tc>
          <w:tcPr>
            <w:tcW w:w="108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6540" w:type="dxa"/>
            <w:vAlign w:val="bottom"/>
            <w:gridSpan w:val="2"/>
          </w:tcPr>
          <w:p>
            <w:pPr>
              <w:ind w:left="840"/>
              <w:spacing w:after="0"/>
              <w:rPr>
                <w:sz w:val="20"/>
                <w:szCs w:val="20"/>
                <w:color w:val="auto"/>
              </w:rPr>
            </w:pPr>
            <w:r>
              <w:rPr>
                <w:rFonts w:ascii="Arial" w:cs="Arial" w:eastAsia="Arial" w:hAnsi="Arial"/>
                <w:sz w:val="20"/>
                <w:szCs w:val="20"/>
                <w:color w:val="auto"/>
              </w:rPr>
              <w:t>Accounts payable and accrued liabilities</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7,367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2,101</w:t>
            </w:r>
          </w:p>
        </w:tc>
        <w:tc>
          <w:tcPr>
            <w:tcW w:w="0" w:type="dxa"/>
            <w:vAlign w:val="bottom"/>
          </w:tcPr>
          <w:p>
            <w:pPr>
              <w:spacing w:after="0"/>
              <w:rPr>
                <w:sz w:val="1"/>
                <w:szCs w:val="1"/>
                <w:color w:val="auto"/>
              </w:rPr>
            </w:pPr>
          </w:p>
        </w:tc>
      </w:tr>
      <w:tr>
        <w:trPr>
          <w:trHeight w:val="229"/>
        </w:trPr>
        <w:tc>
          <w:tcPr>
            <w:tcW w:w="6540" w:type="dxa"/>
            <w:vAlign w:val="bottom"/>
            <w:gridSpan w:val="2"/>
            <w:shd w:val="clear" w:color="auto" w:fill="E4E4E4"/>
          </w:tcPr>
          <w:p>
            <w:pPr>
              <w:ind w:left="840"/>
              <w:spacing w:after="0"/>
              <w:rPr>
                <w:sz w:val="20"/>
                <w:szCs w:val="20"/>
                <w:color w:val="auto"/>
              </w:rPr>
            </w:pPr>
            <w:r>
              <w:rPr>
                <w:rFonts w:ascii="Arial" w:cs="Arial" w:eastAsia="Arial" w:hAnsi="Arial"/>
                <w:sz w:val="20"/>
                <w:szCs w:val="20"/>
                <w:color w:val="auto"/>
              </w:rPr>
              <w:t>Accrued legal settlement</w:t>
            </w:r>
          </w:p>
        </w:tc>
        <w:tc>
          <w:tcPr>
            <w:tcW w:w="240" w:type="dxa"/>
            <w:vAlign w:val="bottom"/>
            <w:shd w:val="clear" w:color="auto" w:fill="E4E4E4"/>
          </w:tcPr>
          <w:p>
            <w:pPr>
              <w:spacing w:after="0"/>
              <w:rPr>
                <w:sz w:val="19"/>
                <w:szCs w:val="19"/>
                <w:color w:val="auto"/>
              </w:rPr>
            </w:pPr>
          </w:p>
        </w:tc>
        <w:tc>
          <w:tcPr>
            <w:tcW w:w="112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auto"/>
              </w:rPr>
              <w:t>—</w:t>
            </w:r>
          </w:p>
        </w:tc>
        <w:tc>
          <w:tcPr>
            <w:tcW w:w="100" w:type="dxa"/>
            <w:vAlign w:val="bottom"/>
            <w:tcBorders>
              <w:right w:val="single" w:sz="8" w:color="E4E4E4"/>
            </w:tcBorders>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108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10,000</w:t>
            </w:r>
          </w:p>
        </w:tc>
        <w:tc>
          <w:tcPr>
            <w:tcW w:w="0" w:type="dxa"/>
            <w:vAlign w:val="bottom"/>
          </w:tcPr>
          <w:p>
            <w:pPr>
              <w:spacing w:after="0"/>
              <w:rPr>
                <w:sz w:val="1"/>
                <w:szCs w:val="1"/>
                <w:color w:val="auto"/>
              </w:rPr>
            </w:pPr>
          </w:p>
        </w:tc>
      </w:tr>
      <w:tr>
        <w:trPr>
          <w:trHeight w:val="230"/>
        </w:trPr>
        <w:tc>
          <w:tcPr>
            <w:tcW w:w="6540" w:type="dxa"/>
            <w:vAlign w:val="bottom"/>
            <w:gridSpan w:val="2"/>
          </w:tcPr>
          <w:p>
            <w:pPr>
              <w:ind w:left="840"/>
              <w:spacing w:after="0"/>
              <w:rPr>
                <w:sz w:val="20"/>
                <w:szCs w:val="20"/>
                <w:color w:val="auto"/>
              </w:rPr>
            </w:pPr>
            <w:r>
              <w:rPr>
                <w:rFonts w:ascii="Arial" w:cs="Arial" w:eastAsia="Arial" w:hAnsi="Arial"/>
                <w:sz w:val="20"/>
                <w:szCs w:val="20"/>
                <w:color w:val="auto"/>
              </w:rPr>
              <w:t>Operating lease liability</w:t>
            </w:r>
          </w:p>
        </w:tc>
        <w:tc>
          <w:tcPr>
            <w:tcW w:w="2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(326)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0"/>
        </w:trPr>
        <w:tc>
          <w:tcPr>
            <w:tcW w:w="6540" w:type="dxa"/>
            <w:vAlign w:val="bottom"/>
            <w:gridSpan w:val="2"/>
            <w:vMerge w:val="restart"/>
            <w:shd w:val="clear" w:color="auto" w:fill="E4E4E4"/>
          </w:tcPr>
          <w:p>
            <w:pPr>
              <w:ind w:left="1120"/>
              <w:spacing w:after="0"/>
              <w:rPr>
                <w:sz w:val="20"/>
                <w:szCs w:val="20"/>
                <w:color w:val="auto"/>
              </w:rPr>
            </w:pPr>
            <w:r>
              <w:rPr>
                <w:rFonts w:ascii="Arial" w:cs="Arial" w:eastAsia="Arial" w:hAnsi="Arial"/>
                <w:sz w:val="20"/>
                <w:szCs w:val="20"/>
                <w:color w:val="auto"/>
              </w:rPr>
              <w:t>Net cash used in operating activities</w:t>
            </w:r>
          </w:p>
        </w:tc>
        <w:tc>
          <w:tcPr>
            <w:tcW w:w="240" w:type="dxa"/>
            <w:vAlign w:val="bottom"/>
            <w:shd w:val="clear" w:color="auto" w:fill="000000"/>
          </w:tcPr>
          <w:p>
            <w:pPr>
              <w:spacing w:after="0" w:line="20" w:lineRule="exact"/>
              <w:rPr>
                <w:sz w:val="1"/>
                <w:szCs w:val="1"/>
                <w:color w:val="auto"/>
              </w:rPr>
            </w:pPr>
          </w:p>
        </w:tc>
        <w:tc>
          <w:tcPr>
            <w:tcW w:w="1040" w:type="dxa"/>
            <w:vAlign w:val="bottom"/>
            <w:tcBorders>
              <w:right w:val="single" w:sz="8" w:color="E4E4E4"/>
            </w:tcBorders>
            <w:shd w:val="clear" w:color="auto" w:fill="000000"/>
          </w:tcPr>
          <w:p>
            <w:pPr>
              <w:spacing w:after="0" w:line="20" w:lineRule="exact"/>
              <w:rPr>
                <w:sz w:val="1"/>
                <w:szCs w:val="1"/>
                <w:color w:val="auto"/>
              </w:rPr>
            </w:pPr>
          </w:p>
        </w:tc>
        <w:tc>
          <w:tcPr>
            <w:tcW w:w="80" w:type="dxa"/>
            <w:vAlign w:val="bottom"/>
            <w:shd w:val="clear" w:color="auto" w:fill="E4E4E4"/>
          </w:tcPr>
          <w:p>
            <w:pPr>
              <w:spacing w:after="0" w:line="20" w:lineRule="exact"/>
              <w:rPr>
                <w:sz w:val="1"/>
                <w:szCs w:val="1"/>
                <w:color w:val="auto"/>
              </w:rPr>
            </w:pPr>
          </w:p>
        </w:tc>
        <w:tc>
          <w:tcPr>
            <w:tcW w:w="100" w:type="dxa"/>
            <w:vAlign w:val="bottom"/>
            <w:tcBorders>
              <w:right w:val="single" w:sz="8" w:color="E4E4E4"/>
            </w:tcBorders>
            <w:shd w:val="clear" w:color="auto" w:fill="E4E4E4"/>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540" w:type="dxa"/>
            <w:vAlign w:val="bottom"/>
            <w:gridSpan w:val="2"/>
            <w:vMerge w:val="continue"/>
            <w:shd w:val="clear" w:color="auto" w:fill="E4E4E4"/>
          </w:tcPr>
          <w:p>
            <w:pPr>
              <w:spacing w:after="0"/>
              <w:rPr>
                <w:sz w:val="20"/>
                <w:szCs w:val="20"/>
                <w:color w:val="auto"/>
              </w:rPr>
            </w:pPr>
          </w:p>
        </w:tc>
        <w:tc>
          <w:tcPr>
            <w:tcW w:w="240" w:type="dxa"/>
            <w:vAlign w:val="bottom"/>
            <w:shd w:val="clear" w:color="auto" w:fill="E4E4E4"/>
          </w:tcPr>
          <w:p>
            <w:pPr>
              <w:spacing w:after="0"/>
              <w:rPr>
                <w:sz w:val="20"/>
                <w:szCs w:val="20"/>
                <w:color w:val="auto"/>
              </w:rPr>
            </w:pPr>
          </w:p>
        </w:tc>
        <w:tc>
          <w:tcPr>
            <w:tcW w:w="1040" w:type="dxa"/>
            <w:vAlign w:val="bottom"/>
            <w:tcBorders>
              <w:right w:val="single" w:sz="8" w:color="E4E4E4"/>
            </w:tcBorders>
            <w:shd w:val="clear" w:color="auto" w:fill="E4E4E4"/>
          </w:tcPr>
          <w:p>
            <w:pPr>
              <w:jc w:val="right"/>
              <w:spacing w:after="0" w:line="220" w:lineRule="exact"/>
              <w:rPr>
                <w:sz w:val="20"/>
                <w:szCs w:val="20"/>
                <w:color w:val="auto"/>
              </w:rPr>
            </w:pPr>
            <w:r>
              <w:rPr>
                <w:rFonts w:ascii="Arial" w:cs="Arial" w:eastAsia="Arial" w:hAnsi="Arial"/>
                <w:sz w:val="20"/>
                <w:szCs w:val="20"/>
                <w:color w:val="auto"/>
              </w:rPr>
              <w:t>(100,753)</w:t>
            </w:r>
          </w:p>
        </w:tc>
        <w:tc>
          <w:tcPr>
            <w:tcW w:w="80" w:type="dxa"/>
            <w:vAlign w:val="bottom"/>
            <w:shd w:val="clear" w:color="auto" w:fill="E4E4E4"/>
          </w:tcPr>
          <w:p>
            <w:pPr>
              <w:spacing w:after="0"/>
              <w:rPr>
                <w:sz w:val="20"/>
                <w:szCs w:val="20"/>
                <w:color w:val="auto"/>
              </w:rPr>
            </w:pPr>
          </w:p>
        </w:tc>
        <w:tc>
          <w:tcPr>
            <w:tcW w:w="100" w:type="dxa"/>
            <w:vAlign w:val="bottom"/>
            <w:tcBorders>
              <w:right w:val="single" w:sz="8" w:color="E4E4E4"/>
            </w:tcBorders>
            <w:shd w:val="clear" w:color="auto" w:fill="E4E4E4"/>
          </w:tcPr>
          <w:p>
            <w:pPr>
              <w:spacing w:after="0"/>
              <w:rPr>
                <w:sz w:val="20"/>
                <w:szCs w:val="20"/>
                <w:color w:val="auto"/>
              </w:rPr>
            </w:pPr>
          </w:p>
        </w:tc>
        <w:tc>
          <w:tcPr>
            <w:tcW w:w="280" w:type="dxa"/>
            <w:vAlign w:val="bottom"/>
            <w:shd w:val="clear" w:color="auto" w:fill="E4E4E4"/>
          </w:tcPr>
          <w:p>
            <w:pPr>
              <w:spacing w:after="0"/>
              <w:rPr>
                <w:sz w:val="20"/>
                <w:szCs w:val="20"/>
                <w:color w:val="auto"/>
              </w:rPr>
            </w:pPr>
          </w:p>
        </w:tc>
        <w:tc>
          <w:tcPr>
            <w:tcW w:w="1080" w:type="dxa"/>
            <w:vAlign w:val="bottom"/>
            <w:gridSpan w:val="2"/>
            <w:shd w:val="clear" w:color="auto" w:fill="E4E4E4"/>
          </w:tcPr>
          <w:p>
            <w:pPr>
              <w:jc w:val="right"/>
              <w:spacing w:after="0" w:line="220" w:lineRule="exact"/>
              <w:rPr>
                <w:sz w:val="20"/>
                <w:szCs w:val="20"/>
                <w:color w:val="auto"/>
              </w:rPr>
            </w:pPr>
            <w:r>
              <w:rPr>
                <w:rFonts w:ascii="Arial" w:cs="Arial" w:eastAsia="Arial" w:hAnsi="Arial"/>
                <w:sz w:val="20"/>
                <w:szCs w:val="20"/>
                <w:color w:val="auto"/>
              </w:rPr>
              <w:t>(72,469)</w:t>
            </w:r>
          </w:p>
        </w:tc>
        <w:tc>
          <w:tcPr>
            <w:tcW w:w="0" w:type="dxa"/>
            <w:vAlign w:val="bottom"/>
          </w:tcPr>
          <w:p>
            <w:pPr>
              <w:spacing w:after="0"/>
              <w:rPr>
                <w:sz w:val="1"/>
                <w:szCs w:val="1"/>
                <w:color w:val="auto"/>
              </w:rPr>
            </w:pPr>
          </w:p>
        </w:tc>
      </w:tr>
      <w:tr>
        <w:trPr>
          <w:trHeight w:val="200"/>
        </w:trPr>
        <w:tc>
          <w:tcPr>
            <w:tcW w:w="6540" w:type="dxa"/>
            <w:vAlign w:val="bottom"/>
            <w:tcBorders>
              <w:top w:val="single" w:sz="8" w:color="E4E4E4"/>
            </w:tcBorders>
            <w:gridSpan w:val="2"/>
          </w:tcPr>
          <w:p>
            <w:pPr>
              <w:spacing w:after="0" w:line="200" w:lineRule="exact"/>
              <w:rPr>
                <w:sz w:val="20"/>
                <w:szCs w:val="20"/>
                <w:color w:val="auto"/>
              </w:rPr>
            </w:pPr>
            <w:r>
              <w:rPr>
                <w:rFonts w:ascii="Arial" w:cs="Arial" w:eastAsia="Arial" w:hAnsi="Arial"/>
                <w:sz w:val="20"/>
                <w:szCs w:val="20"/>
                <w:b w:val="1"/>
                <w:bCs w:val="1"/>
                <w:color w:val="auto"/>
              </w:rPr>
              <w:t>Investing activities</w:t>
            </w: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E4E4E4"/>
            </w:tcBorders>
          </w:tcPr>
          <w:p>
            <w:pPr>
              <w:spacing w:after="0"/>
              <w:rPr>
                <w:sz w:val="17"/>
                <w:szCs w:val="17"/>
                <w:color w:val="auto"/>
              </w:rPr>
            </w:pPr>
          </w:p>
        </w:tc>
        <w:tc>
          <w:tcPr>
            <w:tcW w:w="100" w:type="dxa"/>
            <w:vAlign w:val="bottom"/>
            <w:tcBorders>
              <w:top w:val="single" w:sz="8" w:color="E4E4E4"/>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E4E4E4"/>
          </w:tcPr>
          <w:p>
            <w:pPr>
              <w:ind w:left="280"/>
              <w:spacing w:after="0"/>
              <w:rPr>
                <w:sz w:val="20"/>
                <w:szCs w:val="20"/>
                <w:color w:val="auto"/>
              </w:rPr>
            </w:pPr>
            <w:r>
              <w:rPr>
                <w:rFonts w:ascii="Arial" w:cs="Arial" w:eastAsia="Arial" w:hAnsi="Arial"/>
                <w:sz w:val="20"/>
                <w:szCs w:val="20"/>
                <w:color w:val="auto"/>
              </w:rPr>
              <w:t>Purchases of available-for-sale securities</w:t>
            </w:r>
          </w:p>
        </w:tc>
        <w:tc>
          <w:tcPr>
            <w:tcW w:w="240" w:type="dxa"/>
            <w:vAlign w:val="bottom"/>
            <w:shd w:val="clear" w:color="auto" w:fill="E4E4E4"/>
          </w:tcPr>
          <w:p>
            <w:pPr>
              <w:spacing w:after="0"/>
              <w:rPr>
                <w:sz w:val="20"/>
                <w:szCs w:val="20"/>
                <w:color w:val="auto"/>
              </w:rPr>
            </w:pPr>
          </w:p>
        </w:tc>
        <w:tc>
          <w:tcPr>
            <w:tcW w:w="104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(27,671)</w:t>
            </w:r>
          </w:p>
        </w:tc>
        <w:tc>
          <w:tcPr>
            <w:tcW w:w="80" w:type="dxa"/>
            <w:vAlign w:val="bottom"/>
            <w:shd w:val="clear" w:color="auto" w:fill="E4E4E4"/>
          </w:tcPr>
          <w:p>
            <w:pPr>
              <w:spacing w:after="0"/>
              <w:rPr>
                <w:sz w:val="20"/>
                <w:szCs w:val="20"/>
                <w:color w:val="auto"/>
              </w:rPr>
            </w:pPr>
          </w:p>
        </w:tc>
        <w:tc>
          <w:tcPr>
            <w:tcW w:w="100" w:type="dxa"/>
            <w:vAlign w:val="bottom"/>
            <w:tcBorders>
              <w:right w:val="single" w:sz="8" w:color="E4E4E4"/>
            </w:tcBorders>
            <w:shd w:val="clear" w:color="auto" w:fill="E4E4E4"/>
          </w:tcPr>
          <w:p>
            <w:pPr>
              <w:spacing w:after="0"/>
              <w:rPr>
                <w:sz w:val="20"/>
                <w:szCs w:val="20"/>
                <w:color w:val="auto"/>
              </w:rPr>
            </w:pPr>
          </w:p>
        </w:tc>
        <w:tc>
          <w:tcPr>
            <w:tcW w:w="280" w:type="dxa"/>
            <w:vAlign w:val="bottom"/>
            <w:shd w:val="clear" w:color="auto" w:fill="E4E4E4"/>
          </w:tcPr>
          <w:p>
            <w:pPr>
              <w:spacing w:after="0"/>
              <w:rPr>
                <w:sz w:val="20"/>
                <w:szCs w:val="20"/>
                <w:color w:val="auto"/>
              </w:rPr>
            </w:pPr>
          </w:p>
        </w:tc>
        <w:tc>
          <w:tcPr>
            <w:tcW w:w="9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(95,288</w:t>
            </w:r>
          </w:p>
        </w:tc>
        <w:tc>
          <w:tcPr>
            <w:tcW w:w="100" w:type="dxa"/>
            <w:vAlign w:val="bottom"/>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29"/>
        </w:trPr>
        <w:tc>
          <w:tcPr>
            <w:tcW w:w="6540" w:type="dxa"/>
            <w:vAlign w:val="bottom"/>
            <w:gridSpan w:val="2"/>
          </w:tcPr>
          <w:p>
            <w:pPr>
              <w:ind w:left="280"/>
              <w:spacing w:after="0"/>
              <w:rPr>
                <w:sz w:val="20"/>
                <w:szCs w:val="20"/>
                <w:color w:val="auto"/>
              </w:rPr>
            </w:pPr>
            <w:r>
              <w:rPr>
                <w:rFonts w:ascii="Arial" w:cs="Arial" w:eastAsia="Arial" w:hAnsi="Arial"/>
                <w:sz w:val="20"/>
                <w:szCs w:val="20"/>
                <w:color w:val="auto"/>
              </w:rPr>
              <w:t>Maturities of available-for-sale securities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123,064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154,093</w:t>
            </w: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E4E4E4"/>
          </w:tcPr>
          <w:p>
            <w:pPr>
              <w:ind w:left="280"/>
              <w:spacing w:after="0"/>
              <w:rPr>
                <w:sz w:val="20"/>
                <w:szCs w:val="20"/>
                <w:color w:val="auto"/>
              </w:rPr>
            </w:pPr>
            <w:r>
              <w:rPr>
                <w:rFonts w:ascii="Arial" w:cs="Arial" w:eastAsia="Arial" w:hAnsi="Arial"/>
                <w:sz w:val="20"/>
                <w:szCs w:val="20"/>
                <w:color w:val="auto"/>
              </w:rPr>
              <w:t>Purchases of property and equipment</w:t>
            </w:r>
          </w:p>
        </w:tc>
        <w:tc>
          <w:tcPr>
            <w:tcW w:w="240" w:type="dxa"/>
            <w:vAlign w:val="bottom"/>
            <w:shd w:val="clear" w:color="auto" w:fill="E4E4E4"/>
          </w:tcPr>
          <w:p>
            <w:pPr>
              <w:spacing w:after="0"/>
              <w:rPr>
                <w:sz w:val="20"/>
                <w:szCs w:val="20"/>
                <w:color w:val="auto"/>
              </w:rPr>
            </w:pPr>
          </w:p>
        </w:tc>
        <w:tc>
          <w:tcPr>
            <w:tcW w:w="104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(304)</w:t>
            </w:r>
          </w:p>
        </w:tc>
        <w:tc>
          <w:tcPr>
            <w:tcW w:w="80" w:type="dxa"/>
            <w:vAlign w:val="bottom"/>
            <w:shd w:val="clear" w:color="auto" w:fill="E4E4E4"/>
          </w:tcPr>
          <w:p>
            <w:pPr>
              <w:spacing w:after="0"/>
              <w:rPr>
                <w:sz w:val="20"/>
                <w:szCs w:val="20"/>
                <w:color w:val="auto"/>
              </w:rPr>
            </w:pPr>
          </w:p>
        </w:tc>
        <w:tc>
          <w:tcPr>
            <w:tcW w:w="100" w:type="dxa"/>
            <w:vAlign w:val="bottom"/>
            <w:tcBorders>
              <w:right w:val="single" w:sz="8" w:color="E4E4E4"/>
            </w:tcBorders>
            <w:shd w:val="clear" w:color="auto" w:fill="E4E4E4"/>
          </w:tcPr>
          <w:p>
            <w:pPr>
              <w:spacing w:after="0"/>
              <w:rPr>
                <w:sz w:val="20"/>
                <w:szCs w:val="20"/>
                <w:color w:val="auto"/>
              </w:rPr>
            </w:pPr>
          </w:p>
        </w:tc>
        <w:tc>
          <w:tcPr>
            <w:tcW w:w="280" w:type="dxa"/>
            <w:vAlign w:val="bottom"/>
            <w:shd w:val="clear" w:color="auto" w:fill="E4E4E4"/>
          </w:tcPr>
          <w:p>
            <w:pPr>
              <w:spacing w:after="0"/>
              <w:rPr>
                <w:sz w:val="20"/>
                <w:szCs w:val="20"/>
                <w:color w:val="auto"/>
              </w:rPr>
            </w:pPr>
          </w:p>
        </w:tc>
        <w:tc>
          <w:tcPr>
            <w:tcW w:w="108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(1,141)</w:t>
            </w:r>
          </w:p>
        </w:tc>
        <w:tc>
          <w:tcPr>
            <w:tcW w:w="0" w:type="dxa"/>
            <w:vAlign w:val="bottom"/>
          </w:tcPr>
          <w:p>
            <w:pPr>
              <w:spacing w:after="0"/>
              <w:rPr>
                <w:sz w:val="1"/>
                <w:szCs w:val="1"/>
                <w:color w:val="auto"/>
              </w:rPr>
            </w:pPr>
          </w:p>
        </w:tc>
      </w:tr>
      <w:tr>
        <w:trPr>
          <w:trHeight w:val="220"/>
        </w:trPr>
        <w:tc>
          <w:tcPr>
            <w:tcW w:w="6540" w:type="dxa"/>
            <w:vAlign w:val="bottom"/>
            <w:tcBorders>
              <w:bottom w:val="single" w:sz="8" w:color="E4E4E4"/>
            </w:tcBorders>
            <w:gridSpan w:val="2"/>
          </w:tcPr>
          <w:p>
            <w:pPr>
              <w:ind w:left="1120"/>
              <w:spacing w:after="0" w:line="220" w:lineRule="exact"/>
              <w:rPr>
                <w:sz w:val="20"/>
                <w:szCs w:val="20"/>
                <w:color w:val="auto"/>
              </w:rPr>
            </w:pPr>
            <w:r>
              <w:rPr>
                <w:rFonts w:ascii="Arial" w:cs="Arial" w:eastAsia="Arial" w:hAnsi="Arial"/>
                <w:sz w:val="20"/>
                <w:szCs w:val="20"/>
                <w:color w:val="auto"/>
              </w:rPr>
              <w:t>Net cash provided by investing activities</w:t>
            </w: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95,089</w:t>
            </w:r>
          </w:p>
        </w:tc>
        <w:tc>
          <w:tcPr>
            <w:tcW w:w="8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57,664</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gridSpan w:val="2"/>
            <w:shd w:val="clear" w:color="auto" w:fill="E4E4E4"/>
          </w:tcPr>
          <w:p>
            <w:pPr>
              <w:spacing w:after="0" w:line="220" w:lineRule="exact"/>
              <w:rPr>
                <w:sz w:val="20"/>
                <w:szCs w:val="20"/>
                <w:color w:val="auto"/>
              </w:rPr>
            </w:pPr>
            <w:r>
              <w:rPr>
                <w:rFonts w:ascii="Arial" w:cs="Arial" w:eastAsia="Arial" w:hAnsi="Arial"/>
                <w:sz w:val="20"/>
                <w:szCs w:val="20"/>
                <w:b w:val="1"/>
                <w:bCs w:val="1"/>
                <w:color w:val="auto"/>
              </w:rPr>
              <w:t>Financing activities</w:t>
            </w:r>
          </w:p>
        </w:tc>
        <w:tc>
          <w:tcPr>
            <w:tcW w:w="240" w:type="dxa"/>
            <w:vAlign w:val="bottom"/>
            <w:shd w:val="clear" w:color="auto" w:fill="E4E4E4"/>
          </w:tcPr>
          <w:p>
            <w:pPr>
              <w:spacing w:after="0"/>
              <w:rPr>
                <w:sz w:val="19"/>
                <w:szCs w:val="19"/>
                <w:color w:val="auto"/>
              </w:rPr>
            </w:pPr>
          </w:p>
        </w:tc>
        <w:tc>
          <w:tcPr>
            <w:tcW w:w="1040" w:type="dxa"/>
            <w:vAlign w:val="bottom"/>
            <w:tcBorders>
              <w:right w:val="single" w:sz="8" w:color="E4E4E4"/>
            </w:tcBorders>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00" w:type="dxa"/>
            <w:vAlign w:val="bottom"/>
            <w:tcBorders>
              <w:right w:val="single" w:sz="8" w:color="E4E4E4"/>
            </w:tcBorders>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40" w:type="dxa"/>
            <w:vAlign w:val="bottom"/>
            <w:gridSpan w:val="2"/>
          </w:tcPr>
          <w:p>
            <w:pPr>
              <w:ind w:left="280"/>
              <w:spacing w:after="0" w:line="210" w:lineRule="exact"/>
              <w:rPr>
                <w:sz w:val="20"/>
                <w:szCs w:val="20"/>
                <w:color w:val="auto"/>
              </w:rPr>
            </w:pPr>
            <w:r>
              <w:rPr>
                <w:rFonts w:ascii="Arial" w:cs="Arial" w:eastAsia="Arial" w:hAnsi="Arial"/>
                <w:sz w:val="20"/>
                <w:szCs w:val="20"/>
                <w:color w:val="auto"/>
              </w:rPr>
              <w:t>Proceeds from exercise of common stock options and issuance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540" w:type="dxa"/>
            <w:vAlign w:val="bottom"/>
            <w:gridSpan w:val="2"/>
          </w:tcPr>
          <w:p>
            <w:pPr>
              <w:ind w:left="440"/>
              <w:spacing w:after="0"/>
              <w:rPr>
                <w:sz w:val="20"/>
                <w:szCs w:val="20"/>
                <w:color w:val="auto"/>
              </w:rPr>
            </w:pPr>
            <w:r>
              <w:rPr>
                <w:rFonts w:ascii="Arial" w:cs="Arial" w:eastAsia="Arial" w:hAnsi="Arial"/>
                <w:sz w:val="20"/>
                <w:szCs w:val="20"/>
                <w:color w:val="auto"/>
              </w:rPr>
              <w:t>of common stock under employee stock purchase plan</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493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654</w:t>
            </w:r>
          </w:p>
        </w:tc>
        <w:tc>
          <w:tcPr>
            <w:tcW w:w="0" w:type="dxa"/>
            <w:vAlign w:val="bottom"/>
          </w:tcPr>
          <w:p>
            <w:pPr>
              <w:spacing w:after="0"/>
              <w:rPr>
                <w:sz w:val="1"/>
                <w:szCs w:val="1"/>
                <w:color w:val="auto"/>
              </w:rPr>
            </w:pPr>
          </w:p>
        </w:tc>
      </w:tr>
      <w:tr>
        <w:trPr>
          <w:trHeight w:val="20"/>
        </w:trPr>
        <w:tc>
          <w:tcPr>
            <w:tcW w:w="6540" w:type="dxa"/>
            <w:vAlign w:val="bottom"/>
            <w:gridSpan w:val="2"/>
            <w:vMerge w:val="restart"/>
            <w:shd w:val="clear" w:color="auto" w:fill="E4E4E4"/>
          </w:tcPr>
          <w:p>
            <w:pPr>
              <w:ind w:left="1120"/>
              <w:spacing w:after="0"/>
              <w:rPr>
                <w:sz w:val="20"/>
                <w:szCs w:val="20"/>
                <w:color w:val="auto"/>
              </w:rPr>
            </w:pPr>
            <w:r>
              <w:rPr>
                <w:rFonts w:ascii="Arial" w:cs="Arial" w:eastAsia="Arial" w:hAnsi="Arial"/>
                <w:sz w:val="20"/>
                <w:szCs w:val="20"/>
                <w:color w:val="auto"/>
              </w:rPr>
              <w:t>Net cash provided by financing activities</w:t>
            </w:r>
          </w:p>
        </w:tc>
        <w:tc>
          <w:tcPr>
            <w:tcW w:w="240" w:type="dxa"/>
            <w:vAlign w:val="bottom"/>
            <w:shd w:val="clear" w:color="auto" w:fill="000000"/>
          </w:tcPr>
          <w:p>
            <w:pPr>
              <w:spacing w:after="0" w:line="20" w:lineRule="exact"/>
              <w:rPr>
                <w:sz w:val="1"/>
                <w:szCs w:val="1"/>
                <w:color w:val="auto"/>
              </w:rPr>
            </w:pPr>
          </w:p>
        </w:tc>
        <w:tc>
          <w:tcPr>
            <w:tcW w:w="1040" w:type="dxa"/>
            <w:vAlign w:val="bottom"/>
            <w:tcBorders>
              <w:right w:val="single" w:sz="8" w:color="E4E4E4"/>
            </w:tcBorders>
            <w:shd w:val="clear" w:color="auto" w:fill="000000"/>
          </w:tcPr>
          <w:p>
            <w:pPr>
              <w:spacing w:after="0" w:line="20" w:lineRule="exact"/>
              <w:rPr>
                <w:sz w:val="1"/>
                <w:szCs w:val="1"/>
                <w:color w:val="auto"/>
              </w:rPr>
            </w:pPr>
          </w:p>
        </w:tc>
        <w:tc>
          <w:tcPr>
            <w:tcW w:w="80" w:type="dxa"/>
            <w:vAlign w:val="bottom"/>
            <w:shd w:val="clear" w:color="auto" w:fill="E4E4E4"/>
          </w:tcPr>
          <w:p>
            <w:pPr>
              <w:spacing w:after="0" w:line="20" w:lineRule="exact"/>
              <w:rPr>
                <w:sz w:val="1"/>
                <w:szCs w:val="1"/>
                <w:color w:val="auto"/>
              </w:rPr>
            </w:pPr>
          </w:p>
        </w:tc>
        <w:tc>
          <w:tcPr>
            <w:tcW w:w="100" w:type="dxa"/>
            <w:vAlign w:val="bottom"/>
            <w:tcBorders>
              <w:right w:val="single" w:sz="8" w:color="E4E4E4"/>
            </w:tcBorders>
            <w:shd w:val="clear" w:color="auto" w:fill="E4E4E4"/>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540" w:type="dxa"/>
            <w:vAlign w:val="bottom"/>
            <w:gridSpan w:val="2"/>
            <w:vMerge w:val="continue"/>
            <w:shd w:val="clear" w:color="auto" w:fill="E4E4E4"/>
          </w:tcPr>
          <w:p>
            <w:pPr>
              <w:spacing w:after="0"/>
              <w:rPr>
                <w:sz w:val="20"/>
                <w:szCs w:val="20"/>
                <w:color w:val="auto"/>
              </w:rPr>
            </w:pPr>
          </w:p>
        </w:tc>
        <w:tc>
          <w:tcPr>
            <w:tcW w:w="240" w:type="dxa"/>
            <w:vAlign w:val="bottom"/>
            <w:shd w:val="clear" w:color="auto" w:fill="E4E4E4"/>
          </w:tcPr>
          <w:p>
            <w:pPr>
              <w:spacing w:after="0"/>
              <w:rPr>
                <w:sz w:val="20"/>
                <w:szCs w:val="20"/>
                <w:color w:val="auto"/>
              </w:rPr>
            </w:pPr>
          </w:p>
        </w:tc>
        <w:tc>
          <w:tcPr>
            <w:tcW w:w="1040" w:type="dxa"/>
            <w:vAlign w:val="bottom"/>
            <w:tcBorders>
              <w:right w:val="single" w:sz="8" w:color="E4E4E4"/>
            </w:tcBorders>
            <w:shd w:val="clear" w:color="auto" w:fill="E4E4E4"/>
          </w:tcPr>
          <w:p>
            <w:pPr>
              <w:jc w:val="right"/>
              <w:spacing w:after="0" w:line="220" w:lineRule="exact"/>
              <w:rPr>
                <w:sz w:val="20"/>
                <w:szCs w:val="20"/>
                <w:color w:val="auto"/>
              </w:rPr>
            </w:pPr>
            <w:r>
              <w:rPr>
                <w:rFonts w:ascii="Arial" w:cs="Arial" w:eastAsia="Arial" w:hAnsi="Arial"/>
                <w:sz w:val="20"/>
                <w:szCs w:val="20"/>
                <w:color w:val="auto"/>
              </w:rPr>
              <w:t>493</w:t>
            </w:r>
          </w:p>
        </w:tc>
        <w:tc>
          <w:tcPr>
            <w:tcW w:w="80" w:type="dxa"/>
            <w:vAlign w:val="bottom"/>
            <w:shd w:val="clear" w:color="auto" w:fill="E4E4E4"/>
          </w:tcPr>
          <w:p>
            <w:pPr>
              <w:spacing w:after="0"/>
              <w:rPr>
                <w:sz w:val="20"/>
                <w:szCs w:val="20"/>
                <w:color w:val="auto"/>
              </w:rPr>
            </w:pPr>
          </w:p>
        </w:tc>
        <w:tc>
          <w:tcPr>
            <w:tcW w:w="100" w:type="dxa"/>
            <w:vAlign w:val="bottom"/>
            <w:tcBorders>
              <w:right w:val="single" w:sz="8" w:color="E4E4E4"/>
            </w:tcBorders>
            <w:shd w:val="clear" w:color="auto" w:fill="E4E4E4"/>
          </w:tcPr>
          <w:p>
            <w:pPr>
              <w:spacing w:after="0"/>
              <w:rPr>
                <w:sz w:val="20"/>
                <w:szCs w:val="20"/>
                <w:color w:val="auto"/>
              </w:rPr>
            </w:pPr>
          </w:p>
        </w:tc>
        <w:tc>
          <w:tcPr>
            <w:tcW w:w="280" w:type="dxa"/>
            <w:vAlign w:val="bottom"/>
            <w:shd w:val="clear" w:color="auto" w:fill="E4E4E4"/>
          </w:tcPr>
          <w:p>
            <w:pPr>
              <w:spacing w:after="0"/>
              <w:rPr>
                <w:sz w:val="20"/>
                <w:szCs w:val="20"/>
                <w:color w:val="auto"/>
              </w:rPr>
            </w:pPr>
          </w:p>
        </w:tc>
        <w:tc>
          <w:tcPr>
            <w:tcW w:w="1080" w:type="dxa"/>
            <w:vAlign w:val="bottom"/>
            <w:gridSpan w:val="2"/>
            <w:shd w:val="clear" w:color="auto" w:fill="E4E4E4"/>
          </w:tcPr>
          <w:p>
            <w:pPr>
              <w:jc w:val="right"/>
              <w:spacing w:after="0" w:line="220" w:lineRule="exact"/>
              <w:rPr>
                <w:sz w:val="20"/>
                <w:szCs w:val="20"/>
                <w:color w:val="auto"/>
              </w:rPr>
            </w:pPr>
            <w:r>
              <w:rPr>
                <w:rFonts w:ascii="Arial" w:cs="Arial" w:eastAsia="Arial" w:hAnsi="Arial"/>
                <w:sz w:val="20"/>
                <w:szCs w:val="20"/>
                <w:color w:val="auto"/>
              </w:rPr>
              <w:t>654</w:t>
            </w:r>
          </w:p>
        </w:tc>
        <w:tc>
          <w:tcPr>
            <w:tcW w:w="0" w:type="dxa"/>
            <w:vAlign w:val="bottom"/>
          </w:tcPr>
          <w:p>
            <w:pPr>
              <w:spacing w:after="0"/>
              <w:rPr>
                <w:sz w:val="1"/>
                <w:szCs w:val="1"/>
                <w:color w:val="auto"/>
              </w:rPr>
            </w:pPr>
          </w:p>
        </w:tc>
      </w:tr>
      <w:tr>
        <w:trPr>
          <w:trHeight w:val="200"/>
        </w:trPr>
        <w:tc>
          <w:tcPr>
            <w:tcW w:w="6540" w:type="dxa"/>
            <w:vAlign w:val="bottom"/>
            <w:gridSpan w:val="2"/>
          </w:tcPr>
          <w:p>
            <w:pPr>
              <w:spacing w:after="0" w:line="200" w:lineRule="exact"/>
              <w:rPr>
                <w:sz w:val="20"/>
                <w:szCs w:val="20"/>
                <w:color w:val="auto"/>
              </w:rPr>
            </w:pPr>
            <w:r>
              <w:rPr>
                <w:rFonts w:ascii="Arial" w:cs="Arial" w:eastAsia="Arial" w:hAnsi="Arial"/>
                <w:sz w:val="20"/>
                <w:szCs w:val="20"/>
                <w:color w:val="auto"/>
              </w:rPr>
              <w:t>Net decrease in cash, cash equivalents and restricted cash</w:t>
            </w: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(5,171)</w:t>
            </w:r>
          </w:p>
        </w:tc>
        <w:tc>
          <w:tcPr>
            <w:tcW w:w="80" w:type="dxa"/>
            <w:vAlign w:val="bottom"/>
            <w:tcBorders>
              <w:top w:val="single" w:sz="8" w:color="E4E4E4"/>
            </w:tcBorders>
          </w:tcPr>
          <w:p>
            <w:pPr>
              <w:spacing w:after="0"/>
              <w:rPr>
                <w:sz w:val="17"/>
                <w:szCs w:val="17"/>
                <w:color w:val="auto"/>
              </w:rPr>
            </w:pPr>
          </w:p>
        </w:tc>
        <w:tc>
          <w:tcPr>
            <w:tcW w:w="100" w:type="dxa"/>
            <w:vAlign w:val="bottom"/>
            <w:tcBorders>
              <w:top w:val="single" w:sz="8" w:color="E4E4E4"/>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(14,151</w:t>
            </w:r>
          </w:p>
        </w:tc>
        <w:tc>
          <w:tcPr>
            <w:tcW w:w="100" w:type="dxa"/>
            <w:vAlign w:val="bottom"/>
            <w:tcBorders>
              <w:top w:val="single" w:sz="8" w:color="E4E4E4"/>
            </w:tcBorders>
          </w:tcPr>
          <w:p>
            <w:pPr>
              <w:jc w:val="right"/>
              <w:spacing w:after="0" w:line="200" w:lineRule="exact"/>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E4E4E4"/>
          </w:tcPr>
          <w:p>
            <w:pPr>
              <w:spacing w:after="0"/>
              <w:rPr>
                <w:sz w:val="20"/>
                <w:szCs w:val="20"/>
                <w:color w:val="auto"/>
              </w:rPr>
            </w:pPr>
            <w:r>
              <w:rPr>
                <w:rFonts w:ascii="Arial" w:cs="Arial" w:eastAsia="Arial" w:hAnsi="Arial"/>
                <w:sz w:val="20"/>
                <w:szCs w:val="20"/>
                <w:color w:val="auto"/>
              </w:rPr>
              <w:t>Cash, cash equivalents and restricted cash, beginning of period</w:t>
            </w:r>
          </w:p>
        </w:tc>
        <w:tc>
          <w:tcPr>
            <w:tcW w:w="240" w:type="dxa"/>
            <w:vAlign w:val="bottom"/>
            <w:shd w:val="clear" w:color="auto" w:fill="E4E4E4"/>
          </w:tcPr>
          <w:p>
            <w:pPr>
              <w:spacing w:after="0"/>
              <w:rPr>
                <w:sz w:val="20"/>
                <w:szCs w:val="20"/>
                <w:color w:val="auto"/>
              </w:rPr>
            </w:pPr>
          </w:p>
        </w:tc>
        <w:tc>
          <w:tcPr>
            <w:tcW w:w="104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96,386</w:t>
            </w:r>
          </w:p>
        </w:tc>
        <w:tc>
          <w:tcPr>
            <w:tcW w:w="80" w:type="dxa"/>
            <w:vAlign w:val="bottom"/>
            <w:shd w:val="clear" w:color="auto" w:fill="E4E4E4"/>
          </w:tcPr>
          <w:p>
            <w:pPr>
              <w:spacing w:after="0"/>
              <w:rPr>
                <w:sz w:val="20"/>
                <w:szCs w:val="20"/>
                <w:color w:val="auto"/>
              </w:rPr>
            </w:pPr>
          </w:p>
        </w:tc>
        <w:tc>
          <w:tcPr>
            <w:tcW w:w="100" w:type="dxa"/>
            <w:vAlign w:val="bottom"/>
            <w:tcBorders>
              <w:right w:val="single" w:sz="8" w:color="E4E4E4"/>
            </w:tcBorders>
            <w:shd w:val="clear" w:color="auto" w:fill="E4E4E4"/>
          </w:tcPr>
          <w:p>
            <w:pPr>
              <w:spacing w:after="0"/>
              <w:rPr>
                <w:sz w:val="20"/>
                <w:szCs w:val="20"/>
                <w:color w:val="auto"/>
              </w:rPr>
            </w:pPr>
          </w:p>
        </w:tc>
        <w:tc>
          <w:tcPr>
            <w:tcW w:w="280" w:type="dxa"/>
            <w:vAlign w:val="bottom"/>
            <w:shd w:val="clear" w:color="auto" w:fill="E4E4E4"/>
          </w:tcPr>
          <w:p>
            <w:pPr>
              <w:spacing w:after="0"/>
              <w:rPr>
                <w:sz w:val="20"/>
                <w:szCs w:val="20"/>
                <w:color w:val="auto"/>
              </w:rPr>
            </w:pPr>
          </w:p>
        </w:tc>
        <w:tc>
          <w:tcPr>
            <w:tcW w:w="108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110,537</w:t>
            </w:r>
          </w:p>
        </w:tc>
        <w:tc>
          <w:tcPr>
            <w:tcW w:w="0" w:type="dxa"/>
            <w:vAlign w:val="bottom"/>
          </w:tcPr>
          <w:p>
            <w:pPr>
              <w:spacing w:after="0"/>
              <w:rPr>
                <w:sz w:val="1"/>
                <w:szCs w:val="1"/>
                <w:color w:val="auto"/>
              </w:rPr>
            </w:pPr>
          </w:p>
        </w:tc>
      </w:tr>
      <w:tr>
        <w:trPr>
          <w:trHeight w:val="221"/>
        </w:trPr>
        <w:tc>
          <w:tcPr>
            <w:tcW w:w="6540" w:type="dxa"/>
            <w:vAlign w:val="bottom"/>
            <w:gridSpan w:val="2"/>
          </w:tcPr>
          <w:p>
            <w:pPr>
              <w:spacing w:after="0" w:line="221" w:lineRule="exact"/>
              <w:rPr>
                <w:sz w:val="20"/>
                <w:szCs w:val="20"/>
                <w:color w:val="auto"/>
              </w:rPr>
            </w:pPr>
            <w:r>
              <w:rPr>
                <w:rFonts w:ascii="Arial" w:cs="Arial" w:eastAsia="Arial" w:hAnsi="Arial"/>
                <w:sz w:val="20"/>
                <w:szCs w:val="20"/>
                <w:color w:val="auto"/>
              </w:rPr>
              <w:t>Cash, cash equivalents and restricted cash, end of period</w:t>
            </w:r>
          </w:p>
        </w:tc>
        <w:tc>
          <w:tcPr>
            <w:tcW w:w="240" w:type="dxa"/>
            <w:vAlign w:val="bottom"/>
            <w:tcBorders>
              <w:top w:val="single" w:sz="8" w:color="auto"/>
            </w:tcBorders>
          </w:tcPr>
          <w:p>
            <w:pPr>
              <w:jc w:val="right"/>
              <w:ind w:right="40"/>
              <w:spacing w:after="0" w:line="221" w:lineRule="exact"/>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tcPr>
          <w:p>
            <w:pPr>
              <w:jc w:val="right"/>
              <w:spacing w:after="0" w:line="221" w:lineRule="exact"/>
              <w:rPr>
                <w:sz w:val="20"/>
                <w:szCs w:val="20"/>
                <w:color w:val="auto"/>
              </w:rPr>
            </w:pPr>
            <w:r>
              <w:rPr>
                <w:rFonts w:ascii="Arial" w:cs="Arial" w:eastAsia="Arial" w:hAnsi="Arial"/>
                <w:sz w:val="20"/>
                <w:szCs w:val="20"/>
                <w:color w:val="auto"/>
              </w:rPr>
              <w:t>91,215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80"/>
              <w:spacing w:after="0" w:line="221" w:lineRule="exact"/>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tcBorders>
          </w:tcPr>
          <w:p>
            <w:pPr>
              <w:jc w:val="right"/>
              <w:spacing w:after="0" w:line="221" w:lineRule="exact"/>
              <w:rPr>
                <w:sz w:val="20"/>
                <w:szCs w:val="20"/>
                <w:color w:val="auto"/>
              </w:rPr>
            </w:pPr>
            <w:r>
              <w:rPr>
                <w:rFonts w:ascii="Arial" w:cs="Arial" w:eastAsia="Arial" w:hAnsi="Arial"/>
                <w:sz w:val="20"/>
                <w:szCs w:val="20"/>
                <w:color w:val="auto"/>
              </w:rPr>
              <w:t>96,386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-1815465</wp:posOffset>
                </wp:positionV>
                <wp:extent cx="414337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4337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2.9499pt" to="326.25pt,-142.94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4954905</wp:posOffset>
                </wp:positionH>
                <wp:positionV relativeFrom="paragraph">
                  <wp:posOffset>-1815465</wp:posOffset>
                </wp:positionV>
                <wp:extent cx="11811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11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15pt,-142.9499pt" to="399.45pt,-142.94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4954905</wp:posOffset>
                </wp:positionH>
                <wp:positionV relativeFrom="paragraph">
                  <wp:posOffset>-476250</wp:posOffset>
                </wp:positionV>
                <wp:extent cx="11811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11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15pt,-37.4999pt" to="399.45pt,-37.49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5884545</wp:posOffset>
                </wp:positionH>
                <wp:positionV relativeFrom="paragraph">
                  <wp:posOffset>-476250</wp:posOffset>
                </wp:positionV>
                <wp:extent cx="5842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2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35pt,-37.4999pt" to="467.95pt,-37.4999pt" o:allowincell="f" strokecolor="#FFFFFF" strokeweight="0.4809pt"/>
            </w:pict>
          </mc:Fallback>
        </mc:AlternateConten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accompanying notes are an integral part of these consolidated financial statements.</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139</w:t>
      </w:r>
    </w:p>
    <w:p>
      <w:pPr>
        <w:sectPr>
          <w:pgSz w:w="11880" w:h="15474" w:orient="portrait"/>
          <w:cols w:equalWidth="0" w:num="1">
            <w:col w:w="9360"/>
          </w:cols>
          <w:pgMar w:left="1240" w:top="1251" w:right="1274" w:bottom="0" w:gutter="0" w:footer="0" w:header="0"/>
          <w:type w:val="continuous"/>
        </w:sectPr>
      </w:pPr>
    </w:p>
    <w:bookmarkStart w:id="145" w:name="page146"/>
    <w:bookmarkEnd w:id="145"/>
    <w:p>
      <w:pPr>
        <w:spacing w:after="0" w:line="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ATHIRA PHARMA,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10" w:lineRule="exact"/>
        <w:rPr>
          <w:sz w:val="20"/>
          <w:szCs w:val="20"/>
          <w:color w:val="auto"/>
        </w:rPr>
      </w:pPr>
    </w:p>
    <w:p>
      <w:pPr>
        <w:ind w:left="480" w:right="6840" w:hanging="480"/>
        <w:spacing w:after="0" w:line="367" w:lineRule="auto"/>
        <w:tabs>
          <w:tab w:leader="none" w:pos="213"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Description of Business </w:t>
      </w:r>
      <w:r>
        <w:rPr>
          <w:rFonts w:ascii="Arial" w:cs="Arial" w:eastAsia="Arial" w:hAnsi="Arial"/>
          <w:sz w:val="20"/>
          <w:szCs w:val="20"/>
          <w:b w:val="1"/>
          <w:bCs w:val="1"/>
          <w:i w:val="1"/>
          <w:iCs w:val="1"/>
          <w:color w:val="auto"/>
        </w:rPr>
        <w:t>Organization</w:t>
      </w:r>
    </w:p>
    <w:p>
      <w:pPr>
        <w:jc w:val="both"/>
        <w:ind w:firstLine="490"/>
        <w:spacing w:after="0" w:line="250" w:lineRule="auto"/>
        <w:rPr>
          <w:sz w:val="20"/>
          <w:szCs w:val="20"/>
          <w:color w:val="auto"/>
        </w:rPr>
      </w:pPr>
      <w:r>
        <w:rPr>
          <w:rFonts w:ascii="Arial" w:cs="Arial" w:eastAsia="Arial" w:hAnsi="Arial"/>
          <w:sz w:val="20"/>
          <w:szCs w:val="20"/>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Bothell, Washington. The Company is a late clinical-stage biopharmaceutical company focused on developing small molecules to restore neuronal health and slow neurodegeneration.</w:t>
      </w:r>
    </w:p>
    <w:p>
      <w:pPr>
        <w:spacing w:after="0" w:line="316"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Liquidity and Capital Resources</w:t>
      </w:r>
    </w:p>
    <w:p>
      <w:pPr>
        <w:spacing w:after="0" w:line="117" w:lineRule="exact"/>
        <w:rPr>
          <w:sz w:val="20"/>
          <w:szCs w:val="20"/>
          <w:color w:val="auto"/>
        </w:rPr>
      </w:pPr>
    </w:p>
    <w:p>
      <w:pPr>
        <w:jc w:val="both"/>
        <w:ind w:firstLine="490"/>
        <w:spacing w:after="0" w:line="258" w:lineRule="auto"/>
        <w:rPr>
          <w:sz w:val="20"/>
          <w:szCs w:val="20"/>
          <w:color w:val="auto"/>
        </w:rPr>
      </w:pPr>
      <w:r>
        <w:rPr>
          <w:rFonts w:ascii="Arial" w:cs="Arial" w:eastAsia="Arial" w:hAnsi="Arial"/>
          <w:sz w:val="19"/>
          <w:szCs w:val="19"/>
          <w:color w:val="auto"/>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December 31, 2023, it has raised aggregate net cash proceeds of $407.4 million primarily from the issuance of its common stock (excluding option exercises), convertible preferred stock, common stock warrants, and convertible notes. As of December 31, 2023, the Company had $147.4 million in cash, cash equivalents, and investments and had not generated positive cash flows from operations.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spacing w:after="0" w:line="187"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Based upon the Company’s current operating plan, it estimates that its $147.4 million of cash, cash equivalents, and investments at December 31, 2023 will be sufficient to fund its operating expenses and capital expenditure requirements through at least the next 12 months following the date of the Company’s Annual Report on Form 10-K.</w:t>
      </w:r>
    </w:p>
    <w:p>
      <w:pPr>
        <w:spacing w:after="0" w:line="311"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At The Market Common Stock Offering</w:t>
      </w:r>
    </w:p>
    <w:p>
      <w:pPr>
        <w:spacing w:after="0" w:line="114" w:lineRule="exact"/>
        <w:rPr>
          <w:sz w:val="20"/>
          <w:szCs w:val="20"/>
          <w:color w:val="auto"/>
        </w:rPr>
      </w:pPr>
    </w:p>
    <w:p>
      <w:pPr>
        <w:jc w:val="both"/>
        <w:ind w:firstLine="489"/>
        <w:spacing w:after="0" w:line="254" w:lineRule="auto"/>
        <w:rPr>
          <w:sz w:val="20"/>
          <w:szCs w:val="20"/>
          <w:color w:val="auto"/>
        </w:rPr>
      </w:pPr>
      <w:r>
        <w:rPr>
          <w:rFonts w:ascii="Arial" w:cs="Arial" w:eastAsia="Arial" w:hAnsi="Arial"/>
          <w:sz w:val="20"/>
          <w:szCs w:val="20"/>
          <w:color w:val="auto"/>
        </w:rPr>
        <w:t>In January 2023, the Company entered into a sales agreement with Cantor Fitzgerald and BTIG to sell shares of our common stock having aggregate sales proceeds of up to $75.0 million, from time to time, through an “at the market” (“ATM”) equity offering program under which Cantor and BTIG are acting as sales agents. The Company has not sold any securities pursuant to this ATM offering.</w:t>
      </w:r>
    </w:p>
    <w:p>
      <w:pPr>
        <w:spacing w:after="0" w:line="303" w:lineRule="exact"/>
        <w:rPr>
          <w:sz w:val="20"/>
          <w:szCs w:val="20"/>
          <w:color w:val="auto"/>
        </w:rPr>
      </w:pPr>
    </w:p>
    <w:p>
      <w:pPr>
        <w:ind w:left="480" w:right="6140" w:hanging="480"/>
        <w:spacing w:after="0" w:line="367" w:lineRule="auto"/>
        <w:tabs>
          <w:tab w:leader="none" w:pos="213"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Significant Accounting Policies </w:t>
      </w:r>
      <w:r>
        <w:rPr>
          <w:rFonts w:ascii="Arial" w:cs="Arial" w:eastAsia="Arial" w:hAnsi="Arial"/>
          <w:sz w:val="20"/>
          <w:szCs w:val="20"/>
          <w:b w:val="1"/>
          <w:bCs w:val="1"/>
          <w:i w:val="1"/>
          <w:iCs w:val="1"/>
          <w:color w:val="auto"/>
        </w:rPr>
        <w:t>Basis of Presentation</w:t>
      </w:r>
    </w:p>
    <w:p>
      <w:pPr>
        <w:jc w:val="both"/>
        <w:ind w:firstLine="490"/>
        <w:spacing w:after="0" w:line="254" w:lineRule="auto"/>
        <w:rPr>
          <w:sz w:val="20"/>
          <w:szCs w:val="20"/>
          <w:color w:val="auto"/>
        </w:rPr>
      </w:pPr>
      <w:r>
        <w:rPr>
          <w:rFonts w:ascii="Arial" w:cs="Arial" w:eastAsia="Arial" w:hAnsi="Arial"/>
          <w:sz w:val="20"/>
          <w:szCs w:val="20"/>
          <w:color w:val="auto"/>
        </w:rPr>
        <w:t>The consolidated financial statements have been prepared in conformity with U.S. generally accepted accounting principles (“U.S. GAAP”). The consolidated financial statements include the operations of Athira Pharma, Inc., and its wholly owned Australian subsidiary. All intercompany balances and transactions have been eliminated upon consolidation.</w:t>
      </w:r>
    </w:p>
    <w:p>
      <w:pPr>
        <w:spacing w:after="0" w:line="311"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Use of Estimates</w:t>
      </w:r>
    </w:p>
    <w:p>
      <w:pPr>
        <w:spacing w:after="0" w:line="115"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9"/>
          <w:szCs w:val="19"/>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 based compensation. Management evaluates related assumptions on an ongoing basis using historical experience and other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140</w:t>
      </w:r>
    </w:p>
    <w:p>
      <w:pPr>
        <w:sectPr>
          <w:pgSz w:w="11880" w:h="15474" w:orient="portrait"/>
          <w:cols w:equalWidth="0" w:num="1">
            <w:col w:w="9360"/>
          </w:cols>
          <w:pgMar w:left="1240" w:top="1440" w:right="1274" w:bottom="0" w:gutter="0" w:footer="0" w:header="0"/>
        </w:sectPr>
      </w:pPr>
    </w:p>
    <w:bookmarkStart w:id="146" w:name="page147"/>
    <w:bookmarkEnd w:id="146"/>
    <w:p>
      <w:pPr>
        <w:jc w:val="both"/>
        <w:spacing w:after="0" w:line="282" w:lineRule="auto"/>
        <w:rPr>
          <w:sz w:val="20"/>
          <w:szCs w:val="20"/>
          <w:color w:val="auto"/>
        </w:rPr>
      </w:pPr>
      <w:r>
        <w:rPr>
          <w:rFonts w:ascii="Arial" w:cs="Arial" w:eastAsia="Arial" w:hAnsi="Arial"/>
          <w:sz w:val="20"/>
          <w:szCs w:val="20"/>
          <w:color w:val="auto"/>
        </w:rPr>
        <w:t>factors and adjusts those estimates and assumptions when facts and circumstances dictate. Actual results could differ from those estimates.</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Cash and Cash Equivalents</w:t>
      </w:r>
    </w:p>
    <w:p>
      <w:pPr>
        <w:spacing w:after="0" w:line="116"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The Company considers highly liquid investments with original maturities of three months or less to be cash equivalents.</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Restricted Cash</w:t>
      </w:r>
    </w:p>
    <w:p>
      <w:pPr>
        <w:spacing w:after="0" w:line="116"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Restricted cash consists primarily of collateral pledged in connection with the Company's corporate credit cards. The table below reconciles the balances of cash and cash equivalents and restricted cash reported on the consolidated balance sheets to the balances of cash, cash equivalents and restricted cash reported on the consolidated statements of cash flows.</w:t>
      </w:r>
    </w:p>
    <w:p>
      <w:pPr>
        <w:spacing w:after="0" w:line="68" w:lineRule="exact"/>
        <w:rPr>
          <w:sz w:val="20"/>
          <w:szCs w:val="20"/>
          <w:color w:val="auto"/>
        </w:rPr>
      </w:pPr>
    </w:p>
    <w:tbl>
      <w:tblPr>
        <w:tblLayout w:type="fixed"/>
        <w:tblInd w:w="940" w:type="dxa"/>
        <w:tblCellMar>
          <w:top w:w="0" w:type="dxa"/>
          <w:left w:w="0" w:type="dxa"/>
          <w:bottom w:w="0" w:type="dxa"/>
          <w:right w:w="0" w:type="dxa"/>
        </w:tblCellMar>
      </w:tblPr>
      <w:tr>
        <w:trPr>
          <w:trHeight w:val="202"/>
        </w:trPr>
        <w:tc>
          <w:tcPr>
            <w:tcW w:w="5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6"/>
          </w:tcPr>
          <w:p>
            <w:pPr>
              <w:ind w:left="460"/>
              <w:spacing w:after="0"/>
              <w:rPr>
                <w:sz w:val="20"/>
                <w:szCs w:val="20"/>
                <w:color w:val="auto"/>
              </w:rPr>
            </w:pPr>
            <w:r>
              <w:rPr>
                <w:rFonts w:ascii="Arial" w:cs="Arial" w:eastAsia="Arial" w:hAnsi="Arial"/>
                <w:sz w:val="16"/>
                <w:szCs w:val="16"/>
                <w:b w:val="1"/>
                <w:bCs w:val="1"/>
                <w:color w:val="auto"/>
              </w:rPr>
              <w:t>December 31,</w:t>
            </w:r>
          </w:p>
        </w:tc>
      </w:tr>
      <w:tr>
        <w:trPr>
          <w:trHeight w:val="173"/>
        </w:trPr>
        <w:tc>
          <w:tcPr>
            <w:tcW w:w="5140" w:type="dxa"/>
            <w:vAlign w:val="bottom"/>
            <w:tcBorders>
              <w:bottom w:val="single" w:sz="8" w:color="E4E4E4"/>
            </w:tcBorders>
          </w:tcPr>
          <w:p>
            <w:pPr>
              <w:spacing w:after="0"/>
              <w:rPr>
                <w:sz w:val="15"/>
                <w:szCs w:val="15"/>
                <w:color w:val="auto"/>
              </w:rPr>
            </w:pPr>
          </w:p>
        </w:tc>
        <w:tc>
          <w:tcPr>
            <w:tcW w:w="4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48"/>
              <w:spacing w:after="0" w:line="173"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E4E4E4"/>
            </w:tcBorders>
          </w:tcPr>
          <w:p>
            <w:pPr>
              <w:spacing w:after="0"/>
              <w:rPr>
                <w:sz w:val="15"/>
                <w:szCs w:val="15"/>
                <w:color w:val="auto"/>
              </w:rPr>
            </w:pPr>
          </w:p>
        </w:tc>
        <w:tc>
          <w:tcPr>
            <w:tcW w:w="20" w:type="dxa"/>
            <w:vAlign w:val="bottom"/>
            <w:tcBorders>
              <w:top w:val="single" w:sz="8" w:color="auto"/>
              <w:bottom w:val="single" w:sz="8" w:color="E4E4E4"/>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45"/>
              <w:spacing w:after="0" w:line="173" w:lineRule="exact"/>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E4E4E4"/>
            </w:tcBorders>
          </w:tcPr>
          <w:p>
            <w:pPr>
              <w:spacing w:after="0"/>
              <w:rPr>
                <w:sz w:val="15"/>
                <w:szCs w:val="15"/>
                <w:color w:val="auto"/>
              </w:rPr>
            </w:pPr>
          </w:p>
        </w:tc>
      </w:tr>
      <w:tr>
        <w:trPr>
          <w:trHeight w:val="220"/>
        </w:trPr>
        <w:tc>
          <w:tcPr>
            <w:tcW w:w="5140" w:type="dxa"/>
            <w:vAlign w:val="bottom"/>
            <w:shd w:val="clear" w:color="auto" w:fill="E4E4E4"/>
          </w:tcPr>
          <w:p>
            <w:pPr>
              <w:spacing w:after="0" w:line="220" w:lineRule="exact"/>
              <w:rPr>
                <w:sz w:val="20"/>
                <w:szCs w:val="20"/>
                <w:color w:val="auto"/>
              </w:rPr>
            </w:pPr>
            <w:r>
              <w:rPr>
                <w:rFonts w:ascii="Arial" w:cs="Arial" w:eastAsia="Arial" w:hAnsi="Arial"/>
                <w:sz w:val="20"/>
                <w:szCs w:val="20"/>
                <w:color w:val="auto"/>
              </w:rPr>
              <w:t>Cash and cash equivalents</w:t>
            </w:r>
          </w:p>
        </w:tc>
        <w:tc>
          <w:tcPr>
            <w:tcW w:w="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w w:val="89"/>
                <w:shd w:val="clear" w:color="auto" w:fill="E4E4E4"/>
              </w:rPr>
              <w:t>$</w:t>
            </w:r>
          </w:p>
        </w:tc>
        <w:tc>
          <w:tcPr>
            <w:tcW w:w="92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shd w:val="clear" w:color="auto" w:fill="E4E4E4"/>
              </w:rPr>
              <w:t>90,584</w:t>
            </w:r>
          </w:p>
        </w:tc>
        <w:tc>
          <w:tcPr>
            <w:tcW w:w="1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w w:val="71"/>
                <w:shd w:val="clear" w:color="auto" w:fill="E4E4E4"/>
              </w:rPr>
              <w:t>$</w:t>
            </w:r>
          </w:p>
        </w:tc>
        <w:tc>
          <w:tcPr>
            <w:tcW w:w="1000" w:type="dxa"/>
            <w:vAlign w:val="bottom"/>
            <w:gridSpan w:val="2"/>
            <w:shd w:val="clear" w:color="auto" w:fill="E4E4E4"/>
          </w:tcPr>
          <w:p>
            <w:pPr>
              <w:jc w:val="right"/>
              <w:ind w:right="60"/>
              <w:spacing w:after="0" w:line="220" w:lineRule="exact"/>
              <w:rPr>
                <w:sz w:val="20"/>
                <w:szCs w:val="20"/>
                <w:color w:val="auto"/>
              </w:rPr>
            </w:pPr>
            <w:r>
              <w:rPr>
                <w:rFonts w:ascii="Arial" w:cs="Arial" w:eastAsia="Arial" w:hAnsi="Arial"/>
                <w:sz w:val="20"/>
                <w:szCs w:val="20"/>
                <w:color w:val="auto"/>
                <w:shd w:val="clear" w:color="auto" w:fill="E4E4E4"/>
              </w:rPr>
              <w:t>95,966</w:t>
            </w:r>
          </w:p>
        </w:tc>
      </w:tr>
      <w:tr>
        <w:trPr>
          <w:trHeight w:val="230"/>
        </w:trPr>
        <w:tc>
          <w:tcPr>
            <w:tcW w:w="5140" w:type="dxa"/>
            <w:vAlign w:val="bottom"/>
            <w:tcBorders>
              <w:bottom w:val="single" w:sz="8" w:color="E4E4E4"/>
            </w:tcBorders>
          </w:tcPr>
          <w:p>
            <w:pPr>
              <w:spacing w:after="0"/>
              <w:rPr>
                <w:sz w:val="20"/>
                <w:szCs w:val="20"/>
                <w:color w:val="auto"/>
              </w:rPr>
            </w:pPr>
            <w:r>
              <w:rPr>
                <w:rFonts w:ascii="Arial" w:cs="Arial" w:eastAsia="Arial" w:hAnsi="Arial"/>
                <w:sz w:val="20"/>
                <w:szCs w:val="20"/>
                <w:color w:val="auto"/>
              </w:rPr>
              <w:t>Restricted cash</w:t>
            </w:r>
          </w:p>
        </w:tc>
        <w:tc>
          <w:tcPr>
            <w:tcW w:w="4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631</w:t>
            </w:r>
          </w:p>
        </w:tc>
        <w:tc>
          <w:tcPr>
            <w:tcW w:w="12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420</w:t>
            </w:r>
          </w:p>
        </w:tc>
        <w:tc>
          <w:tcPr>
            <w:tcW w:w="60" w:type="dxa"/>
            <w:vAlign w:val="bottom"/>
            <w:tcBorders>
              <w:bottom w:val="single" w:sz="8" w:color="E4E4E4"/>
            </w:tcBorders>
          </w:tcPr>
          <w:p>
            <w:pPr>
              <w:spacing w:after="0"/>
              <w:rPr>
                <w:sz w:val="20"/>
                <w:szCs w:val="20"/>
                <w:color w:val="auto"/>
              </w:rPr>
            </w:pPr>
          </w:p>
        </w:tc>
      </w:tr>
      <w:tr>
        <w:trPr>
          <w:trHeight w:val="221"/>
        </w:trPr>
        <w:tc>
          <w:tcPr>
            <w:tcW w:w="5140" w:type="dxa"/>
            <w:vAlign w:val="bottom"/>
            <w:shd w:val="clear" w:color="auto" w:fill="E4E4E4"/>
          </w:tcPr>
          <w:p>
            <w:pPr>
              <w:spacing w:after="0" w:line="220" w:lineRule="exact"/>
              <w:rPr>
                <w:sz w:val="20"/>
                <w:szCs w:val="20"/>
                <w:color w:val="auto"/>
              </w:rPr>
            </w:pPr>
            <w:r>
              <w:rPr>
                <w:rFonts w:ascii="Arial" w:cs="Arial" w:eastAsia="Arial" w:hAnsi="Arial"/>
                <w:sz w:val="20"/>
                <w:szCs w:val="20"/>
                <w:color w:val="auto"/>
              </w:rPr>
              <w:t>Cash, cash equivalents and restricted cash</w:t>
            </w:r>
          </w:p>
        </w:tc>
        <w:tc>
          <w:tcPr>
            <w:tcW w:w="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line="221" w:lineRule="exact"/>
              <w:rPr>
                <w:sz w:val="20"/>
                <w:szCs w:val="20"/>
                <w:color w:val="auto"/>
              </w:rPr>
            </w:pPr>
            <w:r>
              <w:rPr>
                <w:rFonts w:ascii="Arial" w:cs="Arial" w:eastAsia="Arial" w:hAnsi="Arial"/>
                <w:sz w:val="20"/>
                <w:szCs w:val="20"/>
                <w:color w:val="auto"/>
                <w:w w:val="89"/>
              </w:rPr>
              <w:t>$</w:t>
            </w:r>
          </w:p>
        </w:tc>
        <w:tc>
          <w:tcPr>
            <w:tcW w:w="1040" w:type="dxa"/>
            <w:vAlign w:val="bottom"/>
            <w:gridSpan w:val="2"/>
            <w:shd w:val="clear" w:color="auto" w:fill="E4E4E4"/>
          </w:tcPr>
          <w:p>
            <w:pPr>
              <w:jc w:val="right"/>
              <w:ind w:right="120"/>
              <w:spacing w:after="0" w:line="221" w:lineRule="exact"/>
              <w:rPr>
                <w:sz w:val="20"/>
                <w:szCs w:val="20"/>
                <w:color w:val="auto"/>
              </w:rPr>
            </w:pPr>
            <w:r>
              <w:rPr>
                <w:rFonts w:ascii="Arial" w:cs="Arial" w:eastAsia="Arial" w:hAnsi="Arial"/>
                <w:sz w:val="20"/>
                <w:szCs w:val="20"/>
                <w:color w:val="auto"/>
              </w:rPr>
              <w:t>91,215</w:t>
            </w: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1" w:lineRule="exact"/>
              <w:rPr>
                <w:sz w:val="20"/>
                <w:szCs w:val="20"/>
                <w:color w:val="auto"/>
              </w:rPr>
            </w:pPr>
            <w:r>
              <w:rPr>
                <w:rFonts w:ascii="Arial" w:cs="Arial" w:eastAsia="Arial" w:hAnsi="Arial"/>
                <w:sz w:val="20"/>
                <w:szCs w:val="20"/>
                <w:color w:val="auto"/>
                <w:w w:val="71"/>
                <w:shd w:val="clear" w:color="auto" w:fill="E4E4E4"/>
              </w:rPr>
              <w:t>$</w:t>
            </w:r>
          </w:p>
        </w:tc>
        <w:tc>
          <w:tcPr>
            <w:tcW w:w="1000" w:type="dxa"/>
            <w:vAlign w:val="bottom"/>
            <w:gridSpan w:val="2"/>
            <w:shd w:val="clear" w:color="auto" w:fill="E4E4E4"/>
          </w:tcPr>
          <w:p>
            <w:pPr>
              <w:jc w:val="right"/>
              <w:ind w:right="60"/>
              <w:spacing w:after="0" w:line="221" w:lineRule="exact"/>
              <w:rPr>
                <w:sz w:val="20"/>
                <w:szCs w:val="20"/>
                <w:color w:val="auto"/>
              </w:rPr>
            </w:pPr>
            <w:r>
              <w:rPr>
                <w:rFonts w:ascii="Arial" w:cs="Arial" w:eastAsia="Arial" w:hAnsi="Arial"/>
                <w:sz w:val="20"/>
                <w:szCs w:val="20"/>
                <w:color w:val="auto"/>
                <w:shd w:val="clear" w:color="auto" w:fill="E4E4E4"/>
              </w:rPr>
              <w:t>96,386</w:t>
            </w:r>
          </w:p>
        </w:tc>
      </w:tr>
      <w:tr>
        <w:trPr>
          <w:trHeight w:val="20"/>
        </w:trPr>
        <w:tc>
          <w:tcPr>
            <w:tcW w:w="5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4"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Short-term and Long-term Investments</w:t>
      </w:r>
    </w:p>
    <w:p>
      <w:pPr>
        <w:spacing w:after="0" w:line="116"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The Company generally invests its excess cash in investment grade short- to intermediate-term fixed income securities. Such investments are included in cash and cash equivalents, short-term investments, and long-term investments on the consolidated balance sheets, classified as available-for-sale, and reported at fair value with unrealized gains and losses included in accumulated other comprehensive loss. Amortization and accretion are included in other income, net. Realized gains and losses on the sale of these securities are recognized in other income, net.</w:t>
      </w:r>
    </w:p>
    <w:p>
      <w:pPr>
        <w:spacing w:after="0" w:line="194"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The Company periodically evaluates whether declines in fair values of its investments below their book value are due to expected credit losses, as well as the Company's ability and intent to hold the investment until a forecasted recovery occurs. Expected credit losses are recorded as an allowance through other income, net.</w:t>
      </w:r>
    </w:p>
    <w:p>
      <w:pPr>
        <w:spacing w:after="0" w:line="310"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Concentration of Credit Risk</w:t>
      </w:r>
    </w:p>
    <w:p>
      <w:pPr>
        <w:spacing w:after="0" w:line="116"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The Company is exposed to credit risk from its deposits of cash in excess of amounts insured by the Federal Deposit Insurance Corporation. The Company has not experienced any losses on its deposits of cash since inception.</w:t>
      </w:r>
    </w:p>
    <w:p>
      <w:pPr>
        <w:spacing w:after="0" w:line="304"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Property and Equipment</w:t>
      </w:r>
    </w:p>
    <w:p>
      <w:pPr>
        <w:spacing w:after="0" w:line="117"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Property and equipment consist of computer equipment, computer software, laboratory equipment, leasehold improvements and furniture and office equipment. Property and equipment, excluding leasehold improvements, are recorded at cost and depreciation is recognized using the straight-line method based on estimated useful life, generally three to five years. Leasehold improvements are amortized over the shorter of their useful life or the remaining lease term. Maintenance and repairs are charged to expense as incurred, and costs of improvements are capitalized.</w:t>
      </w:r>
    </w:p>
    <w:p>
      <w:pPr>
        <w:spacing w:after="0" w:line="194"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auto"/>
        </w:rPr>
        <w:t>The Company reviews long-lived assets for impairment whenever events or circumstances indicate the carrying amount of an asset group may not be recoverable. Should an impairment exist, the impairment loss would be measured based on the excess of the asset's carrying amount over its fair value. Gains and losses from asset disposals and impairment losses are classified within the consolidated statements of operations and comprehensive loss in accordance with the use of the asset. There were no impairment</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141</w:t>
      </w:r>
    </w:p>
    <w:p>
      <w:pPr>
        <w:sectPr>
          <w:pgSz w:w="11880" w:h="15474" w:orient="portrait"/>
          <w:cols w:equalWidth="0" w:num="1">
            <w:col w:w="9360"/>
          </w:cols>
          <w:pgMar w:left="1240" w:top="1255" w:right="1274" w:bottom="0" w:gutter="0" w:footer="0" w:header="0"/>
          <w:type w:val="continuous"/>
        </w:sectPr>
      </w:pPr>
    </w:p>
    <w:bookmarkStart w:id="147" w:name="page148"/>
    <w:bookmarkEnd w:id="147"/>
    <w:p>
      <w:pPr>
        <w:jc w:val="both"/>
        <w:spacing w:after="0" w:line="282" w:lineRule="auto"/>
        <w:rPr>
          <w:sz w:val="20"/>
          <w:szCs w:val="20"/>
          <w:color w:val="auto"/>
        </w:rPr>
      </w:pPr>
      <w:r>
        <w:rPr>
          <w:rFonts w:ascii="Arial" w:cs="Arial" w:eastAsia="Arial" w:hAnsi="Arial"/>
          <w:sz w:val="20"/>
          <w:szCs w:val="20"/>
          <w:color w:val="auto"/>
        </w:rPr>
        <w:t>losses in the years ended December 31, 2023 and 2022 as there have been no events warranting an impairment analysis.</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Fair Value Measurements</w:t>
      </w:r>
    </w:p>
    <w:p>
      <w:pPr>
        <w:spacing w:after="0" w:line="116"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The carrying amounts of certain financial instruments, including cash, cash equivalents, restricted cash, investments, accounts payable and accrued expenses approximate their fair values due to the short-term nature of those amounts.</w:t>
      </w:r>
    </w:p>
    <w:p>
      <w:pPr>
        <w:spacing w:after="0" w:line="304"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Grant Income</w:t>
      </w:r>
    </w:p>
    <w:p>
      <w:pPr>
        <w:spacing w:after="0" w:line="115"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In December 2020, the Company accepted a grant from the National Institute on Aging (“NIA”) of the National Institutes of Health (“NIH”) to support its ACT-AD Phase 2 clinical trial for fosgonimeton (then-named ATH-1017), the Company’s lead therapeutic candidate being developed for the treatment of individuals with mild-to-moderate Alzheimer’s disease. The Company recognizes income related to the NIH grant in the accompanying consolidated statements of operations and comprehensive loss as qualifying expenses under the grant agreement are incurred. As of December 31, 2023, the Company has recognized aggregate grant income of $ 15.2 million in connection with the NIH grant, equal to the total grant amount approved. The Company will not recognize any additional grant income in connection with the NIH grant in the future.</w:t>
      </w:r>
    </w:p>
    <w:p>
      <w:pPr>
        <w:spacing w:after="0" w:line="197"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During the years ended December 31, 2023 and 2022, the Company recognized grant income of $0.2 million and $5.2 million, respectively, in connection with the NIH grant. As of December 31, 2022, the Company incurred qualifying expenses in excess of cash received of $1.2 million, which is included in unbilled grant receivable on the consolidated balance sheets. The Company received cash of $1.4 million related to the NIH grant during the year ended December 31, 2023, compared to $6.3 million during the year ended December 31, 2022.</w:t>
      </w:r>
    </w:p>
    <w:p>
      <w:pPr>
        <w:spacing w:after="0" w:line="318"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Research and Development Expenses</w:t>
      </w:r>
    </w:p>
    <w:p>
      <w:pPr>
        <w:spacing w:after="0" w:line="117"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Research and development expenses consist primarily of direct and indirect costs incurred for research activities, including development of the pipeline from the Company’s proprietary drug discovery platform (“ATH platform”), the Company’s drug discovery efforts and the development of its drug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196"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spacing w:after="0" w:line="322"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General and Administrative Expenses</w:t>
      </w:r>
    </w:p>
    <w:p>
      <w:pPr>
        <w:spacing w:after="0" w:line="117"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142</w:t>
      </w:r>
    </w:p>
    <w:p>
      <w:pPr>
        <w:sectPr>
          <w:pgSz w:w="11880" w:h="15474" w:orient="portrait"/>
          <w:cols w:equalWidth="0" w:num="1">
            <w:col w:w="9360"/>
          </w:cols>
          <w:pgMar w:left="1240" w:top="1255" w:right="1274" w:bottom="0" w:gutter="0" w:footer="0" w:header="0"/>
          <w:type w:val="continuous"/>
        </w:sectPr>
      </w:pPr>
    </w:p>
    <w:bookmarkStart w:id="148" w:name="page149"/>
    <w:bookmarkEnd w:id="148"/>
    <w:p>
      <w:pPr>
        <w:jc w:val="both"/>
        <w:spacing w:after="0" w:line="281" w:lineRule="auto"/>
        <w:rPr>
          <w:sz w:val="20"/>
          <w:szCs w:val="20"/>
          <w:color w:val="auto"/>
        </w:rPr>
      </w:pPr>
      <w:r>
        <w:rPr>
          <w:rFonts w:ascii="Arial" w:cs="Arial" w:eastAsia="Arial" w:hAnsi="Arial"/>
          <w:sz w:val="19"/>
          <w:szCs w:val="19"/>
          <w:color w:val="auto"/>
        </w:rPr>
        <w:t>and administrative expenses also include third -party costs such as legal costs, insurance costs, accounting, auditing and tax related fees, consulting fees and facilities and other expenses not otherwise included as research and development expenses. General and administrative costs are expensed as incurred.</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Leases</w:t>
      </w:r>
    </w:p>
    <w:p>
      <w:pPr>
        <w:spacing w:after="0" w:line="115"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 xml:space="preserve">The Company adopted Accounting Standards Codification (“ASC”) </w:t>
      </w:r>
      <w:r>
        <w:rPr>
          <w:rFonts w:ascii="Arial" w:cs="Arial" w:eastAsia="Arial" w:hAnsi="Arial"/>
          <w:sz w:val="20"/>
          <w:szCs w:val="20"/>
          <w:i w:val="1"/>
          <w:iCs w:val="1"/>
          <w:color w:val="auto"/>
        </w:rPr>
        <w:t>Topic 842 - Leases</w:t>
      </w:r>
      <w:r>
        <w:rPr>
          <w:rFonts w:ascii="Arial" w:cs="Arial" w:eastAsia="Arial" w:hAnsi="Arial"/>
          <w:sz w:val="20"/>
          <w:szCs w:val="20"/>
          <w:color w:val="auto"/>
        </w:rPr>
        <w:t xml:space="preserve"> 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w:t>
      </w:r>
    </w:p>
    <w:p>
      <w:pPr>
        <w:spacing w:after="0" w:line="204"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spacing w:after="0" w:line="180"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The Company has made a policy election regarding its real estate leases not to separate non-lease components from lease components, to the extent they are fixed. Non-lease components that are not fixed are expensed as incurred as variable lease expense. The Company’s lease includes variable non-lease components, such as common -area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p>
    <w:p>
      <w:pPr>
        <w:spacing w:after="0" w:line="193"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20"/>
          <w:szCs w:val="20"/>
          <w:color w:val="auto"/>
        </w:rPr>
        <w:t>Lease expense is recognized within operating expenses on a straight-line basis over the terms of the lease. Incentives granted under the Company’s facilities lease, including rent holidays, are recognized as adjustments to lease expense on a straight-line basis over the term of the lease.</w:t>
      </w:r>
    </w:p>
    <w:p>
      <w:pPr>
        <w:spacing w:after="0" w:line="301"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117"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The Company measures compensation expense for all stock- based payments to employees, officers and directors based on the estimated fair value of the award at the grant date. For stock options, the Company estimates the grant date fair value of each option award using the Black-Scholes option- pricing model. The grant date fair value of restricted stock units is based upon the fair market value of the Company’s common stock based on its closing price as reported on the date of grant on the Nasdaq Global Select Market. Compensation expense is recognized over the requisite service period on a straight-line basis. Forfeitures are recognized as they occur.</w:t>
      </w:r>
    </w:p>
    <w:p>
      <w:pPr>
        <w:spacing w:after="0" w:line="193"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The Company records compensation expense for stock option and restricted stock unit grants subject to performance-based milestone vesting over the remaining implicit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143</w:t>
      </w:r>
    </w:p>
    <w:p>
      <w:pPr>
        <w:sectPr>
          <w:pgSz w:w="11880" w:h="15474" w:orient="portrait"/>
          <w:cols w:equalWidth="0" w:num="1">
            <w:col w:w="9360"/>
          </w:cols>
          <w:pgMar w:left="1240" w:top="1255" w:right="1274" w:bottom="0" w:gutter="0" w:footer="0" w:header="0"/>
          <w:type w:val="continuous"/>
        </w:sectPr>
      </w:pPr>
    </w:p>
    <w:bookmarkStart w:id="149" w:name="page150"/>
    <w:bookmarkEnd w:id="149"/>
    <w:p>
      <w:pPr>
        <w:ind w:left="480"/>
        <w:spacing w:after="0"/>
        <w:rPr>
          <w:sz w:val="20"/>
          <w:szCs w:val="20"/>
          <w:color w:val="auto"/>
        </w:rPr>
      </w:pPr>
      <w:r>
        <w:rPr>
          <w:rFonts w:ascii="Arial" w:cs="Arial" w:eastAsia="Arial" w:hAnsi="Arial"/>
          <w:sz w:val="20"/>
          <w:szCs w:val="20"/>
          <w:b w:val="1"/>
          <w:bCs w:val="1"/>
          <w:i w:val="1"/>
          <w:iCs w:val="1"/>
          <w:color w:val="auto"/>
        </w:rPr>
        <w:t>Income Taxes</w:t>
      </w:r>
    </w:p>
    <w:p>
      <w:pPr>
        <w:spacing w:after="0" w:line="115"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94"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are deductible. Management considers the scheduled reversal of deferred tax liabilities, projected future income, tax planning strategies in making this assessment.</w:t>
      </w:r>
    </w:p>
    <w:p>
      <w:pPr>
        <w:spacing w:after="0" w:line="194"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accrues interest and penalties related to unrecognized tax benefits in its provision for incomes taxes.</w:t>
      </w:r>
    </w:p>
    <w:p>
      <w:pPr>
        <w:spacing w:after="0" w:line="316"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Comprehensive Loss Attributable to Common Stockholders</w:t>
      </w:r>
    </w:p>
    <w:p>
      <w:pPr>
        <w:spacing w:after="0" w:line="117"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Comprehensive loss attributable to common stockholders consists of net loss and other gains and losses affecting stockholders’ equity that, under U.S. GAAP, are excluded from net loss. The Company’s comprehensive loss attributable to common stockholders is comprised of net loss and unrealized gains and losses on available-for-sale securities.</w:t>
      </w:r>
    </w:p>
    <w:p>
      <w:pPr>
        <w:spacing w:after="0" w:line="310"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Net Loss Per Share Attributable to Common Stockholders</w:t>
      </w:r>
    </w:p>
    <w:p>
      <w:pPr>
        <w:spacing w:after="0" w:line="117"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318"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Foreign Currency Transaction Remeasurement Adjustments</w:t>
      </w:r>
    </w:p>
    <w:p>
      <w:pPr>
        <w:spacing w:after="0" w:line="115"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Monetary assets and liabilities denominated in foreign currencies were translated into U.S. dollars, the reporting currency, at the exchange rate prevailing at the balance sheet date. Income and expenses denominated in foreign currencies were translated into U.S. dollars at the average exchange rate for the period and the transaction remeasurement adjustments are reported within other income, net in the consolidated statement of operations and comprehensive loss. The functional currency of the Company’s Australian subsidiary is the U.S. dollar.</w:t>
      </w:r>
    </w:p>
    <w:p>
      <w:pPr>
        <w:spacing w:after="0" w:line="318"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Segments</w:t>
      </w:r>
    </w:p>
    <w:p>
      <w:pPr>
        <w:spacing w:after="0" w:line="116"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ectPr>
          <w:pgSz w:w="11880" w:h="15474" w:orient="portrait"/>
          <w:cols w:equalWidth="0" w:num="1">
            <w:col w:w="9360"/>
          </w:cols>
          <w:pgMar w:left="1240" w:top="1259"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144</w:t>
      </w:r>
    </w:p>
    <w:p>
      <w:pPr>
        <w:sectPr>
          <w:pgSz w:w="11880" w:h="15474" w:orient="portrait"/>
          <w:cols w:equalWidth="0" w:num="1">
            <w:col w:w="9360"/>
          </w:cols>
          <w:pgMar w:left="1240" w:top="1259" w:right="1274" w:bottom="0" w:gutter="0" w:footer="0" w:header="0"/>
          <w:type w:val="continuous"/>
        </w:sectPr>
      </w:pPr>
    </w:p>
    <w:bookmarkStart w:id="150" w:name="page151"/>
    <w:bookmarkEnd w:id="150"/>
    <w:p>
      <w:pPr>
        <w:ind w:left="480"/>
        <w:spacing w:after="0"/>
        <w:rPr>
          <w:sz w:val="20"/>
          <w:szCs w:val="20"/>
          <w:color w:val="auto"/>
        </w:rPr>
      </w:pPr>
      <w:r>
        <w:rPr>
          <w:rFonts w:ascii="Arial" w:cs="Arial" w:eastAsia="Arial" w:hAnsi="Arial"/>
          <w:sz w:val="20"/>
          <w:szCs w:val="20"/>
          <w:b w:val="1"/>
          <w:bCs w:val="1"/>
          <w:i w:val="1"/>
          <w:iCs w:val="1"/>
          <w:color w:val="auto"/>
        </w:rPr>
        <w:t>Emerging Growth Company Status</w:t>
      </w:r>
    </w:p>
    <w:p>
      <w:pPr>
        <w:spacing w:after="0" w:line="115" w:lineRule="exact"/>
        <w:rPr>
          <w:sz w:val="20"/>
          <w:szCs w:val="20"/>
          <w:color w:val="auto"/>
        </w:rPr>
      </w:pPr>
    </w:p>
    <w:p>
      <w:pPr>
        <w:jc w:val="both"/>
        <w:ind w:firstLine="490"/>
        <w:spacing w:after="0" w:line="260" w:lineRule="auto"/>
        <w:rPr>
          <w:sz w:val="20"/>
          <w:szCs w:val="20"/>
          <w:color w:val="auto"/>
        </w:rPr>
      </w:pPr>
      <w:r>
        <w:rPr>
          <w:rFonts w:ascii="Arial" w:cs="Arial" w:eastAsia="Arial" w:hAnsi="Arial"/>
          <w:sz w:val="19"/>
          <w:szCs w:val="19"/>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(1) no longer an emerging growth company and (2)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spacing w:after="0" w:line="304"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Recently Adopted Accounting Pronouncements</w:t>
      </w:r>
    </w:p>
    <w:p>
      <w:pPr>
        <w:spacing w:after="0" w:line="117"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9"/>
          <w:szCs w:val="19"/>
          <w:color w:val="auto"/>
        </w:rPr>
        <w:t>In June 2016, the Financial Accounting Standards Board (FASB) issued Accounting Standards Update (ASU) 2016-13, Financial Instruments: Credit Losses (Topic 326) as clarified in ASU 2019-04, ASU 2019-05, and ASU 2020-02. The objective of the standard is to provide information about expected credit losses on financial instruments at each reporting date and to change how other-than-temporary impairments on investment securities are recorded. The Company adopted ASU 2016-13 effective January 1, 2023 and it did not have a material impact on its financial condition, results of operations or cash flows.</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Fair Value</w:t>
      </w:r>
    </w:p>
    <w:p>
      <w:pPr>
        <w:spacing w:after="0" w:line="123"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20"/>
          <w:szCs w:val="20"/>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57"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i w:val="1"/>
          <w:iCs w:val="1"/>
          <w:color w:val="auto"/>
        </w:rPr>
        <w:t>Level 1</w:t>
      </w:r>
      <w:r>
        <w:rPr>
          <w:rFonts w:ascii="Arial" w:cs="Arial" w:eastAsia="Arial" w:hAnsi="Arial"/>
          <w:sz w:val="20"/>
          <w:szCs w:val="20"/>
          <w:color w:val="auto"/>
        </w:rPr>
        <w:t>—Unadjusted quoted prices in active markets that are accessible at the measurement date for</w:t>
      </w:r>
      <w:r>
        <w:rPr>
          <w:rFonts w:ascii="Arial" w:cs="Arial" w:eastAsia="Arial" w:hAnsi="Arial"/>
          <w:sz w:val="20"/>
          <w:szCs w:val="20"/>
          <w:i w:val="1"/>
          <w:iCs w:val="1"/>
          <w:color w:val="auto"/>
        </w:rPr>
        <w:t xml:space="preserve"> </w:t>
      </w:r>
      <w:r>
        <w:rPr>
          <w:rFonts w:ascii="Arial" w:cs="Arial" w:eastAsia="Arial" w:hAnsi="Arial"/>
          <w:sz w:val="20"/>
          <w:szCs w:val="20"/>
          <w:color w:val="auto"/>
        </w:rPr>
        <w:t>identical, unrestricted assets or liabilities.</w:t>
      </w:r>
    </w:p>
    <w:p>
      <w:pPr>
        <w:spacing w:after="0" w:line="38"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i w:val="1"/>
          <w:iCs w:val="1"/>
          <w:color w:val="auto"/>
        </w:rPr>
        <w:t>Level 2</w:t>
      </w:r>
      <w:r>
        <w:rPr>
          <w:rFonts w:ascii="Arial" w:cs="Arial" w:eastAsia="Arial" w:hAnsi="Arial"/>
          <w:sz w:val="20"/>
          <w:szCs w:val="20"/>
          <w:color w:val="auto"/>
        </w:rPr>
        <w:t>—Quoted prices in markets that are not active or financial instruments for which all significant</w:t>
      </w:r>
      <w:r>
        <w:rPr>
          <w:rFonts w:ascii="Arial" w:cs="Arial" w:eastAsia="Arial" w:hAnsi="Arial"/>
          <w:sz w:val="20"/>
          <w:szCs w:val="20"/>
          <w:i w:val="1"/>
          <w:iCs w:val="1"/>
          <w:color w:val="auto"/>
        </w:rPr>
        <w:t xml:space="preserve"> </w:t>
      </w:r>
      <w:r>
        <w:rPr>
          <w:rFonts w:ascii="Arial" w:cs="Arial" w:eastAsia="Arial" w:hAnsi="Arial"/>
          <w:sz w:val="20"/>
          <w:szCs w:val="20"/>
          <w:color w:val="auto"/>
        </w:rPr>
        <w:t>inputs are observable, either directly or indirectly.</w:t>
      </w:r>
    </w:p>
    <w:p>
      <w:pPr>
        <w:spacing w:after="0" w:line="39"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i w:val="1"/>
          <w:iCs w:val="1"/>
          <w:color w:val="auto"/>
        </w:rPr>
        <w:t>Level 3</w:t>
      </w:r>
      <w:r>
        <w:rPr>
          <w:rFonts w:ascii="Arial" w:cs="Arial" w:eastAsia="Arial" w:hAnsi="Arial"/>
          <w:sz w:val="20"/>
          <w:szCs w:val="20"/>
          <w:color w:val="auto"/>
        </w:rPr>
        <w:t>—Inputs are generally unobservable and reflect management’s estimates of assumptions that</w:t>
      </w:r>
      <w:r>
        <w:rPr>
          <w:rFonts w:ascii="Arial" w:cs="Arial" w:eastAsia="Arial" w:hAnsi="Arial"/>
          <w:sz w:val="20"/>
          <w:szCs w:val="20"/>
          <w:i w:val="1"/>
          <w:iCs w:val="1"/>
          <w:color w:val="auto"/>
        </w:rPr>
        <w:t xml:space="preserve"> </w:t>
      </w:r>
      <w:r>
        <w:rPr>
          <w:rFonts w:ascii="Arial" w:cs="Arial" w:eastAsia="Arial" w:hAnsi="Arial"/>
          <w:sz w:val="20"/>
          <w:szCs w:val="20"/>
          <w:color w:val="auto"/>
        </w:rPr>
        <w:t>market participants would use in pricing the asset or liability. The fair values are determined using model-based techniques, including probability-based simulation methodologies.</w:t>
      </w:r>
    </w:p>
    <w:p>
      <w:pPr>
        <w:spacing w:after="0" w:line="180"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ectPr>
          <w:pgSz w:w="11880" w:h="15474" w:orient="portrait"/>
          <w:cols w:equalWidth="0" w:num="1">
            <w:col w:w="9360"/>
          </w:cols>
          <w:pgMar w:left="1240" w:top="1259"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145</w:t>
      </w:r>
    </w:p>
    <w:p>
      <w:pPr>
        <w:sectPr>
          <w:pgSz w:w="11880" w:h="15474" w:orient="portrait"/>
          <w:cols w:equalWidth="0" w:num="1">
            <w:col w:w="9360"/>
          </w:cols>
          <w:pgMar w:left="1240" w:top="1259" w:right="1274" w:bottom="0" w:gutter="0" w:footer="0" w:header="0"/>
          <w:type w:val="continuous"/>
        </w:sectPr>
      </w:pPr>
    </w:p>
    <w:bookmarkStart w:id="151" w:name="page152"/>
    <w:bookmarkEnd w:id="151"/>
    <w:p>
      <w:pPr>
        <w:jc w:val="both"/>
        <w:ind w:firstLine="490"/>
        <w:spacing w:after="0" w:line="282" w:lineRule="auto"/>
        <w:rPr>
          <w:sz w:val="20"/>
          <w:szCs w:val="20"/>
          <w:color w:val="auto"/>
        </w:rPr>
      </w:pPr>
      <w:r>
        <w:rPr>
          <w:rFonts w:ascii="Arial" w:cs="Arial" w:eastAsia="Arial" w:hAnsi="Arial"/>
          <w:sz w:val="20"/>
          <w:szCs w:val="20"/>
          <w:color w:val="auto"/>
        </w:rPr>
        <w:t>The following tables reflect the Company’s financial asset balances measured at fair value on a recurring basis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7"/>
          </w:tcPr>
          <w:p>
            <w:pPr>
              <w:jc w:val="center"/>
              <w:ind w:left="446"/>
              <w:spacing w:after="0"/>
              <w:rPr>
                <w:sz w:val="20"/>
                <w:szCs w:val="20"/>
                <w:color w:val="auto"/>
              </w:rPr>
            </w:pPr>
            <w:r>
              <w:rPr>
                <w:rFonts w:ascii="Arial" w:cs="Arial" w:eastAsia="Arial" w:hAnsi="Arial"/>
                <w:sz w:val="16"/>
                <w:szCs w:val="16"/>
                <w:b w:val="1"/>
                <w:bCs w:val="1"/>
                <w:color w:val="auto"/>
                <w:w w:val="99"/>
              </w:rPr>
              <w:t>December 31, 2023</w:t>
            </w: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center"/>
              <w:ind w:right="200"/>
              <w:spacing w:after="0" w:line="156" w:lineRule="exact"/>
              <w:rPr>
                <w:sz w:val="20"/>
                <w:szCs w:val="20"/>
                <w:color w:val="auto"/>
              </w:rPr>
            </w:pPr>
            <w:r>
              <w:rPr>
                <w:rFonts w:ascii="Arial" w:cs="Arial" w:eastAsia="Arial" w:hAnsi="Arial"/>
                <w:sz w:val="16"/>
                <w:szCs w:val="16"/>
                <w:b w:val="1"/>
                <w:bCs w:val="1"/>
                <w:color w:val="auto"/>
                <w:w w:val="99"/>
              </w:rPr>
              <w:t>Amortized</w:t>
            </w:r>
          </w:p>
        </w:tc>
        <w:tc>
          <w:tcPr>
            <w:tcW w:w="1000" w:type="dxa"/>
            <w:vAlign w:val="bottom"/>
            <w:gridSpan w:val="2"/>
          </w:tcPr>
          <w:p>
            <w:pPr>
              <w:ind w:left="20"/>
              <w:spacing w:after="0" w:line="156" w:lineRule="exact"/>
              <w:rPr>
                <w:sz w:val="20"/>
                <w:szCs w:val="20"/>
                <w:color w:val="auto"/>
              </w:rPr>
            </w:pPr>
            <w:r>
              <w:rPr>
                <w:rFonts w:ascii="Arial" w:cs="Arial" w:eastAsia="Arial" w:hAnsi="Arial"/>
                <w:sz w:val="16"/>
                <w:szCs w:val="16"/>
                <w:b w:val="1"/>
                <w:bCs w:val="1"/>
                <w:color w:val="auto"/>
              </w:rPr>
              <w:t>Unrealized</w:t>
            </w:r>
          </w:p>
        </w:tc>
        <w:tc>
          <w:tcPr>
            <w:tcW w:w="20" w:type="dxa"/>
            <w:vAlign w:val="bottom"/>
          </w:tcPr>
          <w:p>
            <w:pPr>
              <w:spacing w:after="0"/>
              <w:rPr>
                <w:sz w:val="13"/>
                <w:szCs w:val="13"/>
                <w:color w:val="auto"/>
              </w:rPr>
            </w:pPr>
          </w:p>
        </w:tc>
        <w:tc>
          <w:tcPr>
            <w:tcW w:w="980" w:type="dxa"/>
            <w:vAlign w:val="bottom"/>
            <w:gridSpan w:val="4"/>
          </w:tcPr>
          <w:p>
            <w:pPr>
              <w:spacing w:after="0" w:line="156" w:lineRule="exact"/>
              <w:rPr>
                <w:sz w:val="20"/>
                <w:szCs w:val="20"/>
                <w:color w:val="auto"/>
              </w:rPr>
            </w:pPr>
            <w:r>
              <w:rPr>
                <w:rFonts w:ascii="Arial" w:cs="Arial" w:eastAsia="Arial" w:hAnsi="Arial"/>
                <w:sz w:val="16"/>
                <w:szCs w:val="16"/>
                <w:b w:val="1"/>
                <w:bCs w:val="1"/>
                <w:color w:val="auto"/>
              </w:rPr>
              <w:t>Unrealized</w:t>
            </w:r>
          </w:p>
        </w:tc>
        <w:tc>
          <w:tcPr>
            <w:tcW w:w="160" w:type="dxa"/>
            <w:vAlign w:val="bottom"/>
          </w:tcPr>
          <w:p>
            <w:pPr>
              <w:spacing w:after="0"/>
              <w:rPr>
                <w:sz w:val="13"/>
                <w:szCs w:val="13"/>
                <w:color w:val="auto"/>
              </w:rPr>
            </w:pPr>
          </w:p>
        </w:tc>
        <w:tc>
          <w:tcPr>
            <w:tcW w:w="680" w:type="dxa"/>
            <w:vAlign w:val="bottom"/>
          </w:tcPr>
          <w:p>
            <w:pPr>
              <w:jc w:val="center"/>
              <w:ind w:right="66"/>
              <w:spacing w:after="0" w:line="156" w:lineRule="exact"/>
              <w:rPr>
                <w:sz w:val="20"/>
                <w:szCs w:val="20"/>
                <w:color w:val="auto"/>
              </w:rPr>
            </w:pPr>
            <w:r>
              <w:rPr>
                <w:rFonts w:ascii="Arial" w:cs="Arial" w:eastAsia="Arial" w:hAnsi="Arial"/>
                <w:sz w:val="16"/>
                <w:szCs w:val="16"/>
                <w:b w:val="1"/>
                <w:bCs w:val="1"/>
                <w:color w:val="auto"/>
                <w:w w:val="95"/>
              </w:rPr>
              <w:t>Fair</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Level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7"/>
                <w:szCs w:val="17"/>
                <w:color w:val="auto"/>
              </w:rPr>
            </w:pPr>
          </w:p>
        </w:tc>
        <w:tc>
          <w:tcPr>
            <w:tcW w:w="880" w:type="dxa"/>
            <w:vAlign w:val="bottom"/>
          </w:tcPr>
          <w:p>
            <w:pPr>
              <w:jc w:val="center"/>
              <w:ind w:right="182"/>
              <w:spacing w:after="0"/>
              <w:rPr>
                <w:sz w:val="20"/>
                <w:szCs w:val="20"/>
                <w:color w:val="auto"/>
              </w:rPr>
            </w:pPr>
            <w:r>
              <w:rPr>
                <w:rFonts w:ascii="Arial" w:cs="Arial" w:eastAsia="Arial" w:hAnsi="Arial"/>
                <w:sz w:val="16"/>
                <w:szCs w:val="16"/>
                <w:b w:val="1"/>
                <w:bCs w:val="1"/>
                <w:color w:val="auto"/>
                <w:w w:val="98"/>
              </w:rPr>
              <w:t>Gains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right"/>
              <w:ind w:right="248"/>
              <w:spacing w:after="0"/>
              <w:rPr>
                <w:sz w:val="20"/>
                <w:szCs w:val="20"/>
                <w:color w:val="auto"/>
              </w:rPr>
            </w:pPr>
            <w:r>
              <w:rPr>
                <w:rFonts w:ascii="Arial" w:cs="Arial" w:eastAsia="Arial" w:hAnsi="Arial"/>
                <w:sz w:val="16"/>
                <w:szCs w:val="16"/>
                <w:b w:val="1"/>
                <w:bCs w:val="1"/>
                <w:color w:val="auto"/>
                <w:w w:val="97"/>
              </w:rPr>
              <w:t>Losses</w:t>
            </w:r>
          </w:p>
        </w:tc>
        <w:tc>
          <w:tcPr>
            <w:tcW w:w="16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40"/>
        </w:trPr>
        <w:tc>
          <w:tcPr>
            <w:tcW w:w="4380" w:type="dxa"/>
            <w:vAlign w:val="bottom"/>
            <w:tcBorders>
              <w:top w:val="single" w:sz="8" w:color="E4E4E4"/>
              <w:bottom w:val="single" w:sz="8" w:color="auto"/>
            </w:tcBorders>
            <w:gridSpan w:val="2"/>
            <w:shd w:val="clear" w:color="auto" w:fill="E4E4E4"/>
          </w:tcPr>
          <w:p>
            <w:pPr>
              <w:spacing w:after="0" w:line="220" w:lineRule="exact"/>
              <w:rPr>
                <w:sz w:val="20"/>
                <w:szCs w:val="20"/>
                <w:color w:val="auto"/>
              </w:rPr>
            </w:pPr>
            <w:r>
              <w:rPr>
                <w:rFonts w:ascii="Arial" w:cs="Arial" w:eastAsia="Arial" w:hAnsi="Arial"/>
                <w:sz w:val="20"/>
                <w:szCs w:val="20"/>
                <w:color w:val="auto"/>
              </w:rPr>
              <w:t>Cash equivalents:</w:t>
            </w:r>
          </w:p>
        </w:tc>
        <w:tc>
          <w:tcPr>
            <w:tcW w:w="80" w:type="dxa"/>
            <w:vAlign w:val="bottom"/>
            <w:tcBorders>
              <w:top w:val="single" w:sz="8" w:color="E4E4E4"/>
              <w:bottom w:val="single" w:sz="8" w:color="E4E4E4"/>
            </w:tcBorders>
            <w:shd w:val="clear" w:color="auto" w:fill="E4E4E4"/>
          </w:tcPr>
          <w:p>
            <w:pPr>
              <w:spacing w:after="0"/>
              <w:rPr>
                <w:sz w:val="20"/>
                <w:szCs w:val="20"/>
                <w:color w:val="auto"/>
              </w:rPr>
            </w:pPr>
          </w:p>
        </w:tc>
        <w:tc>
          <w:tcPr>
            <w:tcW w:w="20" w:type="dxa"/>
            <w:vAlign w:val="bottom"/>
            <w:tcBorders>
              <w:top w:val="single" w:sz="8" w:color="E4E4E4"/>
              <w:bottom w:val="single" w:sz="8" w:color="E4E4E4"/>
            </w:tcBorders>
            <w:shd w:val="clear" w:color="auto" w:fill="E4E4E4"/>
          </w:tcPr>
          <w:p>
            <w:pPr>
              <w:spacing w:after="0"/>
              <w:rPr>
                <w:sz w:val="20"/>
                <w:szCs w:val="20"/>
                <w:color w:val="auto"/>
              </w:rPr>
            </w:pPr>
          </w:p>
        </w:tc>
        <w:tc>
          <w:tcPr>
            <w:tcW w:w="860" w:type="dxa"/>
            <w:vAlign w:val="bottom"/>
            <w:tcBorders>
              <w:top w:val="single" w:sz="8" w:color="auto"/>
              <w:bottom w:val="single" w:sz="8" w:color="E4E4E4"/>
            </w:tcBorders>
            <w:shd w:val="clear" w:color="auto" w:fill="E4E4E4"/>
          </w:tcPr>
          <w:p>
            <w:pPr>
              <w:spacing w:after="0"/>
              <w:rPr>
                <w:sz w:val="20"/>
                <w:szCs w:val="20"/>
                <w:color w:val="auto"/>
              </w:rPr>
            </w:pPr>
          </w:p>
        </w:tc>
        <w:tc>
          <w:tcPr>
            <w:tcW w:w="20" w:type="dxa"/>
            <w:vAlign w:val="bottom"/>
            <w:tcBorders>
              <w:top w:val="single" w:sz="8" w:color="auto"/>
              <w:bottom w:val="single" w:sz="8" w:color="E4E4E4"/>
            </w:tcBorders>
            <w:shd w:val="clear" w:color="auto" w:fill="E4E4E4"/>
          </w:tcPr>
          <w:p>
            <w:pPr>
              <w:spacing w:after="0"/>
              <w:rPr>
                <w:sz w:val="20"/>
                <w:szCs w:val="20"/>
                <w:color w:val="auto"/>
              </w:rPr>
            </w:pPr>
          </w:p>
        </w:tc>
        <w:tc>
          <w:tcPr>
            <w:tcW w:w="100" w:type="dxa"/>
            <w:vAlign w:val="bottom"/>
            <w:tcBorders>
              <w:top w:val="single" w:sz="8" w:color="E4E4E4"/>
              <w:bottom w:val="single" w:sz="8" w:color="E4E4E4"/>
              <w:right w:val="single" w:sz="8" w:color="E4E4E4"/>
            </w:tcBorders>
            <w:shd w:val="clear" w:color="auto" w:fill="E4E4E4"/>
          </w:tcPr>
          <w:p>
            <w:pPr>
              <w:spacing w:after="0"/>
              <w:rPr>
                <w:sz w:val="20"/>
                <w:szCs w:val="20"/>
                <w:color w:val="auto"/>
              </w:rPr>
            </w:pPr>
          </w:p>
        </w:tc>
        <w:tc>
          <w:tcPr>
            <w:tcW w:w="140" w:type="dxa"/>
            <w:vAlign w:val="bottom"/>
            <w:tcBorders>
              <w:top w:val="single" w:sz="8" w:color="auto"/>
              <w:bottom w:val="single" w:sz="8" w:color="E4E4E4"/>
            </w:tcBorders>
            <w:shd w:val="clear" w:color="auto" w:fill="E4E4E4"/>
          </w:tcPr>
          <w:p>
            <w:pPr>
              <w:spacing w:after="0"/>
              <w:rPr>
                <w:sz w:val="20"/>
                <w:szCs w:val="20"/>
                <w:color w:val="auto"/>
              </w:rPr>
            </w:pPr>
          </w:p>
        </w:tc>
        <w:tc>
          <w:tcPr>
            <w:tcW w:w="680" w:type="dxa"/>
            <w:vAlign w:val="bottom"/>
            <w:tcBorders>
              <w:top w:val="single" w:sz="8" w:color="auto"/>
              <w:bottom w:val="single" w:sz="8" w:color="E4E4E4"/>
              <w:right w:val="single" w:sz="8" w:color="E4E4E4"/>
            </w:tcBorders>
            <w:shd w:val="clear" w:color="auto" w:fill="E4E4E4"/>
          </w:tcPr>
          <w:p>
            <w:pPr>
              <w:spacing w:after="0"/>
              <w:rPr>
                <w:sz w:val="20"/>
                <w:szCs w:val="20"/>
                <w:color w:val="auto"/>
              </w:rPr>
            </w:pPr>
          </w:p>
        </w:tc>
        <w:tc>
          <w:tcPr>
            <w:tcW w:w="160" w:type="dxa"/>
            <w:vAlign w:val="bottom"/>
            <w:tcBorders>
              <w:top w:val="single" w:sz="8" w:color="E4E4E4"/>
              <w:bottom w:val="single" w:sz="8" w:color="E4E4E4"/>
              <w:right w:val="single" w:sz="8" w:color="E4E4E4"/>
            </w:tcBorders>
            <w:shd w:val="clear" w:color="auto" w:fill="E4E4E4"/>
          </w:tcPr>
          <w:p>
            <w:pPr>
              <w:spacing w:after="0"/>
              <w:rPr>
                <w:sz w:val="20"/>
                <w:szCs w:val="20"/>
                <w:color w:val="auto"/>
              </w:rPr>
            </w:pPr>
          </w:p>
        </w:tc>
        <w:tc>
          <w:tcPr>
            <w:tcW w:w="120" w:type="dxa"/>
            <w:vAlign w:val="bottom"/>
            <w:tcBorders>
              <w:top w:val="single" w:sz="8" w:color="auto"/>
              <w:bottom w:val="single" w:sz="8" w:color="E4E4E4"/>
            </w:tcBorders>
            <w:shd w:val="clear" w:color="auto" w:fill="E4E4E4"/>
          </w:tcPr>
          <w:p>
            <w:pPr>
              <w:spacing w:after="0"/>
              <w:rPr>
                <w:sz w:val="20"/>
                <w:szCs w:val="20"/>
                <w:color w:val="auto"/>
              </w:rPr>
            </w:pPr>
          </w:p>
        </w:tc>
        <w:tc>
          <w:tcPr>
            <w:tcW w:w="880" w:type="dxa"/>
            <w:vAlign w:val="bottom"/>
            <w:tcBorders>
              <w:top w:val="single" w:sz="8" w:color="auto"/>
              <w:bottom w:val="single" w:sz="8" w:color="E4E4E4"/>
              <w:right w:val="single" w:sz="8" w:color="E4E4E4"/>
            </w:tcBorders>
            <w:shd w:val="clear" w:color="auto" w:fill="E4E4E4"/>
          </w:tcPr>
          <w:p>
            <w:pPr>
              <w:spacing w:after="0"/>
              <w:rPr>
                <w:sz w:val="20"/>
                <w:szCs w:val="20"/>
                <w:color w:val="auto"/>
              </w:rPr>
            </w:pPr>
          </w:p>
        </w:tc>
        <w:tc>
          <w:tcPr>
            <w:tcW w:w="20" w:type="dxa"/>
            <w:vAlign w:val="bottom"/>
            <w:tcBorders>
              <w:top w:val="single" w:sz="8" w:color="E4E4E4"/>
              <w:bottom w:val="single" w:sz="8" w:color="E4E4E4"/>
            </w:tcBorders>
            <w:shd w:val="clear" w:color="auto" w:fill="E4E4E4"/>
          </w:tcPr>
          <w:p>
            <w:pPr>
              <w:spacing w:after="0"/>
              <w:rPr>
                <w:sz w:val="20"/>
                <w:szCs w:val="20"/>
                <w:color w:val="auto"/>
              </w:rPr>
            </w:pPr>
          </w:p>
        </w:tc>
        <w:tc>
          <w:tcPr>
            <w:tcW w:w="100" w:type="dxa"/>
            <w:vAlign w:val="bottom"/>
            <w:tcBorders>
              <w:top w:val="single" w:sz="8" w:color="auto"/>
              <w:bottom w:val="single" w:sz="8" w:color="E4E4E4"/>
            </w:tcBorders>
            <w:shd w:val="clear" w:color="auto" w:fill="E4E4E4"/>
          </w:tcPr>
          <w:p>
            <w:pPr>
              <w:spacing w:after="0"/>
              <w:rPr>
                <w:sz w:val="20"/>
                <w:szCs w:val="20"/>
                <w:color w:val="auto"/>
              </w:rPr>
            </w:pPr>
          </w:p>
        </w:tc>
        <w:tc>
          <w:tcPr>
            <w:tcW w:w="20" w:type="dxa"/>
            <w:vAlign w:val="bottom"/>
            <w:tcBorders>
              <w:top w:val="single" w:sz="8" w:color="auto"/>
              <w:bottom w:val="single" w:sz="8" w:color="E4E4E4"/>
            </w:tcBorders>
            <w:shd w:val="clear" w:color="auto" w:fill="E4E4E4"/>
          </w:tcPr>
          <w:p>
            <w:pPr>
              <w:spacing w:after="0"/>
              <w:rPr>
                <w:sz w:val="20"/>
                <w:szCs w:val="20"/>
                <w:color w:val="auto"/>
              </w:rPr>
            </w:pPr>
          </w:p>
        </w:tc>
        <w:tc>
          <w:tcPr>
            <w:tcW w:w="700" w:type="dxa"/>
            <w:vAlign w:val="bottom"/>
            <w:tcBorders>
              <w:top w:val="single" w:sz="8" w:color="auto"/>
              <w:bottom w:val="single" w:sz="8" w:color="E4E4E4"/>
              <w:right w:val="single" w:sz="8" w:color="E4E4E4"/>
            </w:tcBorders>
            <w:shd w:val="clear" w:color="auto" w:fill="E4E4E4"/>
          </w:tcPr>
          <w:p>
            <w:pPr>
              <w:spacing w:after="0"/>
              <w:rPr>
                <w:sz w:val="20"/>
                <w:szCs w:val="20"/>
                <w:color w:val="auto"/>
              </w:rPr>
            </w:pPr>
          </w:p>
        </w:tc>
        <w:tc>
          <w:tcPr>
            <w:tcW w:w="160" w:type="dxa"/>
            <w:vAlign w:val="bottom"/>
            <w:tcBorders>
              <w:top w:val="single" w:sz="8" w:color="E4E4E4"/>
              <w:bottom w:val="single" w:sz="8" w:color="E4E4E4"/>
              <w:right w:val="single" w:sz="8" w:color="E4E4E4"/>
            </w:tcBorders>
            <w:shd w:val="clear" w:color="auto" w:fill="E4E4E4"/>
          </w:tcPr>
          <w:p>
            <w:pPr>
              <w:spacing w:after="0"/>
              <w:rPr>
                <w:sz w:val="20"/>
                <w:szCs w:val="20"/>
                <w:color w:val="auto"/>
              </w:rPr>
            </w:pPr>
          </w:p>
        </w:tc>
        <w:tc>
          <w:tcPr>
            <w:tcW w:w="160" w:type="dxa"/>
            <w:vAlign w:val="bottom"/>
            <w:tcBorders>
              <w:top w:val="single" w:sz="8" w:color="auto"/>
              <w:left w:val="single" w:sz="8" w:color="E4E4E4"/>
              <w:bottom w:val="single" w:sz="8" w:color="E4E4E4"/>
            </w:tcBorders>
            <w:shd w:val="clear" w:color="auto" w:fill="E4E4E4"/>
          </w:tcPr>
          <w:p>
            <w:pPr>
              <w:spacing w:after="0"/>
              <w:rPr>
                <w:sz w:val="20"/>
                <w:szCs w:val="20"/>
                <w:color w:val="auto"/>
              </w:rPr>
            </w:pPr>
          </w:p>
        </w:tc>
        <w:tc>
          <w:tcPr>
            <w:tcW w:w="680" w:type="dxa"/>
            <w:vAlign w:val="bottom"/>
            <w:tcBorders>
              <w:top w:val="single" w:sz="8" w:color="auto"/>
              <w:bottom w:val="single" w:sz="8" w:color="E4E4E4"/>
              <w:right w:val="single" w:sz="8" w:color="E4E4E4"/>
            </w:tcBorders>
            <w:shd w:val="clear" w:color="auto" w:fill="E4E4E4"/>
          </w:tcPr>
          <w:p>
            <w:pPr>
              <w:spacing w:after="0"/>
              <w:rPr>
                <w:sz w:val="20"/>
                <w:szCs w:val="20"/>
                <w:color w:val="auto"/>
              </w:rPr>
            </w:pPr>
          </w:p>
        </w:tc>
        <w:tc>
          <w:tcPr>
            <w:tcW w:w="80" w:type="dxa"/>
            <w:vAlign w:val="bottom"/>
            <w:tcBorders>
              <w:top w:val="single" w:sz="8" w:color="E4E4E4"/>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380" w:type="dxa"/>
            <w:vAlign w:val="bottom"/>
            <w:gridSpan w:val="2"/>
          </w:tcPr>
          <w:p>
            <w:pPr>
              <w:ind w:left="280"/>
              <w:spacing w:after="0" w:line="200" w:lineRule="exact"/>
              <w:rPr>
                <w:sz w:val="20"/>
                <w:szCs w:val="20"/>
                <w:color w:val="auto"/>
              </w:rPr>
            </w:pPr>
            <w:r>
              <w:rPr>
                <w:rFonts w:ascii="Arial" w:cs="Arial" w:eastAsia="Arial" w:hAnsi="Arial"/>
                <w:sz w:val="20"/>
                <w:szCs w:val="20"/>
                <w:color w:val="auto"/>
              </w:rPr>
              <w:t>Money market fund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center"/>
              <w:spacing w:after="0" w:line="200" w:lineRule="exact"/>
              <w:rPr>
                <w:sz w:val="20"/>
                <w:szCs w:val="20"/>
                <w:color w:val="auto"/>
              </w:rPr>
            </w:pPr>
            <w:r>
              <w:rPr>
                <w:rFonts w:ascii="Arial" w:cs="Arial" w:eastAsia="Arial" w:hAnsi="Arial"/>
                <w:sz w:val="20"/>
                <w:szCs w:val="20"/>
                <w:color w:val="auto"/>
                <w:w w:val="89"/>
              </w:rPr>
              <w:t>1</w:t>
            </w:r>
          </w:p>
        </w:tc>
        <w:tc>
          <w:tcPr>
            <w:tcW w:w="20" w:type="dxa"/>
            <w:vAlign w:val="bottom"/>
          </w:tcPr>
          <w:p>
            <w:pPr>
              <w:spacing w:after="0"/>
              <w:rPr>
                <w:sz w:val="17"/>
                <w:szCs w:val="17"/>
                <w:color w:val="auto"/>
              </w:rPr>
            </w:pPr>
          </w:p>
        </w:tc>
        <w:tc>
          <w:tcPr>
            <w:tcW w:w="240" w:type="dxa"/>
            <w:vAlign w:val="bottom"/>
            <w:gridSpan w:val="2"/>
          </w:tcPr>
          <w:p>
            <w:pPr>
              <w:jc w:val="right"/>
              <w:spacing w:after="0" w:line="200" w:lineRule="exact"/>
              <w:rPr>
                <w:sz w:val="20"/>
                <w:szCs w:val="20"/>
                <w:color w:val="auto"/>
              </w:rPr>
            </w:pPr>
            <w:r>
              <w:rPr>
                <w:rFonts w:ascii="Arial" w:cs="Arial" w:eastAsia="Arial" w:hAnsi="Arial"/>
                <w:sz w:val="20"/>
                <w:szCs w:val="20"/>
                <w:color w:val="auto"/>
              </w:rPr>
              <w:t>$</w:t>
            </w:r>
          </w:p>
        </w:tc>
        <w:tc>
          <w:tcPr>
            <w:tcW w:w="680" w:type="dxa"/>
            <w:vAlign w:val="bottom"/>
          </w:tcPr>
          <w:p>
            <w:pPr>
              <w:jc w:val="right"/>
              <w:spacing w:after="0" w:line="200" w:lineRule="exact"/>
              <w:rPr>
                <w:sz w:val="20"/>
                <w:szCs w:val="20"/>
                <w:color w:val="auto"/>
              </w:rPr>
            </w:pPr>
            <w:r>
              <w:rPr>
                <w:rFonts w:ascii="Arial" w:cs="Arial" w:eastAsia="Arial" w:hAnsi="Arial"/>
                <w:sz w:val="20"/>
                <w:szCs w:val="20"/>
                <w:color w:val="auto"/>
              </w:rPr>
              <w:t>63</w:t>
            </w:r>
          </w:p>
        </w:tc>
        <w:tc>
          <w:tcPr>
            <w:tcW w:w="160" w:type="dxa"/>
            <w:vAlign w:val="bottom"/>
          </w:tcPr>
          <w:p>
            <w:pPr>
              <w:spacing w:after="0"/>
              <w:rPr>
                <w:sz w:val="17"/>
                <w:szCs w:val="17"/>
                <w:color w:val="auto"/>
              </w:rPr>
            </w:pPr>
          </w:p>
        </w:tc>
        <w:tc>
          <w:tcPr>
            <w:tcW w:w="120" w:type="dxa"/>
            <w:vAlign w:val="bottom"/>
          </w:tcPr>
          <w:p>
            <w:pPr>
              <w:spacing w:after="0" w:line="200" w:lineRule="exact"/>
              <w:rPr>
                <w:sz w:val="20"/>
                <w:szCs w:val="20"/>
                <w:color w:val="auto"/>
              </w:rPr>
            </w:pPr>
            <w:r>
              <w:rPr>
                <w:rFonts w:ascii="Arial" w:cs="Arial" w:eastAsia="Arial" w:hAnsi="Arial"/>
                <w:sz w:val="20"/>
                <w:szCs w:val="20"/>
                <w:color w:val="auto"/>
                <w:w w:val="89"/>
              </w:rPr>
              <w:t>$</w:t>
            </w:r>
          </w:p>
        </w:tc>
        <w:tc>
          <w:tcPr>
            <w:tcW w:w="880" w:type="dxa"/>
            <w:vAlign w:val="bottom"/>
          </w:tcPr>
          <w:p>
            <w:pPr>
              <w:ind w:left="500"/>
              <w:spacing w:after="0" w:line="200" w:lineRule="exact"/>
              <w:rPr>
                <w:sz w:val="20"/>
                <w:szCs w:val="20"/>
                <w:color w:val="auto"/>
              </w:rPr>
            </w:pPr>
            <w:r>
              <w:rPr>
                <w:rFonts w:ascii="Arial" w:cs="Arial" w:eastAsia="Arial" w:hAnsi="Arial"/>
                <w:sz w:val="20"/>
                <w:szCs w:val="20"/>
                <w:color w:val="auto"/>
              </w:rPr>
              <w:t>—</w:t>
            </w:r>
          </w:p>
        </w:tc>
        <w:tc>
          <w:tcPr>
            <w:tcW w:w="120" w:type="dxa"/>
            <w:vAlign w:val="bottom"/>
            <w:gridSpan w:val="2"/>
          </w:tcPr>
          <w:p>
            <w:pPr>
              <w:ind w:left="20"/>
              <w:spacing w:after="0" w:line="200" w:lineRule="exact"/>
              <w:rPr>
                <w:sz w:val="20"/>
                <w:szCs w:val="20"/>
                <w:color w:val="auto"/>
              </w:rPr>
            </w:pPr>
            <w:r>
              <w:rPr>
                <w:rFonts w:ascii="Arial" w:cs="Arial" w:eastAsia="Arial" w:hAnsi="Arial"/>
                <w:sz w:val="20"/>
                <w:szCs w:val="20"/>
                <w:color w:val="auto"/>
                <w:w w:val="71"/>
              </w:rPr>
              <w:t>$</w:t>
            </w:r>
          </w:p>
        </w:tc>
        <w:tc>
          <w:tcPr>
            <w:tcW w:w="2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Arial" w:cs="Arial" w:eastAsia="Arial" w:hAnsi="Arial"/>
                <w:sz w:val="20"/>
                <w:szCs w:val="20"/>
                <w:color w:val="auto"/>
              </w:rPr>
              <w:t>—</w:t>
            </w:r>
          </w:p>
        </w:tc>
        <w:tc>
          <w:tcPr>
            <w:tcW w:w="160" w:type="dxa"/>
            <w:vAlign w:val="bottom"/>
          </w:tcPr>
          <w:p>
            <w:pPr>
              <w:spacing w:after="0"/>
              <w:rPr>
                <w:sz w:val="17"/>
                <w:szCs w:val="17"/>
                <w:color w:val="auto"/>
              </w:rPr>
            </w:pPr>
          </w:p>
        </w:tc>
        <w:tc>
          <w:tcPr>
            <w:tcW w:w="160" w:type="dxa"/>
            <w:vAlign w:val="bottom"/>
          </w:tcPr>
          <w:p>
            <w:pPr>
              <w:jc w:val="right"/>
              <w:spacing w:after="0" w:line="200" w:lineRule="exact"/>
              <w:rPr>
                <w:sz w:val="20"/>
                <w:szCs w:val="20"/>
                <w:color w:val="auto"/>
              </w:rPr>
            </w:pPr>
            <w:r>
              <w:rPr>
                <w:rFonts w:ascii="Arial" w:cs="Arial" w:eastAsia="Arial" w:hAnsi="Arial"/>
                <w:sz w:val="20"/>
                <w:szCs w:val="20"/>
                <w:color w:val="auto"/>
              </w:rPr>
              <w:t>$</w:t>
            </w:r>
          </w:p>
        </w:tc>
        <w:tc>
          <w:tcPr>
            <w:tcW w:w="680" w:type="dxa"/>
            <w:vAlign w:val="bottom"/>
          </w:tcPr>
          <w:p>
            <w:pPr>
              <w:jc w:val="right"/>
              <w:spacing w:after="0" w:line="200" w:lineRule="exact"/>
              <w:rPr>
                <w:sz w:val="20"/>
                <w:szCs w:val="20"/>
                <w:color w:val="auto"/>
              </w:rPr>
            </w:pPr>
            <w:r>
              <w:rPr>
                <w:rFonts w:ascii="Arial" w:cs="Arial" w:eastAsia="Arial" w:hAnsi="Arial"/>
                <w:sz w:val="20"/>
                <w:szCs w:val="20"/>
                <w:color w:val="auto"/>
              </w:rPr>
              <w:t>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E4E4E4"/>
          </w:tcPr>
          <w:p>
            <w:pPr>
              <w:ind w:left="280"/>
              <w:spacing w:after="0"/>
              <w:rPr>
                <w:sz w:val="20"/>
                <w:szCs w:val="20"/>
                <w:color w:val="auto"/>
              </w:rPr>
            </w:pPr>
            <w:r>
              <w:rPr>
                <w:rFonts w:ascii="Arial" w:cs="Arial" w:eastAsia="Arial" w:hAnsi="Arial"/>
                <w:sz w:val="20"/>
                <w:szCs w:val="20"/>
                <w:color w:val="auto"/>
              </w:rPr>
              <w:t>Commercial paper</w:t>
            </w:r>
          </w:p>
        </w:tc>
        <w:tc>
          <w:tcPr>
            <w:tcW w:w="8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20"/>
                <w:szCs w:val="20"/>
                <w:color w:val="auto"/>
                <w:w w:val="89"/>
              </w:rPr>
              <w:t>2</w:t>
            </w:r>
          </w:p>
        </w:tc>
        <w:tc>
          <w:tcPr>
            <w:tcW w:w="20" w:type="dxa"/>
            <w:vAlign w:val="bottom"/>
            <w:shd w:val="clear" w:color="auto" w:fill="E4E4E4"/>
          </w:tcPr>
          <w:p>
            <w:pPr>
              <w:spacing w:after="0"/>
              <w:rPr>
                <w:sz w:val="20"/>
                <w:szCs w:val="20"/>
                <w:color w:val="auto"/>
              </w:rPr>
            </w:pPr>
          </w:p>
        </w:tc>
        <w:tc>
          <w:tcPr>
            <w:tcW w:w="100" w:type="dxa"/>
            <w:vAlign w:val="bottom"/>
            <w:tcBorders>
              <w:right w:val="single" w:sz="8" w:color="E4E4E4"/>
            </w:tcBorders>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68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59,227</w:t>
            </w:r>
          </w:p>
        </w:tc>
        <w:tc>
          <w:tcPr>
            <w:tcW w:w="160" w:type="dxa"/>
            <w:vAlign w:val="bottom"/>
            <w:tcBorders>
              <w:right w:val="single" w:sz="8" w:color="E4E4E4"/>
            </w:tcBorders>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880" w:type="dxa"/>
            <w:vAlign w:val="bottom"/>
            <w:tcBorders>
              <w:right w:val="single" w:sz="8" w:color="E4E4E4"/>
            </w:tcBorders>
            <w:shd w:val="clear" w:color="auto" w:fill="E4E4E4"/>
          </w:tcPr>
          <w:p>
            <w:pPr>
              <w:ind w:left="500"/>
              <w:spacing w:after="0"/>
              <w:rPr>
                <w:sz w:val="20"/>
                <w:szCs w:val="20"/>
                <w:color w:val="auto"/>
              </w:rPr>
            </w:pPr>
            <w:r>
              <w:rPr>
                <w:rFonts w:ascii="Arial" w:cs="Arial" w:eastAsia="Arial" w:hAnsi="Arial"/>
                <w:sz w:val="20"/>
                <w:szCs w:val="20"/>
                <w:color w:val="auto"/>
              </w:rPr>
              <w:t>—</w:t>
            </w: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60" w:type="dxa"/>
            <w:vAlign w:val="bottom"/>
            <w:tcBorders>
              <w:right w:val="single" w:sz="8" w:color="E4E4E4"/>
            </w:tcBorders>
            <w:gridSpan w:val="2"/>
            <w:shd w:val="clear" w:color="auto" w:fill="E4E4E4"/>
          </w:tcPr>
          <w:p>
            <w:pPr>
              <w:jc w:val="right"/>
              <w:ind w:right="48"/>
              <w:spacing w:after="0"/>
              <w:rPr>
                <w:sz w:val="20"/>
                <w:szCs w:val="20"/>
                <w:color w:val="auto"/>
              </w:rPr>
            </w:pPr>
            <w:r>
              <w:rPr>
                <w:rFonts w:ascii="Arial" w:cs="Arial" w:eastAsia="Arial" w:hAnsi="Arial"/>
                <w:sz w:val="20"/>
                <w:szCs w:val="20"/>
                <w:color w:val="auto"/>
              </w:rPr>
              <w:t>(30)</w:t>
            </w:r>
          </w:p>
        </w:tc>
        <w:tc>
          <w:tcPr>
            <w:tcW w:w="160" w:type="dxa"/>
            <w:vAlign w:val="bottom"/>
            <w:tcBorders>
              <w:left w:val="single" w:sz="8" w:color="E4E4E4"/>
            </w:tcBorders>
            <w:shd w:val="clear" w:color="auto" w:fill="E4E4E4"/>
          </w:tcPr>
          <w:p>
            <w:pPr>
              <w:spacing w:after="0"/>
              <w:rPr>
                <w:sz w:val="20"/>
                <w:szCs w:val="20"/>
                <w:color w:val="auto"/>
              </w:rPr>
            </w:pPr>
          </w:p>
        </w:tc>
        <w:tc>
          <w:tcPr>
            <w:tcW w:w="68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59,197</w:t>
            </w:r>
          </w:p>
        </w:tc>
        <w:tc>
          <w:tcPr>
            <w:tcW w:w="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380" w:type="dxa"/>
            <w:vAlign w:val="bottom"/>
            <w:tcBorders>
              <w:bottom w:val="single" w:sz="8" w:color="E4E4E4"/>
            </w:tcBorders>
            <w:gridSpan w:val="2"/>
          </w:tcPr>
          <w:p>
            <w:pPr>
              <w:ind w:left="280"/>
              <w:spacing w:after="0" w:line="220" w:lineRule="exact"/>
              <w:rPr>
                <w:sz w:val="20"/>
                <w:szCs w:val="20"/>
                <w:color w:val="auto"/>
              </w:rPr>
            </w:pPr>
            <w:r>
              <w:rPr>
                <w:rFonts w:ascii="Arial" w:cs="Arial" w:eastAsia="Arial" w:hAnsi="Arial"/>
                <w:sz w:val="20"/>
                <w:szCs w:val="20"/>
                <w:color w:val="auto"/>
              </w:rPr>
              <w:t>Total cash equivalents</w:t>
            </w:r>
          </w:p>
        </w:tc>
        <w:tc>
          <w:tcPr>
            <w:tcW w:w="80" w:type="dxa"/>
            <w:vAlign w:val="bottom"/>
            <w:tcBorders>
              <w:bottom w:val="single" w:sz="8" w:color="E4E4E4"/>
            </w:tcBorders>
          </w:tcPr>
          <w:p>
            <w:pPr>
              <w:spacing w:after="0"/>
              <w:rPr>
                <w:sz w:val="22"/>
                <w:szCs w:val="22"/>
                <w:color w:val="auto"/>
              </w:rPr>
            </w:pPr>
          </w:p>
        </w:tc>
        <w:tc>
          <w:tcPr>
            <w:tcW w:w="20" w:type="dxa"/>
            <w:vAlign w:val="bottom"/>
            <w:tcBorders>
              <w:bottom w:val="single" w:sz="8" w:color="E4E4E4"/>
            </w:tcBorders>
          </w:tcPr>
          <w:p>
            <w:pPr>
              <w:spacing w:after="0"/>
              <w:rPr>
                <w:sz w:val="22"/>
                <w:szCs w:val="22"/>
                <w:color w:val="auto"/>
              </w:rPr>
            </w:pPr>
          </w:p>
        </w:tc>
        <w:tc>
          <w:tcPr>
            <w:tcW w:w="860" w:type="dxa"/>
            <w:vAlign w:val="bottom"/>
            <w:tcBorders>
              <w:bottom w:val="single" w:sz="8" w:color="E4E4E4"/>
            </w:tcBorders>
          </w:tcPr>
          <w:p>
            <w:pPr>
              <w:spacing w:after="0"/>
              <w:rPr>
                <w:sz w:val="22"/>
                <w:szCs w:val="22"/>
                <w:color w:val="auto"/>
              </w:rPr>
            </w:pPr>
          </w:p>
        </w:tc>
        <w:tc>
          <w:tcPr>
            <w:tcW w:w="20" w:type="dxa"/>
            <w:vAlign w:val="bottom"/>
            <w:tcBorders>
              <w:bottom w:val="single" w:sz="8" w:color="E4E4E4"/>
            </w:tcBorders>
          </w:tcPr>
          <w:p>
            <w:pPr>
              <w:spacing w:after="0"/>
              <w:rPr>
                <w:sz w:val="22"/>
                <w:szCs w:val="22"/>
                <w:color w:val="auto"/>
              </w:rPr>
            </w:pPr>
          </w:p>
        </w:tc>
        <w:tc>
          <w:tcPr>
            <w:tcW w:w="100" w:type="dxa"/>
            <w:vAlign w:val="bottom"/>
            <w:tcBorders>
              <w:bottom w:val="single" w:sz="8" w:color="E4E4E4"/>
            </w:tcBorders>
          </w:tcPr>
          <w:p>
            <w:pPr>
              <w:spacing w:after="0"/>
              <w:rPr>
                <w:sz w:val="22"/>
                <w:szCs w:val="22"/>
                <w:color w:val="auto"/>
              </w:rPr>
            </w:pPr>
          </w:p>
        </w:tc>
        <w:tc>
          <w:tcPr>
            <w:tcW w:w="82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rPr>
              <w:t>$ 59,290</w:t>
            </w:r>
          </w:p>
        </w:tc>
        <w:tc>
          <w:tcPr>
            <w:tcW w:w="160" w:type="dxa"/>
            <w:vAlign w:val="bottom"/>
            <w:tcBorders>
              <w:bottom w:val="single" w:sz="8" w:color="E4E4E4"/>
            </w:tcBorders>
          </w:tcPr>
          <w:p>
            <w:pPr>
              <w:spacing w:after="0"/>
              <w:rPr>
                <w:sz w:val="22"/>
                <w:szCs w:val="22"/>
                <w:color w:val="auto"/>
              </w:rPr>
            </w:pPr>
          </w:p>
        </w:tc>
        <w:tc>
          <w:tcPr>
            <w:tcW w:w="12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bottom w:val="single" w:sz="8" w:color="auto"/>
            </w:tcBorders>
          </w:tcPr>
          <w:p>
            <w:pPr>
              <w:ind w:left="500"/>
              <w:spacing w:after="0" w:line="220" w:lineRule="exact"/>
              <w:rPr>
                <w:sz w:val="20"/>
                <w:szCs w:val="20"/>
                <w:color w:val="auto"/>
              </w:rPr>
            </w:pPr>
            <w:r>
              <w:rPr>
                <w:rFonts w:ascii="Arial" w:cs="Arial" w:eastAsia="Arial" w:hAnsi="Arial"/>
                <w:sz w:val="20"/>
                <w:szCs w:val="20"/>
                <w:color w:val="auto"/>
              </w:rPr>
              <w:t>—</w:t>
            </w:r>
          </w:p>
        </w:tc>
        <w:tc>
          <w:tcPr>
            <w:tcW w:w="20" w:type="dxa"/>
            <w:vAlign w:val="bottom"/>
            <w:tcBorders>
              <w:bottom w:val="single" w:sz="8" w:color="E4E4E4"/>
            </w:tcBorders>
          </w:tcPr>
          <w:p>
            <w:pPr>
              <w:spacing w:after="0"/>
              <w:rPr>
                <w:sz w:val="22"/>
                <w:szCs w:val="22"/>
                <w:color w:val="auto"/>
              </w:rPr>
            </w:pPr>
          </w:p>
        </w:tc>
        <w:tc>
          <w:tcPr>
            <w:tcW w:w="10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auto"/>
                <w:w w:val="71"/>
              </w:rPr>
              <w:t>$</w:t>
            </w:r>
          </w:p>
        </w:tc>
        <w:tc>
          <w:tcPr>
            <w:tcW w:w="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(30</w:t>
            </w:r>
          </w:p>
        </w:tc>
        <w:tc>
          <w:tcPr>
            <w:tcW w:w="160" w:type="dxa"/>
            <w:vAlign w:val="bottom"/>
            <w:tcBorders>
              <w:bottom w:val="single" w:sz="8" w:color="E4E4E4"/>
            </w:tcBorders>
          </w:tcPr>
          <w:p>
            <w:pPr>
              <w:jc w:val="right"/>
              <w:ind w:right="48"/>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rPr>
              <w:t>$ 59,260</w:t>
            </w:r>
          </w:p>
        </w:tc>
        <w:tc>
          <w:tcPr>
            <w:tcW w:w="80" w:type="dxa"/>
            <w:vAlign w:val="bottom"/>
            <w:tcBorders>
              <w:bottom w:val="single" w:sz="8" w:color="E4E4E4"/>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380" w:type="dxa"/>
            <w:vAlign w:val="bottom"/>
            <w:tcBorders>
              <w:bottom w:val="single" w:sz="8" w:color="auto"/>
            </w:tcBorders>
            <w:gridSpan w:val="2"/>
            <w:shd w:val="clear" w:color="auto" w:fill="E4E4E4"/>
          </w:tcPr>
          <w:p>
            <w:pPr>
              <w:spacing w:after="0" w:line="215" w:lineRule="exact"/>
              <w:rPr>
                <w:sz w:val="20"/>
                <w:szCs w:val="20"/>
                <w:color w:val="auto"/>
              </w:rPr>
            </w:pPr>
            <w:r>
              <w:rPr>
                <w:rFonts w:ascii="Arial" w:cs="Arial" w:eastAsia="Arial" w:hAnsi="Arial"/>
                <w:sz w:val="20"/>
                <w:szCs w:val="20"/>
                <w:color w:val="auto"/>
              </w:rPr>
              <w:t>Short-term investments:</w:t>
            </w:r>
          </w:p>
        </w:tc>
        <w:tc>
          <w:tcPr>
            <w:tcW w:w="8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00" w:type="dxa"/>
            <w:vAlign w:val="bottom"/>
            <w:tcBorders>
              <w:right w:val="single" w:sz="8" w:color="E4E4E4"/>
            </w:tcBorders>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680" w:type="dxa"/>
            <w:vAlign w:val="bottom"/>
            <w:tcBorders>
              <w:right w:val="single" w:sz="8" w:color="E4E4E4"/>
            </w:tcBorders>
            <w:shd w:val="clear" w:color="auto" w:fill="E4E4E4"/>
          </w:tcPr>
          <w:p>
            <w:pPr>
              <w:spacing w:after="0"/>
              <w:rPr>
                <w:sz w:val="18"/>
                <w:szCs w:val="18"/>
                <w:color w:val="auto"/>
              </w:rPr>
            </w:pPr>
          </w:p>
        </w:tc>
        <w:tc>
          <w:tcPr>
            <w:tcW w:w="160" w:type="dxa"/>
            <w:vAlign w:val="bottom"/>
            <w:tcBorders>
              <w:right w:val="single" w:sz="8" w:color="E4E4E4"/>
            </w:tcBorders>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880" w:type="dxa"/>
            <w:vAlign w:val="bottom"/>
            <w:tcBorders>
              <w:right w:val="single" w:sz="8" w:color="E4E4E4"/>
            </w:tcBorders>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700" w:type="dxa"/>
            <w:vAlign w:val="bottom"/>
            <w:tcBorders>
              <w:right w:val="single" w:sz="8" w:color="E4E4E4"/>
            </w:tcBorders>
            <w:shd w:val="clear" w:color="auto" w:fill="E4E4E4"/>
          </w:tcPr>
          <w:p>
            <w:pPr>
              <w:spacing w:after="0"/>
              <w:rPr>
                <w:sz w:val="18"/>
                <w:szCs w:val="18"/>
                <w:color w:val="auto"/>
              </w:rPr>
            </w:pPr>
          </w:p>
        </w:tc>
        <w:tc>
          <w:tcPr>
            <w:tcW w:w="160" w:type="dxa"/>
            <w:vAlign w:val="bottom"/>
            <w:tcBorders>
              <w:right w:val="single" w:sz="8" w:color="E4E4E4"/>
            </w:tcBorders>
            <w:shd w:val="clear" w:color="auto" w:fill="E4E4E4"/>
          </w:tcPr>
          <w:p>
            <w:pPr>
              <w:spacing w:after="0"/>
              <w:rPr>
                <w:sz w:val="18"/>
                <w:szCs w:val="18"/>
                <w:color w:val="auto"/>
              </w:rPr>
            </w:pPr>
          </w:p>
        </w:tc>
        <w:tc>
          <w:tcPr>
            <w:tcW w:w="160" w:type="dxa"/>
            <w:vAlign w:val="bottom"/>
            <w:tcBorders>
              <w:left w:val="single" w:sz="8" w:color="E4E4E4"/>
            </w:tcBorders>
            <w:shd w:val="clear" w:color="auto" w:fill="E4E4E4"/>
          </w:tcPr>
          <w:p>
            <w:pPr>
              <w:spacing w:after="0"/>
              <w:rPr>
                <w:sz w:val="18"/>
                <w:szCs w:val="18"/>
                <w:color w:val="auto"/>
              </w:rPr>
            </w:pPr>
          </w:p>
        </w:tc>
        <w:tc>
          <w:tcPr>
            <w:tcW w:w="680" w:type="dxa"/>
            <w:vAlign w:val="bottom"/>
            <w:tcBorders>
              <w:right w:val="single" w:sz="8" w:color="E4E4E4"/>
            </w:tcBorders>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80" w:type="dxa"/>
            <w:vAlign w:val="bottom"/>
            <w:gridSpan w:val="2"/>
          </w:tcPr>
          <w:p>
            <w:pPr>
              <w:ind w:left="280"/>
              <w:spacing w:after="0" w:line="220" w:lineRule="exact"/>
              <w:rPr>
                <w:sz w:val="20"/>
                <w:szCs w:val="20"/>
                <w:color w:val="auto"/>
              </w:rPr>
            </w:pPr>
            <w:r>
              <w:rPr>
                <w:rFonts w:ascii="Arial" w:cs="Arial" w:eastAsia="Arial" w:hAnsi="Arial"/>
                <w:sz w:val="20"/>
                <w:szCs w:val="20"/>
                <w:color w:val="auto"/>
              </w:rPr>
              <w:t>Commercial paper</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center"/>
              <w:spacing w:after="0" w:line="220" w:lineRule="exact"/>
              <w:rPr>
                <w:sz w:val="20"/>
                <w:szCs w:val="20"/>
                <w:color w:val="auto"/>
              </w:rPr>
            </w:pPr>
            <w:r>
              <w:rPr>
                <w:rFonts w:ascii="Arial" w:cs="Arial" w:eastAsia="Arial" w:hAnsi="Arial"/>
                <w:sz w:val="20"/>
                <w:szCs w:val="20"/>
                <w:color w:val="auto"/>
                <w:w w:val="89"/>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Arial" w:cs="Arial" w:eastAsia="Arial" w:hAnsi="Arial"/>
                <w:sz w:val="20"/>
                <w:szCs w:val="20"/>
                <w:color w:val="auto"/>
              </w:rPr>
              <w:t>6,431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500"/>
              <w:spacing w:after="0" w:line="220"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2"/>
          </w:tcPr>
          <w:p>
            <w:pPr>
              <w:jc w:val="right"/>
              <w:ind w:right="48"/>
              <w:spacing w:after="0" w:line="220" w:lineRule="exact"/>
              <w:rPr>
                <w:sz w:val="20"/>
                <w:szCs w:val="20"/>
                <w:color w:val="auto"/>
              </w:rPr>
            </w:pPr>
            <w:r>
              <w:rPr>
                <w:rFonts w:ascii="Arial" w:cs="Arial" w:eastAsia="Arial" w:hAnsi="Arial"/>
                <w:sz w:val="20"/>
                <w:szCs w:val="20"/>
                <w:color w:val="auto"/>
              </w:rPr>
              <w:t>(4)</w:t>
            </w:r>
          </w:p>
        </w:tc>
        <w:tc>
          <w:tcPr>
            <w:tcW w:w="16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Arial" w:cs="Arial" w:eastAsia="Arial" w:hAnsi="Arial"/>
                <w:sz w:val="20"/>
                <w:szCs w:val="20"/>
                <w:color w:val="auto"/>
              </w:rPr>
              <w:t>6,427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E4E4E4"/>
          </w:tcPr>
          <w:p>
            <w:pPr>
              <w:ind w:left="280"/>
              <w:spacing w:after="0"/>
              <w:rPr>
                <w:sz w:val="20"/>
                <w:szCs w:val="20"/>
                <w:color w:val="auto"/>
              </w:rPr>
            </w:pPr>
            <w:r>
              <w:rPr>
                <w:rFonts w:ascii="Arial" w:cs="Arial" w:eastAsia="Arial" w:hAnsi="Arial"/>
                <w:sz w:val="20"/>
                <w:szCs w:val="20"/>
                <w:color w:val="auto"/>
              </w:rPr>
              <w:t>U.S. government debt and agency</w:t>
            </w:r>
          </w:p>
        </w:tc>
        <w:tc>
          <w:tcPr>
            <w:tcW w:w="8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tcBorders>
              <w:right w:val="single" w:sz="8" w:color="E4E4E4"/>
            </w:tcBorders>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680" w:type="dxa"/>
            <w:vAlign w:val="bottom"/>
            <w:tcBorders>
              <w:right w:val="single" w:sz="8" w:color="E4E4E4"/>
            </w:tcBorders>
            <w:shd w:val="clear" w:color="auto" w:fill="E4E4E4"/>
          </w:tcPr>
          <w:p>
            <w:pPr>
              <w:spacing w:after="0"/>
              <w:rPr>
                <w:sz w:val="20"/>
                <w:szCs w:val="20"/>
                <w:color w:val="auto"/>
              </w:rPr>
            </w:pPr>
          </w:p>
        </w:tc>
        <w:tc>
          <w:tcPr>
            <w:tcW w:w="160" w:type="dxa"/>
            <w:vAlign w:val="bottom"/>
            <w:tcBorders>
              <w:right w:val="single" w:sz="8" w:color="E4E4E4"/>
            </w:tcBorders>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880" w:type="dxa"/>
            <w:vAlign w:val="bottom"/>
            <w:tcBorders>
              <w:right w:val="single" w:sz="8" w:color="E4E4E4"/>
            </w:tcBorders>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700" w:type="dxa"/>
            <w:vAlign w:val="bottom"/>
            <w:tcBorders>
              <w:right w:val="single" w:sz="8" w:color="E4E4E4"/>
            </w:tcBorders>
            <w:shd w:val="clear" w:color="auto" w:fill="E4E4E4"/>
          </w:tcPr>
          <w:p>
            <w:pPr>
              <w:spacing w:after="0"/>
              <w:rPr>
                <w:sz w:val="20"/>
                <w:szCs w:val="20"/>
                <w:color w:val="auto"/>
              </w:rPr>
            </w:pPr>
          </w:p>
        </w:tc>
        <w:tc>
          <w:tcPr>
            <w:tcW w:w="160" w:type="dxa"/>
            <w:vAlign w:val="bottom"/>
            <w:tcBorders>
              <w:right w:val="single" w:sz="8" w:color="E4E4E4"/>
            </w:tcBorders>
            <w:shd w:val="clear" w:color="auto" w:fill="E4E4E4"/>
          </w:tcPr>
          <w:p>
            <w:pPr>
              <w:spacing w:after="0"/>
              <w:rPr>
                <w:sz w:val="20"/>
                <w:szCs w:val="20"/>
                <w:color w:val="auto"/>
              </w:rPr>
            </w:pPr>
          </w:p>
        </w:tc>
        <w:tc>
          <w:tcPr>
            <w:tcW w:w="160" w:type="dxa"/>
            <w:vAlign w:val="bottom"/>
            <w:tcBorders>
              <w:left w:val="single" w:sz="8" w:color="E4E4E4"/>
            </w:tcBorders>
            <w:shd w:val="clear" w:color="auto" w:fill="E4E4E4"/>
          </w:tcPr>
          <w:p>
            <w:pPr>
              <w:spacing w:after="0"/>
              <w:rPr>
                <w:sz w:val="20"/>
                <w:szCs w:val="20"/>
                <w:color w:val="auto"/>
              </w:rPr>
            </w:pPr>
          </w:p>
        </w:tc>
        <w:tc>
          <w:tcPr>
            <w:tcW w:w="680" w:type="dxa"/>
            <w:vAlign w:val="bottom"/>
            <w:tcBorders>
              <w:right w:val="single" w:sz="8" w:color="E4E4E4"/>
            </w:tcBorders>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80" w:type="dxa"/>
            <w:vAlign w:val="bottom"/>
            <w:gridSpan w:val="2"/>
            <w:shd w:val="clear" w:color="auto" w:fill="E4E4E4"/>
          </w:tcPr>
          <w:p>
            <w:pPr>
              <w:ind w:left="440"/>
              <w:spacing w:after="0"/>
              <w:rPr>
                <w:sz w:val="20"/>
                <w:szCs w:val="20"/>
                <w:color w:val="auto"/>
              </w:rPr>
            </w:pPr>
            <w:r>
              <w:rPr>
                <w:rFonts w:ascii="Arial" w:cs="Arial" w:eastAsia="Arial" w:hAnsi="Arial"/>
                <w:sz w:val="20"/>
                <w:szCs w:val="20"/>
                <w:color w:val="auto"/>
              </w:rPr>
              <w:t>securities</w:t>
            </w:r>
          </w:p>
        </w:tc>
        <w:tc>
          <w:tcPr>
            <w:tcW w:w="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20"/>
                <w:szCs w:val="20"/>
                <w:color w:val="auto"/>
                <w:w w:val="89"/>
              </w:rPr>
              <w:t>2</w:t>
            </w:r>
          </w:p>
        </w:tc>
        <w:tc>
          <w:tcPr>
            <w:tcW w:w="20" w:type="dxa"/>
            <w:vAlign w:val="bottom"/>
            <w:shd w:val="clear" w:color="auto" w:fill="E4E4E4"/>
          </w:tcPr>
          <w:p>
            <w:pPr>
              <w:spacing w:after="0"/>
              <w:rPr>
                <w:sz w:val="21"/>
                <w:szCs w:val="21"/>
                <w:color w:val="auto"/>
              </w:rPr>
            </w:pPr>
          </w:p>
        </w:tc>
        <w:tc>
          <w:tcPr>
            <w:tcW w:w="100" w:type="dxa"/>
            <w:vAlign w:val="bottom"/>
            <w:tcBorders>
              <w:right w:val="single" w:sz="8" w:color="E4E4E4"/>
            </w:tcBorders>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68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50,723</w:t>
            </w:r>
          </w:p>
        </w:tc>
        <w:tc>
          <w:tcPr>
            <w:tcW w:w="160" w:type="dxa"/>
            <w:vAlign w:val="bottom"/>
            <w:tcBorders>
              <w:right w:val="single" w:sz="8" w:color="E4E4E4"/>
            </w:tcBorders>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880" w:type="dxa"/>
            <w:vAlign w:val="bottom"/>
            <w:tcBorders>
              <w:right w:val="single" w:sz="8" w:color="E4E4E4"/>
            </w:tcBorders>
            <w:shd w:val="clear" w:color="auto" w:fill="E4E4E4"/>
          </w:tcPr>
          <w:p>
            <w:pPr>
              <w:ind w:left="500"/>
              <w:spacing w:after="0"/>
              <w:rPr>
                <w:sz w:val="20"/>
                <w:szCs w:val="20"/>
                <w:color w:val="auto"/>
              </w:rPr>
            </w:pPr>
            <w:r>
              <w:rPr>
                <w:rFonts w:ascii="Arial" w:cs="Arial" w:eastAsia="Arial" w:hAnsi="Arial"/>
                <w:sz w:val="20"/>
                <w:szCs w:val="20"/>
                <w:color w:val="auto"/>
              </w:rPr>
              <w:t>—</w:t>
            </w: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70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(315</w:t>
            </w:r>
          </w:p>
        </w:tc>
        <w:tc>
          <w:tcPr>
            <w:tcW w:w="160" w:type="dxa"/>
            <w:vAlign w:val="bottom"/>
            <w:tcBorders>
              <w:right w:val="single" w:sz="8" w:color="E4E4E4"/>
            </w:tcBorders>
            <w:shd w:val="clear" w:color="auto" w:fill="E4E4E4"/>
          </w:tcPr>
          <w:p>
            <w:pPr>
              <w:jc w:val="right"/>
              <w:ind w:right="48"/>
              <w:spacing w:after="0"/>
              <w:rPr>
                <w:sz w:val="20"/>
                <w:szCs w:val="20"/>
                <w:color w:val="auto"/>
              </w:rPr>
            </w:pPr>
            <w:r>
              <w:rPr>
                <w:rFonts w:ascii="Arial" w:cs="Arial" w:eastAsia="Arial" w:hAnsi="Arial"/>
                <w:sz w:val="16"/>
                <w:szCs w:val="16"/>
                <w:color w:val="auto"/>
                <w:w w:val="74"/>
              </w:rPr>
              <w:t>)</w:t>
            </w:r>
          </w:p>
        </w:tc>
        <w:tc>
          <w:tcPr>
            <w:tcW w:w="160" w:type="dxa"/>
            <w:vAlign w:val="bottom"/>
            <w:tcBorders>
              <w:left w:val="single" w:sz="8" w:color="E4E4E4"/>
            </w:tcBorders>
            <w:shd w:val="clear" w:color="auto" w:fill="E4E4E4"/>
          </w:tcPr>
          <w:p>
            <w:pPr>
              <w:spacing w:after="0"/>
              <w:rPr>
                <w:sz w:val="21"/>
                <w:szCs w:val="21"/>
                <w:color w:val="auto"/>
              </w:rPr>
            </w:pPr>
          </w:p>
        </w:tc>
        <w:tc>
          <w:tcPr>
            <w:tcW w:w="68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50,408</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380" w:type="dxa"/>
            <w:vAlign w:val="bottom"/>
            <w:tcBorders>
              <w:top w:val="single" w:sz="8" w:color="E4E4E4"/>
            </w:tcBorders>
            <w:gridSpan w:val="2"/>
          </w:tcPr>
          <w:p>
            <w:pPr>
              <w:spacing w:after="0" w:line="203" w:lineRule="exact"/>
              <w:rPr>
                <w:sz w:val="20"/>
                <w:szCs w:val="20"/>
                <w:color w:val="auto"/>
              </w:rPr>
            </w:pPr>
            <w:r>
              <w:rPr>
                <w:rFonts w:ascii="Arial" w:cs="Arial" w:eastAsia="Arial" w:hAnsi="Arial"/>
                <w:sz w:val="20"/>
                <w:szCs w:val="20"/>
                <w:color w:val="auto"/>
              </w:rPr>
              <w:t>Total short-term investments</w:t>
            </w:r>
          </w:p>
        </w:tc>
        <w:tc>
          <w:tcPr>
            <w:tcW w:w="80" w:type="dxa"/>
            <w:vAlign w:val="bottom"/>
            <w:tcBorders>
              <w:top w:val="single" w:sz="8" w:color="E4E4E4"/>
            </w:tcBorders>
          </w:tcPr>
          <w:p>
            <w:pPr>
              <w:spacing w:after="0"/>
              <w:rPr>
                <w:sz w:val="17"/>
                <w:szCs w:val="17"/>
                <w:color w:val="auto"/>
              </w:rPr>
            </w:pPr>
          </w:p>
        </w:tc>
        <w:tc>
          <w:tcPr>
            <w:tcW w:w="20" w:type="dxa"/>
            <w:vAlign w:val="bottom"/>
            <w:tcBorders>
              <w:top w:val="single" w:sz="8" w:color="E4E4E4"/>
            </w:tcBorders>
          </w:tcPr>
          <w:p>
            <w:pPr>
              <w:spacing w:after="0"/>
              <w:rPr>
                <w:sz w:val="17"/>
                <w:szCs w:val="17"/>
                <w:color w:val="auto"/>
              </w:rPr>
            </w:pPr>
          </w:p>
        </w:tc>
        <w:tc>
          <w:tcPr>
            <w:tcW w:w="860" w:type="dxa"/>
            <w:vAlign w:val="bottom"/>
            <w:tcBorders>
              <w:top w:val="single" w:sz="8" w:color="E4E4E4"/>
            </w:tcBorders>
          </w:tcPr>
          <w:p>
            <w:pPr>
              <w:spacing w:after="0"/>
              <w:rPr>
                <w:sz w:val="17"/>
                <w:szCs w:val="17"/>
                <w:color w:val="auto"/>
              </w:rPr>
            </w:pPr>
          </w:p>
        </w:tc>
        <w:tc>
          <w:tcPr>
            <w:tcW w:w="20" w:type="dxa"/>
            <w:vAlign w:val="bottom"/>
            <w:tcBorders>
              <w:top w:val="single" w:sz="8" w:color="E4E4E4"/>
            </w:tcBorders>
          </w:tcPr>
          <w:p>
            <w:pPr>
              <w:spacing w:after="0"/>
              <w:rPr>
                <w:sz w:val="17"/>
                <w:szCs w:val="17"/>
                <w:color w:val="auto"/>
              </w:rPr>
            </w:pPr>
          </w:p>
        </w:tc>
        <w:tc>
          <w:tcPr>
            <w:tcW w:w="100" w:type="dxa"/>
            <w:vAlign w:val="bottom"/>
            <w:tcBorders>
              <w:top w:val="single" w:sz="8" w:color="E4E4E4"/>
            </w:tcBorders>
          </w:tcPr>
          <w:p>
            <w:pPr>
              <w:spacing w:after="0"/>
              <w:rPr>
                <w:sz w:val="17"/>
                <w:szCs w:val="17"/>
                <w:color w:val="auto"/>
              </w:rPr>
            </w:pPr>
          </w:p>
        </w:tc>
        <w:tc>
          <w:tcPr>
            <w:tcW w:w="8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20"/>
                <w:szCs w:val="20"/>
                <w:color w:val="auto"/>
              </w:rPr>
              <w:t>$ 57,154</w:t>
            </w:r>
          </w:p>
        </w:tc>
        <w:tc>
          <w:tcPr>
            <w:tcW w:w="160" w:type="dxa"/>
            <w:vAlign w:val="bottom"/>
            <w:tcBorders>
              <w:top w:val="single" w:sz="8" w:color="E4E4E4"/>
            </w:tcBorders>
          </w:tcPr>
          <w:p>
            <w:pPr>
              <w:spacing w:after="0"/>
              <w:rPr>
                <w:sz w:val="17"/>
                <w:szCs w:val="17"/>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bottom w:val="single" w:sz="8" w:color="auto"/>
            </w:tcBorders>
          </w:tcPr>
          <w:p>
            <w:pPr>
              <w:ind w:left="500"/>
              <w:spacing w:after="0" w:line="203" w:lineRule="exact"/>
              <w:rPr>
                <w:sz w:val="20"/>
                <w:szCs w:val="20"/>
                <w:color w:val="auto"/>
              </w:rPr>
            </w:pPr>
            <w:r>
              <w:rPr>
                <w:rFonts w:ascii="Arial" w:cs="Arial" w:eastAsia="Arial" w:hAnsi="Arial"/>
                <w:sz w:val="20"/>
                <w:szCs w:val="20"/>
                <w:color w:val="auto"/>
              </w:rPr>
              <w:t>—</w:t>
            </w:r>
          </w:p>
        </w:tc>
        <w:tc>
          <w:tcPr>
            <w:tcW w:w="20" w:type="dxa"/>
            <w:vAlign w:val="bottom"/>
            <w:tcBorders>
              <w:top w:val="single" w:sz="8" w:color="E4E4E4"/>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20"/>
                <w:szCs w:val="20"/>
                <w:color w:val="auto"/>
                <w:w w:val="71"/>
              </w:rPr>
              <w:t>$</w:t>
            </w:r>
          </w:p>
        </w:tc>
        <w:tc>
          <w:tcPr>
            <w:tcW w:w="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(319</w:t>
            </w:r>
          </w:p>
        </w:tc>
        <w:tc>
          <w:tcPr>
            <w:tcW w:w="160" w:type="dxa"/>
            <w:vAlign w:val="bottom"/>
            <w:tcBorders>
              <w:top w:val="single" w:sz="8" w:color="E4E4E4"/>
            </w:tcBorders>
          </w:tcPr>
          <w:p>
            <w:pPr>
              <w:jc w:val="right"/>
              <w:ind w:right="48"/>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20"/>
                <w:szCs w:val="20"/>
                <w:color w:val="auto"/>
              </w:rPr>
              <w:t>$ 56,835</w:t>
            </w:r>
          </w:p>
        </w:tc>
        <w:tc>
          <w:tcPr>
            <w:tcW w:w="80" w:type="dxa"/>
            <w:vAlign w:val="bottom"/>
            <w:tcBorders>
              <w:top w:val="single" w:sz="8" w:color="E4E4E4"/>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7"/>
            <w:vMerge w:val="restart"/>
          </w:tcPr>
          <w:p>
            <w:pPr>
              <w:jc w:val="center"/>
              <w:ind w:left="446"/>
              <w:spacing w:after="0"/>
              <w:rPr>
                <w:sz w:val="20"/>
                <w:szCs w:val="20"/>
                <w:color w:val="auto"/>
              </w:rPr>
            </w:pPr>
            <w:r>
              <w:rPr>
                <w:rFonts w:ascii="Arial" w:cs="Arial" w:eastAsia="Arial" w:hAnsi="Arial"/>
                <w:sz w:val="16"/>
                <w:szCs w:val="16"/>
                <w:b w:val="1"/>
                <w:bCs w:val="1"/>
                <w:color w:val="auto"/>
                <w:w w:val="99"/>
              </w:rPr>
              <w:t>December 31, 2022</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7"/>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center"/>
              <w:ind w:right="200"/>
              <w:spacing w:after="0" w:line="155" w:lineRule="exact"/>
              <w:rPr>
                <w:sz w:val="20"/>
                <w:szCs w:val="20"/>
                <w:color w:val="auto"/>
              </w:rPr>
            </w:pPr>
            <w:r>
              <w:rPr>
                <w:rFonts w:ascii="Arial" w:cs="Arial" w:eastAsia="Arial" w:hAnsi="Arial"/>
                <w:sz w:val="16"/>
                <w:szCs w:val="16"/>
                <w:b w:val="1"/>
                <w:bCs w:val="1"/>
                <w:color w:val="auto"/>
                <w:w w:val="99"/>
              </w:rPr>
              <w:t>Amortized</w:t>
            </w:r>
          </w:p>
        </w:tc>
        <w:tc>
          <w:tcPr>
            <w:tcW w:w="1000" w:type="dxa"/>
            <w:vAlign w:val="bottom"/>
            <w:gridSpan w:val="2"/>
          </w:tcPr>
          <w:p>
            <w:pPr>
              <w:spacing w:after="0" w:line="155" w:lineRule="exact"/>
              <w:rPr>
                <w:sz w:val="20"/>
                <w:szCs w:val="20"/>
                <w:color w:val="auto"/>
              </w:rPr>
            </w:pPr>
            <w:r>
              <w:rPr>
                <w:rFonts w:ascii="Arial" w:cs="Arial" w:eastAsia="Arial" w:hAnsi="Arial"/>
                <w:sz w:val="16"/>
                <w:szCs w:val="16"/>
                <w:b w:val="1"/>
                <w:bCs w:val="1"/>
                <w:color w:val="auto"/>
              </w:rPr>
              <w:t>Unrealized</w:t>
            </w:r>
          </w:p>
        </w:tc>
        <w:tc>
          <w:tcPr>
            <w:tcW w:w="1000" w:type="dxa"/>
            <w:vAlign w:val="bottom"/>
            <w:gridSpan w:val="5"/>
          </w:tcPr>
          <w:p>
            <w:pPr>
              <w:spacing w:after="0" w:line="155" w:lineRule="exact"/>
              <w:rPr>
                <w:sz w:val="20"/>
                <w:szCs w:val="20"/>
                <w:color w:val="auto"/>
              </w:rPr>
            </w:pPr>
            <w:r>
              <w:rPr>
                <w:rFonts w:ascii="Arial" w:cs="Arial" w:eastAsia="Arial" w:hAnsi="Arial"/>
                <w:sz w:val="16"/>
                <w:szCs w:val="16"/>
                <w:b w:val="1"/>
                <w:bCs w:val="1"/>
                <w:color w:val="auto"/>
              </w:rPr>
              <w:t>Unrealized</w:t>
            </w:r>
          </w:p>
        </w:tc>
        <w:tc>
          <w:tcPr>
            <w:tcW w:w="160" w:type="dxa"/>
            <w:vAlign w:val="bottom"/>
          </w:tcPr>
          <w:p>
            <w:pPr>
              <w:spacing w:after="0"/>
              <w:rPr>
                <w:sz w:val="13"/>
                <w:szCs w:val="13"/>
                <w:color w:val="auto"/>
              </w:rPr>
            </w:pPr>
          </w:p>
        </w:tc>
        <w:tc>
          <w:tcPr>
            <w:tcW w:w="680" w:type="dxa"/>
            <w:vAlign w:val="bottom"/>
          </w:tcPr>
          <w:p>
            <w:pPr>
              <w:jc w:val="center"/>
              <w:ind w:right="86"/>
              <w:spacing w:after="0" w:line="155" w:lineRule="exact"/>
              <w:rPr>
                <w:sz w:val="20"/>
                <w:szCs w:val="20"/>
                <w:color w:val="auto"/>
              </w:rPr>
            </w:pPr>
            <w:r>
              <w:rPr>
                <w:rFonts w:ascii="Arial" w:cs="Arial" w:eastAsia="Arial" w:hAnsi="Arial"/>
                <w:sz w:val="16"/>
                <w:szCs w:val="16"/>
                <w:b w:val="1"/>
                <w:bCs w:val="1"/>
                <w:color w:val="auto"/>
              </w:rPr>
              <w:t>Fair</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7"/>
              </w:rPr>
              <w:t>Level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Cost</w:t>
            </w:r>
          </w:p>
        </w:tc>
        <w:tc>
          <w:tcPr>
            <w:tcW w:w="120" w:type="dxa"/>
            <w:vAlign w:val="bottom"/>
          </w:tcPr>
          <w:p>
            <w:pPr>
              <w:spacing w:after="0"/>
              <w:rPr>
                <w:sz w:val="17"/>
                <w:szCs w:val="17"/>
                <w:color w:val="auto"/>
              </w:rPr>
            </w:pPr>
          </w:p>
        </w:tc>
        <w:tc>
          <w:tcPr>
            <w:tcW w:w="880" w:type="dxa"/>
            <w:vAlign w:val="bottom"/>
          </w:tcPr>
          <w:p>
            <w:pPr>
              <w:jc w:val="center"/>
              <w:ind w:right="202"/>
              <w:spacing w:after="0"/>
              <w:rPr>
                <w:sz w:val="20"/>
                <w:szCs w:val="20"/>
                <w:color w:val="auto"/>
              </w:rPr>
            </w:pPr>
            <w:r>
              <w:rPr>
                <w:rFonts w:ascii="Arial" w:cs="Arial" w:eastAsia="Arial" w:hAnsi="Arial"/>
                <w:sz w:val="16"/>
                <w:szCs w:val="16"/>
                <w:b w:val="1"/>
                <w:bCs w:val="1"/>
                <w:color w:val="auto"/>
              </w:rPr>
              <w:t>Gains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268"/>
              <w:spacing w:after="0"/>
              <w:rPr>
                <w:sz w:val="20"/>
                <w:szCs w:val="20"/>
                <w:color w:val="auto"/>
              </w:rPr>
            </w:pPr>
            <w:r>
              <w:rPr>
                <w:rFonts w:ascii="Arial" w:cs="Arial" w:eastAsia="Arial" w:hAnsi="Arial"/>
                <w:sz w:val="16"/>
                <w:szCs w:val="16"/>
                <w:b w:val="1"/>
                <w:bCs w:val="1"/>
                <w:color w:val="auto"/>
                <w:w w:val="97"/>
              </w:rPr>
              <w:t>Losses</w:t>
            </w:r>
          </w:p>
        </w:tc>
        <w:tc>
          <w:tcPr>
            <w:tcW w:w="160" w:type="dxa"/>
            <w:vAlign w:val="bottom"/>
          </w:tcPr>
          <w:p>
            <w:pPr>
              <w:spacing w:after="0"/>
              <w:rPr>
                <w:sz w:val="17"/>
                <w:szCs w:val="17"/>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20"/>
        </w:trPr>
        <w:tc>
          <w:tcPr>
            <w:tcW w:w="4360" w:type="dxa"/>
            <w:vAlign w:val="bottom"/>
            <w:tcBorders>
              <w:top w:val="single" w:sz="8" w:color="E4E4E4"/>
              <w:bottom w:val="single" w:sz="8" w:color="auto"/>
            </w:tcBorders>
            <w:shd w:val="clear" w:color="auto" w:fill="E4E4E4"/>
          </w:tcPr>
          <w:p>
            <w:pPr>
              <w:spacing w:after="0" w:line="220" w:lineRule="exact"/>
              <w:rPr>
                <w:sz w:val="20"/>
                <w:szCs w:val="20"/>
                <w:color w:val="auto"/>
              </w:rPr>
            </w:pPr>
            <w:r>
              <w:rPr>
                <w:rFonts w:ascii="Arial" w:cs="Arial" w:eastAsia="Arial" w:hAnsi="Arial"/>
                <w:sz w:val="20"/>
                <w:szCs w:val="20"/>
                <w:color w:val="auto"/>
              </w:rPr>
              <w:t>Cash equivalents:</w:t>
            </w:r>
          </w:p>
        </w:tc>
        <w:tc>
          <w:tcPr>
            <w:tcW w:w="100" w:type="dxa"/>
            <w:vAlign w:val="bottom"/>
            <w:tcBorders>
              <w:top w:val="single" w:sz="8" w:color="E4E4E4"/>
            </w:tcBorders>
            <w:gridSpan w:val="2"/>
            <w:shd w:val="clear" w:color="auto" w:fill="E4E4E4"/>
          </w:tcPr>
          <w:p>
            <w:pPr>
              <w:spacing w:after="0"/>
              <w:rPr>
                <w:sz w:val="19"/>
                <w:szCs w:val="19"/>
                <w:color w:val="auto"/>
              </w:rPr>
            </w:pPr>
          </w:p>
        </w:tc>
        <w:tc>
          <w:tcPr>
            <w:tcW w:w="20" w:type="dxa"/>
            <w:vAlign w:val="bottom"/>
            <w:tcBorders>
              <w:top w:val="single" w:sz="8" w:color="auto"/>
            </w:tcBorders>
            <w:shd w:val="clear" w:color="auto" w:fill="E4E4E4"/>
          </w:tcPr>
          <w:p>
            <w:pPr>
              <w:spacing w:after="0"/>
              <w:rPr>
                <w:sz w:val="19"/>
                <w:szCs w:val="19"/>
                <w:color w:val="auto"/>
              </w:rPr>
            </w:pPr>
          </w:p>
        </w:tc>
        <w:tc>
          <w:tcPr>
            <w:tcW w:w="860" w:type="dxa"/>
            <w:vAlign w:val="bottom"/>
            <w:tcBorders>
              <w:top w:val="single" w:sz="8" w:color="auto"/>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E4E4E4"/>
              <w:right w:val="single" w:sz="8" w:color="E4E4E4"/>
            </w:tcBorders>
            <w:shd w:val="clear" w:color="auto" w:fill="E4E4E4"/>
          </w:tcPr>
          <w:p>
            <w:pPr>
              <w:spacing w:after="0"/>
              <w:rPr>
                <w:sz w:val="19"/>
                <w:szCs w:val="19"/>
                <w:color w:val="auto"/>
              </w:rPr>
            </w:pPr>
          </w:p>
        </w:tc>
        <w:tc>
          <w:tcPr>
            <w:tcW w:w="140" w:type="dxa"/>
            <w:vAlign w:val="bottom"/>
            <w:tcBorders>
              <w:top w:val="single" w:sz="8" w:color="auto"/>
            </w:tcBorders>
            <w:shd w:val="clear" w:color="auto" w:fill="E4E4E4"/>
          </w:tcPr>
          <w:p>
            <w:pPr>
              <w:spacing w:after="0"/>
              <w:rPr>
                <w:sz w:val="19"/>
                <w:szCs w:val="19"/>
                <w:color w:val="auto"/>
              </w:rPr>
            </w:pPr>
          </w:p>
        </w:tc>
        <w:tc>
          <w:tcPr>
            <w:tcW w:w="680" w:type="dxa"/>
            <w:vAlign w:val="bottom"/>
            <w:tcBorders>
              <w:top w:val="single" w:sz="8" w:color="auto"/>
              <w:right w:val="single" w:sz="8" w:color="E4E4E4"/>
            </w:tcBorders>
            <w:shd w:val="clear" w:color="auto" w:fill="E4E4E4"/>
          </w:tcPr>
          <w:p>
            <w:pPr>
              <w:spacing w:after="0"/>
              <w:rPr>
                <w:sz w:val="19"/>
                <w:szCs w:val="19"/>
                <w:color w:val="auto"/>
              </w:rPr>
            </w:pPr>
          </w:p>
        </w:tc>
        <w:tc>
          <w:tcPr>
            <w:tcW w:w="160" w:type="dxa"/>
            <w:vAlign w:val="bottom"/>
            <w:tcBorders>
              <w:top w:val="single" w:sz="8" w:color="E4E4E4"/>
              <w:right w:val="single" w:sz="8" w:color="E4E4E4"/>
            </w:tcBorders>
            <w:shd w:val="clear" w:color="auto" w:fill="E4E4E4"/>
          </w:tcPr>
          <w:p>
            <w:pPr>
              <w:spacing w:after="0"/>
              <w:rPr>
                <w:sz w:val="19"/>
                <w:szCs w:val="19"/>
                <w:color w:val="auto"/>
              </w:rPr>
            </w:pPr>
          </w:p>
        </w:tc>
        <w:tc>
          <w:tcPr>
            <w:tcW w:w="120" w:type="dxa"/>
            <w:vAlign w:val="bottom"/>
            <w:tcBorders>
              <w:top w:val="single" w:sz="8" w:color="auto"/>
            </w:tcBorders>
            <w:shd w:val="clear" w:color="auto" w:fill="E4E4E4"/>
          </w:tcPr>
          <w:p>
            <w:pPr>
              <w:spacing w:after="0"/>
              <w:rPr>
                <w:sz w:val="19"/>
                <w:szCs w:val="19"/>
                <w:color w:val="auto"/>
              </w:rPr>
            </w:pPr>
          </w:p>
        </w:tc>
        <w:tc>
          <w:tcPr>
            <w:tcW w:w="880" w:type="dxa"/>
            <w:vAlign w:val="bottom"/>
            <w:tcBorders>
              <w:top w:val="single" w:sz="8" w:color="auto"/>
              <w:right w:val="single" w:sz="8" w:color="E4E4E4"/>
            </w:tcBorders>
            <w:shd w:val="clear" w:color="auto" w:fill="E4E4E4"/>
          </w:tcPr>
          <w:p>
            <w:pPr>
              <w:spacing w:after="0"/>
              <w:rPr>
                <w:sz w:val="19"/>
                <w:szCs w:val="19"/>
                <w:color w:val="auto"/>
              </w:rPr>
            </w:pPr>
          </w:p>
        </w:tc>
        <w:tc>
          <w:tcPr>
            <w:tcW w:w="20" w:type="dxa"/>
            <w:vAlign w:val="bottom"/>
            <w:tcBorders>
              <w:top w:val="single" w:sz="8" w:color="auto"/>
            </w:tcBorders>
            <w:shd w:val="clear" w:color="auto" w:fill="E4E4E4"/>
          </w:tcPr>
          <w:p>
            <w:pPr>
              <w:spacing w:after="0"/>
              <w:rPr>
                <w:sz w:val="19"/>
                <w:szCs w:val="19"/>
                <w:color w:val="auto"/>
              </w:rPr>
            </w:pPr>
          </w:p>
        </w:tc>
        <w:tc>
          <w:tcPr>
            <w:tcW w:w="100" w:type="dxa"/>
            <w:vAlign w:val="bottom"/>
            <w:tcBorders>
              <w:top w:val="single" w:sz="8" w:color="auto"/>
            </w:tcBorders>
            <w:shd w:val="clear" w:color="auto" w:fill="E4E4E4"/>
          </w:tcPr>
          <w:p>
            <w:pPr>
              <w:spacing w:after="0"/>
              <w:rPr>
                <w:sz w:val="19"/>
                <w:szCs w:val="19"/>
                <w:color w:val="auto"/>
              </w:rPr>
            </w:pPr>
          </w:p>
        </w:tc>
        <w:tc>
          <w:tcPr>
            <w:tcW w:w="20" w:type="dxa"/>
            <w:vAlign w:val="bottom"/>
            <w:tcBorders>
              <w:top w:val="single" w:sz="8" w:color="auto"/>
            </w:tcBorders>
            <w:shd w:val="clear" w:color="auto" w:fill="E4E4E4"/>
          </w:tcPr>
          <w:p>
            <w:pPr>
              <w:spacing w:after="0"/>
              <w:rPr>
                <w:sz w:val="19"/>
                <w:szCs w:val="19"/>
                <w:color w:val="auto"/>
              </w:rPr>
            </w:pPr>
          </w:p>
        </w:tc>
        <w:tc>
          <w:tcPr>
            <w:tcW w:w="700" w:type="dxa"/>
            <w:vAlign w:val="bottom"/>
            <w:tcBorders>
              <w:top w:val="single" w:sz="8" w:color="auto"/>
              <w:right w:val="single" w:sz="8" w:color="E4E4E4"/>
            </w:tcBorders>
            <w:shd w:val="clear" w:color="auto" w:fill="E4E4E4"/>
          </w:tcPr>
          <w:p>
            <w:pPr>
              <w:spacing w:after="0"/>
              <w:rPr>
                <w:sz w:val="19"/>
                <w:szCs w:val="19"/>
                <w:color w:val="auto"/>
              </w:rPr>
            </w:pPr>
          </w:p>
        </w:tc>
        <w:tc>
          <w:tcPr>
            <w:tcW w:w="160" w:type="dxa"/>
            <w:vAlign w:val="bottom"/>
            <w:tcBorders>
              <w:top w:val="single" w:sz="8" w:color="E4E4E4"/>
              <w:right w:val="single" w:sz="8" w:color="E4E4E4"/>
            </w:tcBorders>
            <w:shd w:val="clear" w:color="auto" w:fill="E4E4E4"/>
          </w:tcPr>
          <w:p>
            <w:pPr>
              <w:spacing w:after="0"/>
              <w:rPr>
                <w:sz w:val="19"/>
                <w:szCs w:val="19"/>
                <w:color w:val="auto"/>
              </w:rPr>
            </w:pPr>
          </w:p>
        </w:tc>
        <w:tc>
          <w:tcPr>
            <w:tcW w:w="160" w:type="dxa"/>
            <w:vAlign w:val="bottom"/>
            <w:tcBorders>
              <w:top w:val="single" w:sz="8" w:color="auto"/>
              <w:left w:val="single" w:sz="8" w:color="E4E4E4"/>
            </w:tcBorders>
            <w:shd w:val="clear" w:color="auto" w:fill="E4E4E4"/>
          </w:tcPr>
          <w:p>
            <w:pPr>
              <w:spacing w:after="0"/>
              <w:rPr>
                <w:sz w:val="19"/>
                <w:szCs w:val="19"/>
                <w:color w:val="auto"/>
              </w:rPr>
            </w:pPr>
          </w:p>
        </w:tc>
        <w:tc>
          <w:tcPr>
            <w:tcW w:w="680" w:type="dxa"/>
            <w:vAlign w:val="bottom"/>
            <w:tcBorders>
              <w:top w:val="single" w:sz="8" w:color="auto"/>
              <w:right w:val="single" w:sz="8" w:color="E4E4E4"/>
            </w:tcBorders>
            <w:shd w:val="clear" w:color="auto" w:fill="E4E4E4"/>
          </w:tcPr>
          <w:p>
            <w:pPr>
              <w:spacing w:after="0"/>
              <w:rPr>
                <w:sz w:val="19"/>
                <w:szCs w:val="19"/>
                <w:color w:val="auto"/>
              </w:rPr>
            </w:pPr>
          </w:p>
        </w:tc>
        <w:tc>
          <w:tcPr>
            <w:tcW w:w="8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80"/>
              <w:spacing w:after="0" w:line="220" w:lineRule="exact"/>
              <w:rPr>
                <w:sz w:val="20"/>
                <w:szCs w:val="20"/>
                <w:color w:val="auto"/>
              </w:rPr>
            </w:pPr>
            <w:r>
              <w:rPr>
                <w:rFonts w:ascii="Arial" w:cs="Arial" w:eastAsia="Arial" w:hAnsi="Arial"/>
                <w:sz w:val="20"/>
                <w:szCs w:val="20"/>
                <w:color w:val="auto"/>
              </w:rPr>
              <w:t>Money market fund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center"/>
              <w:spacing w:after="0" w:line="220" w:lineRule="exact"/>
              <w:rPr>
                <w:sz w:val="20"/>
                <w:szCs w:val="20"/>
                <w:color w:val="auto"/>
              </w:rPr>
            </w:pPr>
            <w:r>
              <w:rPr>
                <w:rFonts w:ascii="Arial" w:cs="Arial" w:eastAsia="Arial" w:hAnsi="Arial"/>
                <w:sz w:val="20"/>
                <w:szCs w:val="20"/>
                <w:color w:val="auto"/>
              </w:rPr>
              <w:t>1</w:t>
            </w:r>
          </w:p>
        </w:tc>
        <w:tc>
          <w:tcPr>
            <w:tcW w:w="20" w:type="dxa"/>
            <w:vAlign w:val="bottom"/>
          </w:tcPr>
          <w:p>
            <w:pPr>
              <w:spacing w:after="0"/>
              <w:rPr>
                <w:sz w:val="19"/>
                <w:szCs w:val="19"/>
                <w:color w:val="auto"/>
              </w:rPr>
            </w:pPr>
          </w:p>
        </w:tc>
        <w:tc>
          <w:tcPr>
            <w:tcW w:w="240" w:type="dxa"/>
            <w:vAlign w:val="bottom"/>
            <w:gridSpan w:val="2"/>
          </w:tcPr>
          <w:p>
            <w:pPr>
              <w:jc w:val="right"/>
              <w:spacing w:after="0" w:line="220" w:lineRule="exact"/>
              <w:rPr>
                <w:sz w:val="20"/>
                <w:szCs w:val="20"/>
                <w:color w:val="auto"/>
              </w:rPr>
            </w:pPr>
            <w:r>
              <w:rPr>
                <w:rFonts w:ascii="Arial" w:cs="Arial" w:eastAsia="Arial" w:hAnsi="Arial"/>
                <w:sz w:val="20"/>
                <w:szCs w:val="20"/>
                <w:color w:val="auto"/>
              </w:rPr>
              <w:t>$</w:t>
            </w:r>
          </w:p>
        </w:tc>
        <w:tc>
          <w:tcPr>
            <w:tcW w:w="680" w:type="dxa"/>
            <w:vAlign w:val="bottom"/>
          </w:tcPr>
          <w:p>
            <w:pPr>
              <w:jc w:val="right"/>
              <w:spacing w:after="0" w:line="220" w:lineRule="exact"/>
              <w:rPr>
                <w:sz w:val="20"/>
                <w:szCs w:val="20"/>
                <w:color w:val="auto"/>
              </w:rPr>
            </w:pPr>
            <w:r>
              <w:rPr>
                <w:rFonts w:ascii="Arial" w:cs="Arial" w:eastAsia="Arial" w:hAnsi="Arial"/>
                <w:sz w:val="20"/>
                <w:szCs w:val="20"/>
                <w:color w:val="auto"/>
              </w:rPr>
              <w:t>7</w:t>
            </w:r>
          </w:p>
        </w:tc>
        <w:tc>
          <w:tcPr>
            <w:tcW w:w="160" w:type="dxa"/>
            <w:vAlign w:val="bottom"/>
          </w:tcPr>
          <w:p>
            <w:pPr>
              <w:spacing w:after="0"/>
              <w:rPr>
                <w:sz w:val="19"/>
                <w:szCs w:val="19"/>
                <w:color w:val="auto"/>
              </w:rPr>
            </w:pPr>
          </w:p>
        </w:tc>
        <w:tc>
          <w:tcPr>
            <w:tcW w:w="120" w:type="dxa"/>
            <w:vAlign w:val="bottom"/>
          </w:tcPr>
          <w:p>
            <w:pPr>
              <w:spacing w:after="0" w:line="220" w:lineRule="exact"/>
              <w:rPr>
                <w:sz w:val="20"/>
                <w:szCs w:val="20"/>
                <w:color w:val="auto"/>
              </w:rPr>
            </w:pPr>
            <w:r>
              <w:rPr>
                <w:rFonts w:ascii="Arial" w:cs="Arial" w:eastAsia="Arial" w:hAnsi="Arial"/>
                <w:sz w:val="20"/>
                <w:szCs w:val="20"/>
                <w:color w:val="auto"/>
                <w:w w:val="89"/>
              </w:rPr>
              <w:t>$</w:t>
            </w:r>
          </w:p>
        </w:tc>
        <w:tc>
          <w:tcPr>
            <w:tcW w:w="880" w:type="dxa"/>
            <w:vAlign w:val="bottom"/>
          </w:tcPr>
          <w:p>
            <w:pPr>
              <w:ind w:left="500"/>
              <w:spacing w:after="0" w:line="220" w:lineRule="exact"/>
              <w:rPr>
                <w:sz w:val="20"/>
                <w:szCs w:val="20"/>
                <w:color w:val="auto"/>
              </w:rPr>
            </w:pPr>
            <w:r>
              <w:rPr>
                <w:rFonts w:ascii="Arial" w:cs="Arial" w:eastAsia="Arial" w:hAnsi="Arial"/>
                <w:sz w:val="20"/>
                <w:szCs w:val="20"/>
                <w:color w:val="auto"/>
              </w:rPr>
              <w:t>—</w:t>
            </w:r>
          </w:p>
        </w:tc>
        <w:tc>
          <w:tcPr>
            <w:tcW w:w="120" w:type="dxa"/>
            <w:vAlign w:val="bottom"/>
            <w:gridSpan w:val="2"/>
          </w:tcPr>
          <w:p>
            <w:pPr>
              <w:spacing w:after="0" w:line="220" w:lineRule="exact"/>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19"/>
                <w:szCs w:val="19"/>
                <w:color w:val="auto"/>
              </w:rPr>
            </w:pPr>
          </w:p>
        </w:tc>
        <w:tc>
          <w:tcPr>
            <w:tcW w:w="860" w:type="dxa"/>
            <w:vAlign w:val="bottom"/>
            <w:gridSpan w:val="2"/>
          </w:tcPr>
          <w:p>
            <w:pPr>
              <w:jc w:val="right"/>
              <w:ind w:right="128"/>
              <w:spacing w:after="0" w:line="220" w:lineRule="exact"/>
              <w:rPr>
                <w:sz w:val="20"/>
                <w:szCs w:val="20"/>
                <w:color w:val="auto"/>
              </w:rPr>
            </w:pPr>
            <w:r>
              <w:rPr>
                <w:rFonts w:ascii="Arial" w:cs="Arial" w:eastAsia="Arial" w:hAnsi="Arial"/>
                <w:sz w:val="20"/>
                <w:szCs w:val="20"/>
                <w:color w:val="auto"/>
              </w:rPr>
              <w:t>—</w:t>
            </w:r>
          </w:p>
        </w:tc>
        <w:tc>
          <w:tcPr>
            <w:tcW w:w="160" w:type="dxa"/>
            <w:vAlign w:val="bottom"/>
          </w:tcPr>
          <w:p>
            <w:pPr>
              <w:jc w:val="right"/>
              <w:spacing w:after="0" w:line="220" w:lineRule="exact"/>
              <w:rPr>
                <w:sz w:val="20"/>
                <w:szCs w:val="20"/>
                <w:color w:val="auto"/>
              </w:rPr>
            </w:pPr>
            <w:r>
              <w:rPr>
                <w:rFonts w:ascii="Arial" w:cs="Arial" w:eastAsia="Arial" w:hAnsi="Arial"/>
                <w:sz w:val="20"/>
                <w:szCs w:val="20"/>
                <w:color w:val="auto"/>
                <w:w w:val="71"/>
              </w:rPr>
              <w:t>$</w:t>
            </w:r>
          </w:p>
        </w:tc>
        <w:tc>
          <w:tcPr>
            <w:tcW w:w="680" w:type="dxa"/>
            <w:vAlign w:val="bottom"/>
          </w:tcPr>
          <w:p>
            <w:pPr>
              <w:jc w:val="right"/>
              <w:spacing w:after="0" w:line="220" w:lineRule="exact"/>
              <w:rPr>
                <w:sz w:val="20"/>
                <w:szCs w:val="20"/>
                <w:color w:val="auto"/>
              </w:rPr>
            </w:pPr>
            <w:r>
              <w:rPr>
                <w:rFonts w:ascii="Arial" w:cs="Arial" w:eastAsia="Arial" w:hAnsi="Arial"/>
                <w:sz w:val="20"/>
                <w:szCs w:val="20"/>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360" w:type="dxa"/>
            <w:vAlign w:val="bottom"/>
            <w:shd w:val="clear" w:color="auto" w:fill="E4E4E4"/>
          </w:tcPr>
          <w:p>
            <w:pPr>
              <w:ind w:left="280"/>
              <w:spacing w:after="0"/>
              <w:rPr>
                <w:sz w:val="20"/>
                <w:szCs w:val="20"/>
                <w:color w:val="auto"/>
              </w:rPr>
            </w:pPr>
            <w:r>
              <w:rPr>
                <w:rFonts w:ascii="Arial" w:cs="Arial" w:eastAsia="Arial" w:hAnsi="Arial"/>
                <w:sz w:val="20"/>
                <w:szCs w:val="20"/>
                <w:color w:val="auto"/>
              </w:rPr>
              <w:t>Commercial paper</w:t>
            </w:r>
          </w:p>
        </w:tc>
        <w:tc>
          <w:tcPr>
            <w:tcW w:w="120" w:type="dxa"/>
            <w:vAlign w:val="bottom"/>
            <w:gridSpan w:val="3"/>
            <w:shd w:val="clear" w:color="auto" w:fill="E4E4E4"/>
          </w:tcPr>
          <w:p>
            <w:pPr>
              <w:spacing w:after="0"/>
              <w:rPr>
                <w:sz w:val="21"/>
                <w:szCs w:val="21"/>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20"/>
                <w:szCs w:val="20"/>
                <w:color w:val="auto"/>
              </w:rPr>
              <w:t>2</w:t>
            </w:r>
          </w:p>
        </w:tc>
        <w:tc>
          <w:tcPr>
            <w:tcW w:w="20" w:type="dxa"/>
            <w:vAlign w:val="bottom"/>
            <w:shd w:val="clear" w:color="auto" w:fill="E4E4E4"/>
          </w:tcPr>
          <w:p>
            <w:pPr>
              <w:spacing w:after="0"/>
              <w:rPr>
                <w:sz w:val="21"/>
                <w:szCs w:val="21"/>
                <w:color w:val="auto"/>
              </w:rPr>
            </w:pPr>
          </w:p>
        </w:tc>
        <w:tc>
          <w:tcPr>
            <w:tcW w:w="100" w:type="dxa"/>
            <w:vAlign w:val="bottom"/>
            <w:tcBorders>
              <w:right w:val="single" w:sz="8" w:color="E4E4E4"/>
            </w:tcBorders>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68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78,028</w:t>
            </w:r>
          </w:p>
        </w:tc>
        <w:tc>
          <w:tcPr>
            <w:tcW w:w="160" w:type="dxa"/>
            <w:vAlign w:val="bottom"/>
            <w:tcBorders>
              <w:right w:val="single" w:sz="8" w:color="E4E4E4"/>
            </w:tcBorders>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880" w:type="dxa"/>
            <w:vAlign w:val="bottom"/>
            <w:tcBorders>
              <w:right w:val="single" w:sz="8" w:color="E4E4E4"/>
            </w:tcBorders>
            <w:shd w:val="clear" w:color="auto" w:fill="E4E4E4"/>
          </w:tcPr>
          <w:p>
            <w:pPr>
              <w:ind w:left="500"/>
              <w:spacing w:after="0"/>
              <w:rPr>
                <w:sz w:val="20"/>
                <w:szCs w:val="20"/>
                <w:color w:val="auto"/>
              </w:rPr>
            </w:pPr>
            <w:r>
              <w:rPr>
                <w:rFonts w:ascii="Arial" w:cs="Arial" w:eastAsia="Arial" w:hAnsi="Arial"/>
                <w:sz w:val="20"/>
                <w:szCs w:val="20"/>
                <w:color w:val="auto"/>
              </w:rPr>
              <w:t>—</w:t>
            </w: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70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(26</w:t>
            </w:r>
          </w:p>
        </w:tc>
        <w:tc>
          <w:tcPr>
            <w:tcW w:w="160" w:type="dxa"/>
            <w:vAlign w:val="bottom"/>
            <w:tcBorders>
              <w:right w:val="single" w:sz="8" w:color="E4E4E4"/>
            </w:tcBorders>
            <w:shd w:val="clear" w:color="auto" w:fill="E4E4E4"/>
          </w:tcPr>
          <w:p>
            <w:pPr>
              <w:jc w:val="right"/>
              <w:ind w:right="68"/>
              <w:spacing w:after="0"/>
              <w:rPr>
                <w:sz w:val="20"/>
                <w:szCs w:val="20"/>
                <w:color w:val="auto"/>
              </w:rPr>
            </w:pPr>
            <w:r>
              <w:rPr>
                <w:rFonts w:ascii="Arial" w:cs="Arial" w:eastAsia="Arial" w:hAnsi="Arial"/>
                <w:sz w:val="8"/>
                <w:szCs w:val="8"/>
                <w:color w:val="auto"/>
                <w:w w:val="73"/>
                <w:shd w:val="clear" w:color="auto" w:fill="E4E4E4"/>
              </w:rPr>
              <w:t>)</w:t>
            </w:r>
          </w:p>
        </w:tc>
        <w:tc>
          <w:tcPr>
            <w:tcW w:w="160" w:type="dxa"/>
            <w:vAlign w:val="bottom"/>
            <w:tcBorders>
              <w:left w:val="single" w:sz="8" w:color="E4E4E4"/>
            </w:tcBorders>
            <w:shd w:val="clear" w:color="auto" w:fill="E4E4E4"/>
          </w:tcPr>
          <w:p>
            <w:pPr>
              <w:spacing w:after="0"/>
              <w:rPr>
                <w:sz w:val="21"/>
                <w:szCs w:val="21"/>
                <w:color w:val="auto"/>
              </w:rPr>
            </w:pPr>
          </w:p>
        </w:tc>
        <w:tc>
          <w:tcPr>
            <w:tcW w:w="68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shd w:val="clear" w:color="auto" w:fill="E4E4E4"/>
              </w:rPr>
              <w:t>78,002</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360" w:type="dxa"/>
            <w:vAlign w:val="bottom"/>
            <w:tcBorders>
              <w:top w:val="single" w:sz="8" w:color="E4E4E4"/>
              <w:bottom w:val="single" w:sz="8" w:color="E4E4E4"/>
            </w:tcBorders>
          </w:tcPr>
          <w:p>
            <w:pPr>
              <w:ind w:left="280"/>
              <w:spacing w:after="0" w:line="200" w:lineRule="exact"/>
              <w:rPr>
                <w:sz w:val="20"/>
                <w:szCs w:val="20"/>
                <w:color w:val="auto"/>
              </w:rPr>
            </w:pPr>
            <w:r>
              <w:rPr>
                <w:rFonts w:ascii="Arial" w:cs="Arial" w:eastAsia="Arial" w:hAnsi="Arial"/>
                <w:sz w:val="20"/>
                <w:szCs w:val="20"/>
                <w:color w:val="auto"/>
              </w:rPr>
              <w:t>Total cash equivalents</w:t>
            </w:r>
          </w:p>
        </w:tc>
        <w:tc>
          <w:tcPr>
            <w:tcW w:w="20" w:type="dxa"/>
            <w:vAlign w:val="bottom"/>
            <w:tcBorders>
              <w:top w:val="single" w:sz="8" w:color="E4E4E4"/>
              <w:bottom w:val="single" w:sz="8" w:color="E4E4E4"/>
            </w:tcBorders>
          </w:tcPr>
          <w:p>
            <w:pPr>
              <w:spacing w:after="0"/>
              <w:rPr>
                <w:sz w:val="20"/>
                <w:szCs w:val="20"/>
                <w:color w:val="auto"/>
              </w:rPr>
            </w:pPr>
          </w:p>
        </w:tc>
        <w:tc>
          <w:tcPr>
            <w:tcW w:w="80" w:type="dxa"/>
            <w:vAlign w:val="bottom"/>
            <w:tcBorders>
              <w:top w:val="single" w:sz="8" w:color="E4E4E4"/>
              <w:bottom w:val="single" w:sz="8" w:color="E4E4E4"/>
            </w:tcBorders>
          </w:tcPr>
          <w:p>
            <w:pPr>
              <w:spacing w:after="0"/>
              <w:rPr>
                <w:sz w:val="20"/>
                <w:szCs w:val="20"/>
                <w:color w:val="auto"/>
              </w:rPr>
            </w:pPr>
          </w:p>
        </w:tc>
        <w:tc>
          <w:tcPr>
            <w:tcW w:w="20" w:type="dxa"/>
            <w:vAlign w:val="bottom"/>
            <w:tcBorders>
              <w:top w:val="single" w:sz="8" w:color="E4E4E4"/>
              <w:bottom w:val="single" w:sz="8" w:color="E4E4E4"/>
            </w:tcBorders>
          </w:tcPr>
          <w:p>
            <w:pPr>
              <w:spacing w:after="0"/>
              <w:rPr>
                <w:sz w:val="20"/>
                <w:szCs w:val="20"/>
                <w:color w:val="auto"/>
              </w:rPr>
            </w:pPr>
          </w:p>
        </w:tc>
        <w:tc>
          <w:tcPr>
            <w:tcW w:w="860" w:type="dxa"/>
            <w:vAlign w:val="bottom"/>
            <w:tcBorders>
              <w:top w:val="single" w:sz="8" w:color="E4E4E4"/>
              <w:bottom w:val="single" w:sz="8" w:color="E4E4E4"/>
            </w:tcBorders>
          </w:tcPr>
          <w:p>
            <w:pPr>
              <w:spacing w:after="0"/>
              <w:rPr>
                <w:sz w:val="20"/>
                <w:szCs w:val="20"/>
                <w:color w:val="auto"/>
              </w:rPr>
            </w:pPr>
          </w:p>
        </w:tc>
        <w:tc>
          <w:tcPr>
            <w:tcW w:w="20" w:type="dxa"/>
            <w:vAlign w:val="bottom"/>
            <w:tcBorders>
              <w:top w:val="single" w:sz="8" w:color="E4E4E4"/>
              <w:bottom w:val="single" w:sz="8" w:color="E4E4E4"/>
            </w:tcBorders>
          </w:tcPr>
          <w:p>
            <w:pPr>
              <w:spacing w:after="0"/>
              <w:rPr>
                <w:sz w:val="20"/>
                <w:szCs w:val="20"/>
                <w:color w:val="auto"/>
              </w:rPr>
            </w:pPr>
          </w:p>
        </w:tc>
        <w:tc>
          <w:tcPr>
            <w:tcW w:w="100" w:type="dxa"/>
            <w:vAlign w:val="bottom"/>
            <w:tcBorders>
              <w:top w:val="single" w:sz="8" w:color="E4E4E4"/>
              <w:bottom w:val="single" w:sz="8" w:color="E4E4E4"/>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line="200" w:lineRule="exact"/>
              <w:rPr>
                <w:sz w:val="20"/>
                <w:szCs w:val="20"/>
                <w:color w:val="auto"/>
              </w:rPr>
            </w:pPr>
            <w:r>
              <w:rPr>
                <w:rFonts w:ascii="Arial" w:cs="Arial" w:eastAsia="Arial" w:hAnsi="Arial"/>
                <w:sz w:val="20"/>
                <w:szCs w:val="20"/>
                <w:color w:val="auto"/>
              </w:rPr>
              <w:t>$ 78,035</w:t>
            </w:r>
          </w:p>
        </w:tc>
        <w:tc>
          <w:tcPr>
            <w:tcW w:w="160" w:type="dxa"/>
            <w:vAlign w:val="bottom"/>
            <w:tcBorders>
              <w:top w:val="single" w:sz="8" w:color="E4E4E4"/>
              <w:bottom w:val="single" w:sz="8" w:color="E4E4E4"/>
            </w:tcBorders>
          </w:tcPr>
          <w:p>
            <w:pPr>
              <w:spacing w:after="0"/>
              <w:rPr>
                <w:sz w:val="20"/>
                <w:szCs w:val="20"/>
                <w:color w:val="auto"/>
              </w:rPr>
            </w:pPr>
          </w:p>
        </w:tc>
        <w:tc>
          <w:tcPr>
            <w:tcW w:w="120" w:type="dxa"/>
            <w:vAlign w:val="bottom"/>
            <w:tcBorders>
              <w:top w:val="single" w:sz="8" w:color="auto"/>
              <w:bottom w:val="single" w:sz="8" w:color="auto"/>
            </w:tcBorders>
          </w:tcPr>
          <w:p>
            <w:pPr>
              <w:spacing w:after="0" w:line="200" w:lineRule="exact"/>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bottom w:val="single" w:sz="8" w:color="auto"/>
            </w:tcBorders>
          </w:tcPr>
          <w:p>
            <w:pPr>
              <w:ind w:left="500"/>
              <w:spacing w:after="0" w:line="200" w:lineRule="exact"/>
              <w:rPr>
                <w:sz w:val="20"/>
                <w:szCs w:val="20"/>
                <w:color w:val="auto"/>
              </w:rPr>
            </w:pPr>
            <w:r>
              <w:rPr>
                <w:rFonts w:ascii="Arial" w:cs="Arial" w:eastAsia="Arial" w:hAnsi="Arial"/>
                <w:sz w:val="20"/>
                <w:szCs w:val="20"/>
                <w:color w:val="auto"/>
              </w:rPr>
              <w:t>—</w:t>
            </w:r>
          </w:p>
        </w:tc>
        <w:tc>
          <w:tcPr>
            <w:tcW w:w="120" w:type="dxa"/>
            <w:vAlign w:val="bottom"/>
            <w:tcBorders>
              <w:top w:val="single" w:sz="8" w:color="auto"/>
              <w:bottom w:val="single" w:sz="8" w:color="auto"/>
            </w:tcBorders>
            <w:gridSpan w:val="2"/>
          </w:tcPr>
          <w:p>
            <w:pPr>
              <w:spacing w:after="0" w:line="200" w:lineRule="exact"/>
              <w:rPr>
                <w:sz w:val="20"/>
                <w:szCs w:val="20"/>
                <w:color w:val="auto"/>
              </w:rPr>
            </w:pPr>
            <w:r>
              <w:rPr>
                <w:rFonts w:ascii="Arial" w:cs="Arial" w:eastAsia="Arial" w:hAnsi="Arial"/>
                <w:sz w:val="20"/>
                <w:szCs w:val="20"/>
                <w:color w:val="auto"/>
                <w:w w:val="89"/>
              </w:rPr>
              <w:t>$</w:t>
            </w:r>
          </w:p>
        </w:tc>
        <w:tc>
          <w:tcPr>
            <w:tcW w:w="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(26</w:t>
            </w:r>
          </w:p>
        </w:tc>
        <w:tc>
          <w:tcPr>
            <w:tcW w:w="160" w:type="dxa"/>
            <w:vAlign w:val="bottom"/>
            <w:tcBorders>
              <w:top w:val="single" w:sz="8" w:color="E4E4E4"/>
              <w:bottom w:val="single" w:sz="8" w:color="E4E4E4"/>
            </w:tcBorders>
          </w:tcPr>
          <w:p>
            <w:pPr>
              <w:jc w:val="right"/>
              <w:ind w:right="68"/>
              <w:spacing w:after="0"/>
              <w:rPr>
                <w:sz w:val="20"/>
                <w:szCs w:val="20"/>
                <w:color w:val="auto"/>
              </w:rPr>
            </w:pPr>
            <w:r>
              <w:rPr>
                <w:rFonts w:ascii="Arial" w:cs="Arial" w:eastAsia="Arial" w:hAnsi="Arial"/>
                <w:sz w:val="8"/>
                <w:szCs w:val="8"/>
                <w:color w:val="auto"/>
                <w:w w:val="73"/>
              </w:rPr>
              <w:t>)</w:t>
            </w:r>
          </w:p>
        </w:tc>
        <w:tc>
          <w:tcPr>
            <w:tcW w:w="840" w:type="dxa"/>
            <w:vAlign w:val="bottom"/>
            <w:tcBorders>
              <w:top w:val="single" w:sz="8" w:color="auto"/>
              <w:bottom w:val="single" w:sz="8" w:color="auto"/>
            </w:tcBorders>
            <w:gridSpan w:val="2"/>
          </w:tcPr>
          <w:p>
            <w:pPr>
              <w:jc w:val="right"/>
              <w:spacing w:after="0" w:line="200" w:lineRule="exact"/>
              <w:rPr>
                <w:sz w:val="20"/>
                <w:szCs w:val="20"/>
                <w:color w:val="auto"/>
              </w:rPr>
            </w:pPr>
            <w:r>
              <w:rPr>
                <w:rFonts w:ascii="Arial" w:cs="Arial" w:eastAsia="Arial" w:hAnsi="Arial"/>
                <w:sz w:val="20"/>
                <w:szCs w:val="20"/>
                <w:color w:val="auto"/>
              </w:rPr>
              <w:t>$ 78,009</w:t>
            </w:r>
          </w:p>
        </w:tc>
        <w:tc>
          <w:tcPr>
            <w:tcW w:w="80" w:type="dxa"/>
            <w:vAlign w:val="bottom"/>
            <w:tcBorders>
              <w:top w:val="single" w:sz="8" w:color="E4E4E4"/>
              <w:bottom w:val="single" w:sz="8" w:color="E4E4E4"/>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60" w:type="dxa"/>
            <w:vAlign w:val="bottom"/>
            <w:tcBorders>
              <w:bottom w:val="single" w:sz="8" w:color="auto"/>
            </w:tcBorders>
            <w:shd w:val="clear" w:color="auto" w:fill="E4E4E4"/>
          </w:tcPr>
          <w:p>
            <w:pPr>
              <w:spacing w:after="0" w:line="215" w:lineRule="exact"/>
              <w:rPr>
                <w:sz w:val="20"/>
                <w:szCs w:val="20"/>
                <w:color w:val="auto"/>
              </w:rPr>
            </w:pPr>
            <w:r>
              <w:rPr>
                <w:rFonts w:ascii="Arial" w:cs="Arial" w:eastAsia="Arial" w:hAnsi="Arial"/>
                <w:sz w:val="20"/>
                <w:szCs w:val="20"/>
                <w:color w:val="auto"/>
              </w:rPr>
              <w:t>Short-term investments:</w:t>
            </w:r>
          </w:p>
        </w:tc>
        <w:tc>
          <w:tcPr>
            <w:tcW w:w="120" w:type="dxa"/>
            <w:vAlign w:val="bottom"/>
            <w:tcBorders>
              <w:bottom w:val="single" w:sz="8" w:color="E4E4E4"/>
            </w:tcBorders>
            <w:gridSpan w:val="3"/>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right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right w:val="single" w:sz="8" w:color="E4E4E4"/>
            </w:tcBorders>
            <w:shd w:val="clear" w:color="auto" w:fill="E4E4E4"/>
          </w:tcPr>
          <w:p>
            <w:pPr>
              <w:spacing w:after="0"/>
              <w:rPr>
                <w:sz w:val="20"/>
                <w:szCs w:val="20"/>
                <w:color w:val="auto"/>
              </w:rPr>
            </w:pPr>
          </w:p>
        </w:tc>
        <w:tc>
          <w:tcPr>
            <w:tcW w:w="160" w:type="dxa"/>
            <w:vAlign w:val="bottom"/>
            <w:tcBorders>
              <w:bottom w:val="single" w:sz="8" w:color="E4E4E4"/>
              <w:right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right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right w:val="single" w:sz="8" w:color="E4E4E4"/>
            </w:tcBorders>
            <w:shd w:val="clear" w:color="auto" w:fill="E4E4E4"/>
          </w:tcPr>
          <w:p>
            <w:pPr>
              <w:spacing w:after="0"/>
              <w:rPr>
                <w:sz w:val="20"/>
                <w:szCs w:val="20"/>
                <w:color w:val="auto"/>
              </w:rPr>
            </w:pPr>
          </w:p>
        </w:tc>
        <w:tc>
          <w:tcPr>
            <w:tcW w:w="160" w:type="dxa"/>
            <w:vAlign w:val="bottom"/>
            <w:tcBorders>
              <w:bottom w:val="single" w:sz="8" w:color="E4E4E4"/>
              <w:right w:val="single" w:sz="8" w:color="E4E4E4"/>
            </w:tcBorders>
            <w:shd w:val="clear" w:color="auto" w:fill="E4E4E4"/>
          </w:tcPr>
          <w:p>
            <w:pPr>
              <w:spacing w:after="0"/>
              <w:rPr>
                <w:sz w:val="20"/>
                <w:szCs w:val="20"/>
                <w:color w:val="auto"/>
              </w:rPr>
            </w:pPr>
          </w:p>
        </w:tc>
        <w:tc>
          <w:tcPr>
            <w:tcW w:w="160" w:type="dxa"/>
            <w:vAlign w:val="bottom"/>
            <w:tcBorders>
              <w:left w:val="single" w:sz="8" w:color="E4E4E4"/>
              <w:bottom w:val="single" w:sz="8" w:color="E4E4E4"/>
            </w:tcBorders>
            <w:shd w:val="clear" w:color="auto" w:fill="E4E4E4"/>
          </w:tcPr>
          <w:p>
            <w:pPr>
              <w:spacing w:after="0"/>
              <w:rPr>
                <w:sz w:val="20"/>
                <w:szCs w:val="20"/>
                <w:color w:val="auto"/>
              </w:rPr>
            </w:pPr>
          </w:p>
        </w:tc>
        <w:tc>
          <w:tcPr>
            <w:tcW w:w="680" w:type="dxa"/>
            <w:vAlign w:val="bottom"/>
            <w:tcBorders>
              <w:bottom w:val="single" w:sz="8" w:color="E4E4E4"/>
              <w:right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360" w:type="dxa"/>
            <w:vAlign w:val="bottom"/>
          </w:tcPr>
          <w:p>
            <w:pPr>
              <w:ind w:left="280"/>
              <w:spacing w:after="0" w:line="200" w:lineRule="exact"/>
              <w:rPr>
                <w:sz w:val="20"/>
                <w:szCs w:val="20"/>
                <w:color w:val="auto"/>
              </w:rPr>
            </w:pPr>
            <w:r>
              <w:rPr>
                <w:rFonts w:ascii="Arial" w:cs="Arial" w:eastAsia="Arial" w:hAnsi="Arial"/>
                <w:sz w:val="20"/>
                <w:szCs w:val="20"/>
                <w:color w:val="auto"/>
              </w:rPr>
              <w:t>Commercial paper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center"/>
              <w:spacing w:after="0" w:line="200" w:lineRule="exact"/>
              <w:rPr>
                <w:sz w:val="20"/>
                <w:szCs w:val="20"/>
                <w:color w:val="auto"/>
              </w:rPr>
            </w:pPr>
            <w:r>
              <w:rPr>
                <w:rFonts w:ascii="Arial" w:cs="Arial" w:eastAsia="Arial" w:hAnsi="Arial"/>
                <w:sz w:val="20"/>
                <w:szCs w:val="20"/>
                <w:color w:val="auto"/>
              </w:rPr>
              <w:t>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0" w:lineRule="exact"/>
              <w:rPr>
                <w:sz w:val="20"/>
                <w:szCs w:val="20"/>
                <w:color w:val="auto"/>
              </w:rPr>
            </w:pPr>
            <w:r>
              <w:rPr>
                <w:rFonts w:ascii="Arial" w:cs="Arial" w:eastAsia="Arial" w:hAnsi="Arial"/>
                <w:sz w:val="20"/>
                <w:szCs w:val="20"/>
                <w:color w:val="auto"/>
              </w:rPr>
              <w:t>36,933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00"/>
              <w:spacing w:after="0" w:line="200"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right"/>
              <w:ind w:right="68"/>
              <w:spacing w:after="0" w:line="200" w:lineRule="exact"/>
              <w:rPr>
                <w:sz w:val="20"/>
                <w:szCs w:val="20"/>
                <w:color w:val="auto"/>
              </w:rPr>
            </w:pPr>
            <w:r>
              <w:rPr>
                <w:rFonts w:ascii="Arial" w:cs="Arial" w:eastAsia="Arial" w:hAnsi="Arial"/>
                <w:sz w:val="20"/>
                <w:szCs w:val="20"/>
                <w:color w:val="auto"/>
              </w:rPr>
              <w:t>(168)</w:t>
            </w:r>
          </w:p>
        </w:tc>
        <w:tc>
          <w:tcPr>
            <w:tcW w:w="160" w:type="dxa"/>
            <w:vAlign w:val="bottom"/>
          </w:tcPr>
          <w:p>
            <w:pPr>
              <w:spacing w:after="0"/>
              <w:rPr>
                <w:sz w:val="17"/>
                <w:szCs w:val="17"/>
                <w:color w:val="auto"/>
              </w:rPr>
            </w:pPr>
          </w:p>
        </w:tc>
        <w:tc>
          <w:tcPr>
            <w:tcW w:w="680" w:type="dxa"/>
            <w:vAlign w:val="bottom"/>
          </w:tcPr>
          <w:p>
            <w:pPr>
              <w:jc w:val="right"/>
              <w:spacing w:after="0" w:line="200" w:lineRule="exact"/>
              <w:rPr>
                <w:sz w:val="20"/>
                <w:szCs w:val="20"/>
                <w:color w:val="auto"/>
              </w:rPr>
            </w:pPr>
            <w:r>
              <w:rPr>
                <w:rFonts w:ascii="Arial" w:cs="Arial" w:eastAsia="Arial" w:hAnsi="Arial"/>
                <w:sz w:val="20"/>
                <w:szCs w:val="20"/>
                <w:color w:val="auto"/>
              </w:rPr>
              <w:t>36,765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E4E4E4"/>
          </w:tcPr>
          <w:p>
            <w:pPr>
              <w:ind w:left="280"/>
              <w:spacing w:after="0"/>
              <w:rPr>
                <w:sz w:val="20"/>
                <w:szCs w:val="20"/>
                <w:color w:val="auto"/>
              </w:rPr>
            </w:pPr>
            <w:r>
              <w:rPr>
                <w:rFonts w:ascii="Arial" w:cs="Arial" w:eastAsia="Arial" w:hAnsi="Arial"/>
                <w:sz w:val="20"/>
                <w:szCs w:val="20"/>
                <w:color w:val="auto"/>
              </w:rPr>
              <w:t>U.S. government debt and agency</w:t>
            </w:r>
          </w:p>
        </w:tc>
        <w:tc>
          <w:tcPr>
            <w:tcW w:w="120" w:type="dxa"/>
            <w:vAlign w:val="bottom"/>
            <w:gridSpan w:val="3"/>
            <w:shd w:val="clear" w:color="auto" w:fill="E4E4E4"/>
          </w:tcPr>
          <w:p>
            <w:pPr>
              <w:spacing w:after="0"/>
              <w:rPr>
                <w:sz w:val="20"/>
                <w:szCs w:val="20"/>
                <w:color w:val="auto"/>
              </w:rPr>
            </w:pPr>
          </w:p>
        </w:tc>
        <w:tc>
          <w:tcPr>
            <w:tcW w:w="8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tcBorders>
              <w:right w:val="single" w:sz="8" w:color="E4E4E4"/>
            </w:tcBorders>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680" w:type="dxa"/>
            <w:vAlign w:val="bottom"/>
            <w:tcBorders>
              <w:right w:val="single" w:sz="8" w:color="E4E4E4"/>
            </w:tcBorders>
            <w:shd w:val="clear" w:color="auto" w:fill="E4E4E4"/>
          </w:tcPr>
          <w:p>
            <w:pPr>
              <w:spacing w:after="0"/>
              <w:rPr>
                <w:sz w:val="20"/>
                <w:szCs w:val="20"/>
                <w:color w:val="auto"/>
              </w:rPr>
            </w:pPr>
          </w:p>
        </w:tc>
        <w:tc>
          <w:tcPr>
            <w:tcW w:w="160" w:type="dxa"/>
            <w:vAlign w:val="bottom"/>
            <w:tcBorders>
              <w:right w:val="single" w:sz="8" w:color="E4E4E4"/>
            </w:tcBorders>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880" w:type="dxa"/>
            <w:vAlign w:val="bottom"/>
            <w:tcBorders>
              <w:right w:val="single" w:sz="8" w:color="E4E4E4"/>
            </w:tcBorders>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700" w:type="dxa"/>
            <w:vAlign w:val="bottom"/>
            <w:tcBorders>
              <w:right w:val="single" w:sz="8" w:color="E4E4E4"/>
            </w:tcBorders>
            <w:shd w:val="clear" w:color="auto" w:fill="E4E4E4"/>
          </w:tcPr>
          <w:p>
            <w:pPr>
              <w:spacing w:after="0"/>
              <w:rPr>
                <w:sz w:val="20"/>
                <w:szCs w:val="20"/>
                <w:color w:val="auto"/>
              </w:rPr>
            </w:pPr>
          </w:p>
        </w:tc>
        <w:tc>
          <w:tcPr>
            <w:tcW w:w="160" w:type="dxa"/>
            <w:vAlign w:val="bottom"/>
            <w:tcBorders>
              <w:right w:val="single" w:sz="8" w:color="E4E4E4"/>
            </w:tcBorders>
            <w:shd w:val="clear" w:color="auto" w:fill="E4E4E4"/>
          </w:tcPr>
          <w:p>
            <w:pPr>
              <w:spacing w:after="0"/>
              <w:rPr>
                <w:sz w:val="20"/>
                <w:szCs w:val="20"/>
                <w:color w:val="auto"/>
              </w:rPr>
            </w:pPr>
          </w:p>
        </w:tc>
        <w:tc>
          <w:tcPr>
            <w:tcW w:w="160" w:type="dxa"/>
            <w:vAlign w:val="bottom"/>
            <w:tcBorders>
              <w:left w:val="single" w:sz="8" w:color="E4E4E4"/>
            </w:tcBorders>
            <w:shd w:val="clear" w:color="auto" w:fill="E4E4E4"/>
          </w:tcPr>
          <w:p>
            <w:pPr>
              <w:spacing w:after="0"/>
              <w:rPr>
                <w:sz w:val="20"/>
                <w:szCs w:val="20"/>
                <w:color w:val="auto"/>
              </w:rPr>
            </w:pPr>
          </w:p>
        </w:tc>
        <w:tc>
          <w:tcPr>
            <w:tcW w:w="680" w:type="dxa"/>
            <w:vAlign w:val="bottom"/>
            <w:tcBorders>
              <w:right w:val="single" w:sz="8" w:color="E4E4E4"/>
            </w:tcBorders>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E4E4E4"/>
          </w:tcPr>
          <w:p>
            <w:pPr>
              <w:ind w:left="440"/>
              <w:spacing w:after="0"/>
              <w:rPr>
                <w:sz w:val="20"/>
                <w:szCs w:val="20"/>
                <w:color w:val="auto"/>
              </w:rPr>
            </w:pPr>
            <w:r>
              <w:rPr>
                <w:rFonts w:ascii="Arial" w:cs="Arial" w:eastAsia="Arial" w:hAnsi="Arial"/>
                <w:sz w:val="20"/>
                <w:szCs w:val="20"/>
                <w:color w:val="auto"/>
              </w:rPr>
              <w:t>securities</w:t>
            </w:r>
          </w:p>
        </w:tc>
        <w:tc>
          <w:tcPr>
            <w:tcW w:w="2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60" w:type="dxa"/>
            <w:vAlign w:val="bottom"/>
            <w:shd w:val="clear" w:color="auto" w:fill="E4E4E4"/>
          </w:tcPr>
          <w:p>
            <w:pPr>
              <w:jc w:val="center"/>
              <w:spacing w:after="0"/>
              <w:rPr>
                <w:sz w:val="20"/>
                <w:szCs w:val="20"/>
                <w:color w:val="auto"/>
              </w:rPr>
            </w:pPr>
            <w:r>
              <w:rPr>
                <w:rFonts w:ascii="Arial" w:cs="Arial" w:eastAsia="Arial" w:hAnsi="Arial"/>
                <w:sz w:val="20"/>
                <w:szCs w:val="20"/>
                <w:color w:val="auto"/>
              </w:rPr>
              <w:t>2</w:t>
            </w:r>
          </w:p>
        </w:tc>
        <w:tc>
          <w:tcPr>
            <w:tcW w:w="20" w:type="dxa"/>
            <w:vAlign w:val="bottom"/>
            <w:shd w:val="clear" w:color="auto" w:fill="E4E4E4"/>
          </w:tcPr>
          <w:p>
            <w:pPr>
              <w:spacing w:after="0"/>
              <w:rPr>
                <w:sz w:val="20"/>
                <w:szCs w:val="20"/>
                <w:color w:val="auto"/>
              </w:rPr>
            </w:pPr>
          </w:p>
        </w:tc>
        <w:tc>
          <w:tcPr>
            <w:tcW w:w="100" w:type="dxa"/>
            <w:vAlign w:val="bottom"/>
            <w:tcBorders>
              <w:right w:val="single" w:sz="8" w:color="E4E4E4"/>
            </w:tcBorders>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68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65,157</w:t>
            </w:r>
          </w:p>
        </w:tc>
        <w:tc>
          <w:tcPr>
            <w:tcW w:w="160" w:type="dxa"/>
            <w:vAlign w:val="bottom"/>
            <w:tcBorders>
              <w:right w:val="single" w:sz="8" w:color="E4E4E4"/>
            </w:tcBorders>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880" w:type="dxa"/>
            <w:vAlign w:val="bottom"/>
            <w:tcBorders>
              <w:right w:val="single" w:sz="8" w:color="E4E4E4"/>
            </w:tcBorders>
            <w:shd w:val="clear" w:color="auto" w:fill="E4E4E4"/>
          </w:tcPr>
          <w:p>
            <w:pPr>
              <w:ind w:left="500"/>
              <w:spacing w:after="0"/>
              <w:rPr>
                <w:sz w:val="20"/>
                <w:szCs w:val="20"/>
                <w:color w:val="auto"/>
              </w:rPr>
            </w:pPr>
            <w:r>
              <w:rPr>
                <w:rFonts w:ascii="Arial" w:cs="Arial" w:eastAsia="Arial" w:hAnsi="Arial"/>
                <w:sz w:val="20"/>
                <w:szCs w:val="20"/>
                <w:color w:val="auto"/>
              </w:rPr>
              <w:t>—</w:t>
            </w: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70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(784</w:t>
            </w:r>
          </w:p>
        </w:tc>
        <w:tc>
          <w:tcPr>
            <w:tcW w:w="160" w:type="dxa"/>
            <w:vAlign w:val="bottom"/>
            <w:tcBorders>
              <w:right w:val="single" w:sz="8" w:color="E4E4E4"/>
            </w:tcBorders>
            <w:shd w:val="clear" w:color="auto" w:fill="E4E4E4"/>
          </w:tcPr>
          <w:p>
            <w:pPr>
              <w:jc w:val="right"/>
              <w:ind w:right="68"/>
              <w:spacing w:after="0"/>
              <w:rPr>
                <w:sz w:val="20"/>
                <w:szCs w:val="20"/>
                <w:color w:val="auto"/>
              </w:rPr>
            </w:pPr>
            <w:r>
              <w:rPr>
                <w:rFonts w:ascii="Arial" w:cs="Arial" w:eastAsia="Arial" w:hAnsi="Arial"/>
                <w:sz w:val="8"/>
                <w:szCs w:val="8"/>
                <w:color w:val="auto"/>
                <w:w w:val="73"/>
              </w:rPr>
              <w:t>)</w:t>
            </w:r>
          </w:p>
        </w:tc>
        <w:tc>
          <w:tcPr>
            <w:tcW w:w="160" w:type="dxa"/>
            <w:vAlign w:val="bottom"/>
            <w:tcBorders>
              <w:left w:val="single" w:sz="8" w:color="E4E4E4"/>
            </w:tcBorders>
            <w:shd w:val="clear" w:color="auto" w:fill="E4E4E4"/>
          </w:tcPr>
          <w:p>
            <w:pPr>
              <w:spacing w:after="0"/>
              <w:rPr>
                <w:sz w:val="20"/>
                <w:szCs w:val="20"/>
                <w:color w:val="auto"/>
              </w:rPr>
            </w:pPr>
          </w:p>
        </w:tc>
        <w:tc>
          <w:tcPr>
            <w:tcW w:w="68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64,373</w:t>
            </w:r>
          </w:p>
        </w:tc>
        <w:tc>
          <w:tcPr>
            <w:tcW w:w="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80"/>
              <w:spacing w:after="0"/>
              <w:rPr>
                <w:sz w:val="20"/>
                <w:szCs w:val="20"/>
                <w:color w:val="auto"/>
              </w:rPr>
            </w:pPr>
            <w:r>
              <w:rPr>
                <w:rFonts w:ascii="Arial" w:cs="Arial" w:eastAsia="Arial" w:hAnsi="Arial"/>
                <w:sz w:val="20"/>
                <w:szCs w:val="20"/>
                <w:color w:val="auto"/>
              </w:rPr>
              <w:t>Corporate bonds</w:t>
            </w:r>
          </w:p>
        </w:tc>
        <w:tc>
          <w:tcPr>
            <w:tcW w:w="120" w:type="dxa"/>
            <w:vAlign w:val="bottom"/>
            <w:gridSpan w:val="3"/>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3,302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5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(62</w:t>
            </w:r>
          </w:p>
        </w:tc>
        <w:tc>
          <w:tcPr>
            <w:tcW w:w="160" w:type="dxa"/>
            <w:vAlign w:val="bottom"/>
          </w:tcPr>
          <w:p>
            <w:pPr>
              <w:jc w:val="right"/>
              <w:ind w:right="68"/>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3,240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8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86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100" w:type="dxa"/>
            <w:vAlign w:val="bottom"/>
            <w:tcBorders>
              <w:right w:val="single" w:sz="8" w:color="auto"/>
            </w:tcBorders>
            <w:shd w:val="clear" w:color="auto" w:fill="E4E4E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4E4E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E4E4E4"/>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tcBorders>
              <w:right w:val="single" w:sz="8" w:color="E4E4E4"/>
            </w:tcBorders>
            <w:shd w:val="clear" w:color="auto" w:fill="000000"/>
          </w:tcPr>
          <w:p>
            <w:pPr>
              <w:spacing w:after="0" w:line="20" w:lineRule="exact"/>
              <w:rPr>
                <w:sz w:val="1"/>
                <w:szCs w:val="1"/>
                <w:color w:val="auto"/>
              </w:rPr>
            </w:pPr>
          </w:p>
        </w:tc>
        <w:tc>
          <w:tcPr>
            <w:tcW w:w="160" w:type="dxa"/>
            <w:vAlign w:val="bottom"/>
            <w:tcBorders>
              <w:right w:val="single" w:sz="8" w:color="E4E4E4"/>
            </w:tcBorders>
            <w:shd w:val="clear" w:color="auto" w:fill="E4E4E4"/>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360" w:type="dxa"/>
            <w:vAlign w:val="bottom"/>
            <w:shd w:val="clear" w:color="auto" w:fill="E4E4E4"/>
          </w:tcPr>
          <w:p>
            <w:pPr>
              <w:spacing w:after="0" w:line="220" w:lineRule="exact"/>
              <w:rPr>
                <w:sz w:val="20"/>
                <w:szCs w:val="20"/>
                <w:color w:val="auto"/>
              </w:rPr>
            </w:pPr>
            <w:r>
              <w:rPr>
                <w:rFonts w:ascii="Arial" w:cs="Arial" w:eastAsia="Arial" w:hAnsi="Arial"/>
                <w:sz w:val="20"/>
                <w:szCs w:val="20"/>
                <w:color w:val="auto"/>
              </w:rPr>
              <w:t>Total short-term investments</w:t>
            </w:r>
          </w:p>
        </w:tc>
        <w:tc>
          <w:tcPr>
            <w:tcW w:w="120" w:type="dxa"/>
            <w:vAlign w:val="bottom"/>
            <w:gridSpan w:val="3"/>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20" w:type="dxa"/>
            <w:vAlign w:val="bottom"/>
            <w:tcBorders>
              <w:right w:val="single" w:sz="8" w:color="E4E4E4"/>
            </w:tcBorders>
            <w:gridSpan w:val="3"/>
            <w:shd w:val="clear" w:color="auto" w:fill="E4E4E4"/>
          </w:tcPr>
          <w:p>
            <w:pPr>
              <w:jc w:val="right"/>
              <w:spacing w:after="0" w:line="220" w:lineRule="exact"/>
              <w:rPr>
                <w:sz w:val="20"/>
                <w:szCs w:val="20"/>
                <w:color w:val="auto"/>
              </w:rPr>
            </w:pPr>
            <w:r>
              <w:rPr>
                <w:rFonts w:ascii="Arial" w:cs="Arial" w:eastAsia="Arial" w:hAnsi="Arial"/>
                <w:sz w:val="20"/>
                <w:szCs w:val="20"/>
                <w:color w:val="auto"/>
                <w:w w:val="98"/>
              </w:rPr>
              <w:t>$ 105,392</w:t>
            </w:r>
          </w:p>
        </w:tc>
        <w:tc>
          <w:tcPr>
            <w:tcW w:w="160" w:type="dxa"/>
            <w:vAlign w:val="bottom"/>
            <w:tcBorders>
              <w:right w:val="single" w:sz="8" w:color="E4E4E4"/>
            </w:tcBorders>
            <w:shd w:val="clear" w:color="auto" w:fill="E4E4E4"/>
          </w:tcPr>
          <w:p>
            <w:pPr>
              <w:spacing w:after="0"/>
              <w:rPr>
                <w:sz w:val="19"/>
                <w:szCs w:val="19"/>
                <w:color w:val="auto"/>
              </w:rPr>
            </w:pPr>
          </w:p>
        </w:tc>
        <w:tc>
          <w:tcPr>
            <w:tcW w:w="120" w:type="dxa"/>
            <w:vAlign w:val="bottom"/>
            <w:shd w:val="clear" w:color="auto" w:fill="E4E4E4"/>
          </w:tcPr>
          <w:p>
            <w:pPr>
              <w:spacing w:after="0" w:line="220" w:lineRule="exact"/>
              <w:rPr>
                <w:sz w:val="20"/>
                <w:szCs w:val="20"/>
                <w:color w:val="auto"/>
              </w:rPr>
            </w:pPr>
            <w:r>
              <w:rPr>
                <w:rFonts w:ascii="Arial" w:cs="Arial" w:eastAsia="Arial" w:hAnsi="Arial"/>
                <w:sz w:val="20"/>
                <w:szCs w:val="20"/>
                <w:color w:val="auto"/>
                <w:w w:val="89"/>
              </w:rPr>
              <w:t>$</w:t>
            </w:r>
          </w:p>
        </w:tc>
        <w:tc>
          <w:tcPr>
            <w:tcW w:w="880" w:type="dxa"/>
            <w:vAlign w:val="bottom"/>
            <w:tcBorders>
              <w:right w:val="single" w:sz="8" w:color="E4E4E4"/>
            </w:tcBorders>
            <w:shd w:val="clear" w:color="auto" w:fill="E4E4E4"/>
          </w:tcPr>
          <w:p>
            <w:pPr>
              <w:ind w:left="500"/>
              <w:spacing w:after="0" w:line="220" w:lineRule="exact"/>
              <w:rPr>
                <w:sz w:val="20"/>
                <w:szCs w:val="20"/>
                <w:color w:val="auto"/>
              </w:rPr>
            </w:pPr>
            <w:r>
              <w:rPr>
                <w:rFonts w:ascii="Arial" w:cs="Arial" w:eastAsia="Arial" w:hAnsi="Arial"/>
                <w:sz w:val="20"/>
                <w:szCs w:val="20"/>
                <w:color w:val="auto"/>
              </w:rPr>
              <w:t>—</w:t>
            </w:r>
          </w:p>
        </w:tc>
        <w:tc>
          <w:tcPr>
            <w:tcW w:w="120" w:type="dxa"/>
            <w:vAlign w:val="bottom"/>
            <w:gridSpan w:val="2"/>
            <w:shd w:val="clear" w:color="auto" w:fill="E4E4E4"/>
          </w:tcPr>
          <w:p>
            <w:pPr>
              <w:spacing w:after="0" w:line="220" w:lineRule="exact"/>
              <w:rPr>
                <w:sz w:val="20"/>
                <w:szCs w:val="20"/>
                <w:color w:val="auto"/>
              </w:rPr>
            </w:pPr>
            <w:r>
              <w:rPr>
                <w:rFonts w:ascii="Arial" w:cs="Arial" w:eastAsia="Arial" w:hAnsi="Arial"/>
                <w:sz w:val="20"/>
                <w:szCs w:val="20"/>
                <w:color w:val="auto"/>
                <w:w w:val="89"/>
              </w:rPr>
              <w:t>$</w:t>
            </w:r>
          </w:p>
        </w:tc>
        <w:tc>
          <w:tcPr>
            <w:tcW w:w="20" w:type="dxa"/>
            <w:vAlign w:val="bottom"/>
            <w:shd w:val="clear" w:color="auto" w:fill="E4E4E4"/>
          </w:tcPr>
          <w:p>
            <w:pPr>
              <w:spacing w:after="0"/>
              <w:rPr>
                <w:sz w:val="19"/>
                <w:szCs w:val="19"/>
                <w:color w:val="auto"/>
              </w:rPr>
            </w:pPr>
          </w:p>
        </w:tc>
        <w:tc>
          <w:tcPr>
            <w:tcW w:w="700" w:type="dxa"/>
            <w:vAlign w:val="bottom"/>
            <w:tcBorders>
              <w:right w:val="single" w:sz="8" w:color="E4E4E4"/>
            </w:tcBorders>
            <w:shd w:val="clear" w:color="auto" w:fill="E4E4E4"/>
          </w:tcPr>
          <w:p>
            <w:pPr>
              <w:jc w:val="right"/>
              <w:spacing w:after="0" w:line="220" w:lineRule="exact"/>
              <w:rPr>
                <w:sz w:val="20"/>
                <w:szCs w:val="20"/>
                <w:color w:val="auto"/>
              </w:rPr>
            </w:pPr>
            <w:r>
              <w:rPr>
                <w:rFonts w:ascii="Arial" w:cs="Arial" w:eastAsia="Arial" w:hAnsi="Arial"/>
                <w:sz w:val="20"/>
                <w:szCs w:val="20"/>
                <w:color w:val="auto"/>
              </w:rPr>
              <w:t>(1,014</w:t>
            </w:r>
          </w:p>
        </w:tc>
        <w:tc>
          <w:tcPr>
            <w:tcW w:w="160" w:type="dxa"/>
            <w:vAlign w:val="bottom"/>
            <w:tcBorders>
              <w:right w:val="single" w:sz="8" w:color="E4E4E4"/>
            </w:tcBorders>
            <w:shd w:val="clear" w:color="auto" w:fill="E4E4E4"/>
          </w:tcPr>
          <w:p>
            <w:pPr>
              <w:jc w:val="right"/>
              <w:ind w:right="68"/>
              <w:spacing w:after="0"/>
              <w:rPr>
                <w:sz w:val="20"/>
                <w:szCs w:val="20"/>
                <w:color w:val="auto"/>
              </w:rPr>
            </w:pPr>
            <w:r>
              <w:rPr>
                <w:rFonts w:ascii="Arial" w:cs="Arial" w:eastAsia="Arial" w:hAnsi="Arial"/>
                <w:sz w:val="8"/>
                <w:szCs w:val="8"/>
                <w:color w:val="auto"/>
                <w:w w:val="73"/>
                <w:shd w:val="clear" w:color="auto" w:fill="E4E4E4"/>
              </w:rPr>
              <w:t>)</w:t>
            </w:r>
          </w:p>
        </w:tc>
        <w:tc>
          <w:tcPr>
            <w:tcW w:w="840" w:type="dxa"/>
            <w:vAlign w:val="bottom"/>
            <w:tcBorders>
              <w:left w:val="single" w:sz="8" w:color="E4E4E4"/>
              <w:right w:val="single" w:sz="8" w:color="E4E4E4"/>
            </w:tcBorders>
            <w:gridSpan w:val="2"/>
            <w:shd w:val="clear" w:color="auto" w:fill="E4E4E4"/>
          </w:tcPr>
          <w:p>
            <w:pPr>
              <w:jc w:val="right"/>
              <w:spacing w:after="0" w:line="220" w:lineRule="exact"/>
              <w:rPr>
                <w:sz w:val="20"/>
                <w:szCs w:val="20"/>
                <w:color w:val="auto"/>
              </w:rPr>
            </w:pPr>
            <w:r>
              <w:rPr>
                <w:rFonts w:ascii="Arial" w:cs="Arial" w:eastAsia="Arial" w:hAnsi="Arial"/>
                <w:sz w:val="20"/>
                <w:szCs w:val="20"/>
                <w:color w:val="auto"/>
                <w:w w:val="92"/>
                <w:shd w:val="clear" w:color="auto" w:fill="E4E4E4"/>
              </w:rPr>
              <w:t>$ 104,378</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gridSpan w:val="4"/>
            <w:vMerge w:val="restart"/>
          </w:tcPr>
          <w:p>
            <w:pPr>
              <w:spacing w:after="0"/>
              <w:rPr>
                <w:sz w:val="20"/>
                <w:szCs w:val="20"/>
                <w:color w:val="auto"/>
              </w:rPr>
            </w:pPr>
            <w:r>
              <w:rPr>
                <w:rFonts w:ascii="Arial" w:cs="Arial" w:eastAsia="Arial" w:hAnsi="Arial"/>
                <w:sz w:val="20"/>
                <w:szCs w:val="20"/>
                <w:color w:val="auto"/>
              </w:rPr>
              <w:t>Long-term investments:</w:t>
            </w: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gridSpan w:val="4"/>
            <w:vMerge w:val="continue"/>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60" w:type="dxa"/>
            <w:vAlign w:val="bottom"/>
            <w:tcBorders>
              <w:top w:val="single" w:sz="8" w:color="auto"/>
            </w:tcBorders>
            <w:shd w:val="clear" w:color="auto" w:fill="E4E4E4"/>
          </w:tcPr>
          <w:p>
            <w:pPr>
              <w:ind w:left="280"/>
              <w:spacing w:after="0" w:line="220" w:lineRule="exact"/>
              <w:rPr>
                <w:sz w:val="20"/>
                <w:szCs w:val="20"/>
                <w:color w:val="auto"/>
              </w:rPr>
            </w:pPr>
            <w:r>
              <w:rPr>
                <w:rFonts w:ascii="Arial" w:cs="Arial" w:eastAsia="Arial" w:hAnsi="Arial"/>
                <w:sz w:val="20"/>
                <w:szCs w:val="20"/>
                <w:color w:val="auto"/>
              </w:rPr>
              <w:t>U.S. government debt and agency</w:t>
            </w:r>
          </w:p>
        </w:tc>
        <w:tc>
          <w:tcPr>
            <w:tcW w:w="120" w:type="dxa"/>
            <w:vAlign w:val="bottom"/>
            <w:tcBorders>
              <w:top w:val="single" w:sz="8" w:color="E4E4E4"/>
            </w:tcBorders>
            <w:gridSpan w:val="3"/>
            <w:shd w:val="clear" w:color="auto" w:fill="E4E4E4"/>
          </w:tcPr>
          <w:p>
            <w:pPr>
              <w:spacing w:after="0"/>
              <w:rPr>
                <w:sz w:val="19"/>
                <w:szCs w:val="19"/>
                <w:color w:val="auto"/>
              </w:rPr>
            </w:pPr>
          </w:p>
        </w:tc>
        <w:tc>
          <w:tcPr>
            <w:tcW w:w="86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E4E4E4"/>
              <w:right w:val="single" w:sz="8" w:color="E4E4E4"/>
            </w:tcBorders>
            <w:shd w:val="clear" w:color="auto" w:fill="E4E4E4"/>
          </w:tcPr>
          <w:p>
            <w:pPr>
              <w:spacing w:after="0"/>
              <w:rPr>
                <w:sz w:val="19"/>
                <w:szCs w:val="19"/>
                <w:color w:val="auto"/>
              </w:rPr>
            </w:pPr>
          </w:p>
        </w:tc>
        <w:tc>
          <w:tcPr>
            <w:tcW w:w="140" w:type="dxa"/>
            <w:vAlign w:val="bottom"/>
            <w:tcBorders>
              <w:top w:val="single" w:sz="8" w:color="E4E4E4"/>
            </w:tcBorders>
            <w:shd w:val="clear" w:color="auto" w:fill="E4E4E4"/>
          </w:tcPr>
          <w:p>
            <w:pPr>
              <w:spacing w:after="0"/>
              <w:rPr>
                <w:sz w:val="19"/>
                <w:szCs w:val="19"/>
                <w:color w:val="auto"/>
              </w:rPr>
            </w:pPr>
          </w:p>
        </w:tc>
        <w:tc>
          <w:tcPr>
            <w:tcW w:w="680" w:type="dxa"/>
            <w:vAlign w:val="bottom"/>
            <w:tcBorders>
              <w:top w:val="single" w:sz="8" w:color="E4E4E4"/>
              <w:right w:val="single" w:sz="8" w:color="E4E4E4"/>
            </w:tcBorders>
            <w:shd w:val="clear" w:color="auto" w:fill="E4E4E4"/>
          </w:tcPr>
          <w:p>
            <w:pPr>
              <w:spacing w:after="0"/>
              <w:rPr>
                <w:sz w:val="19"/>
                <w:szCs w:val="19"/>
                <w:color w:val="auto"/>
              </w:rPr>
            </w:pPr>
          </w:p>
        </w:tc>
        <w:tc>
          <w:tcPr>
            <w:tcW w:w="160" w:type="dxa"/>
            <w:vAlign w:val="bottom"/>
            <w:tcBorders>
              <w:top w:val="single" w:sz="8" w:color="E4E4E4"/>
              <w:right w:val="single" w:sz="8" w:color="E4E4E4"/>
            </w:tcBorders>
            <w:shd w:val="clear" w:color="auto" w:fill="E4E4E4"/>
          </w:tcPr>
          <w:p>
            <w:pPr>
              <w:spacing w:after="0"/>
              <w:rPr>
                <w:sz w:val="19"/>
                <w:szCs w:val="19"/>
                <w:color w:val="auto"/>
              </w:rPr>
            </w:pPr>
          </w:p>
        </w:tc>
        <w:tc>
          <w:tcPr>
            <w:tcW w:w="120" w:type="dxa"/>
            <w:vAlign w:val="bottom"/>
            <w:tcBorders>
              <w:top w:val="single" w:sz="8" w:color="E4E4E4"/>
            </w:tcBorders>
            <w:shd w:val="clear" w:color="auto" w:fill="E4E4E4"/>
          </w:tcPr>
          <w:p>
            <w:pPr>
              <w:spacing w:after="0"/>
              <w:rPr>
                <w:sz w:val="19"/>
                <w:szCs w:val="19"/>
                <w:color w:val="auto"/>
              </w:rPr>
            </w:pPr>
          </w:p>
        </w:tc>
        <w:tc>
          <w:tcPr>
            <w:tcW w:w="880" w:type="dxa"/>
            <w:vAlign w:val="bottom"/>
            <w:tcBorders>
              <w:top w:val="single" w:sz="8" w:color="E4E4E4"/>
              <w:right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700" w:type="dxa"/>
            <w:vAlign w:val="bottom"/>
            <w:tcBorders>
              <w:top w:val="single" w:sz="8" w:color="E4E4E4"/>
              <w:right w:val="single" w:sz="8" w:color="E4E4E4"/>
            </w:tcBorders>
            <w:shd w:val="clear" w:color="auto" w:fill="E4E4E4"/>
          </w:tcPr>
          <w:p>
            <w:pPr>
              <w:spacing w:after="0"/>
              <w:rPr>
                <w:sz w:val="19"/>
                <w:szCs w:val="19"/>
                <w:color w:val="auto"/>
              </w:rPr>
            </w:pPr>
          </w:p>
        </w:tc>
        <w:tc>
          <w:tcPr>
            <w:tcW w:w="160" w:type="dxa"/>
            <w:vAlign w:val="bottom"/>
            <w:tcBorders>
              <w:top w:val="single" w:sz="8" w:color="E4E4E4"/>
              <w:right w:val="single" w:sz="8" w:color="E4E4E4"/>
            </w:tcBorders>
            <w:shd w:val="clear" w:color="auto" w:fill="E4E4E4"/>
          </w:tcPr>
          <w:p>
            <w:pPr>
              <w:spacing w:after="0"/>
              <w:rPr>
                <w:sz w:val="19"/>
                <w:szCs w:val="19"/>
                <w:color w:val="auto"/>
              </w:rPr>
            </w:pPr>
          </w:p>
        </w:tc>
        <w:tc>
          <w:tcPr>
            <w:tcW w:w="160" w:type="dxa"/>
            <w:vAlign w:val="bottom"/>
            <w:tcBorders>
              <w:top w:val="single" w:sz="8" w:color="E4E4E4"/>
              <w:left w:val="single" w:sz="8" w:color="E4E4E4"/>
            </w:tcBorders>
            <w:shd w:val="clear" w:color="auto" w:fill="E4E4E4"/>
          </w:tcPr>
          <w:p>
            <w:pPr>
              <w:spacing w:after="0"/>
              <w:rPr>
                <w:sz w:val="19"/>
                <w:szCs w:val="19"/>
                <w:color w:val="auto"/>
              </w:rPr>
            </w:pPr>
          </w:p>
        </w:tc>
        <w:tc>
          <w:tcPr>
            <w:tcW w:w="680" w:type="dxa"/>
            <w:vAlign w:val="bottom"/>
            <w:tcBorders>
              <w:top w:val="single" w:sz="8" w:color="E4E4E4"/>
              <w:right w:val="single" w:sz="8" w:color="E4E4E4"/>
            </w:tcBorders>
            <w:shd w:val="clear" w:color="auto" w:fill="E4E4E4"/>
          </w:tcPr>
          <w:p>
            <w:pPr>
              <w:spacing w:after="0"/>
              <w:rPr>
                <w:sz w:val="19"/>
                <w:szCs w:val="19"/>
                <w:color w:val="auto"/>
              </w:rPr>
            </w:pPr>
          </w:p>
        </w:tc>
        <w:tc>
          <w:tcPr>
            <w:tcW w:w="8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360" w:type="dxa"/>
            <w:vAlign w:val="bottom"/>
            <w:tcBorders>
              <w:bottom w:val="single" w:sz="8" w:color="E4E4E4"/>
            </w:tcBorders>
            <w:shd w:val="clear" w:color="auto" w:fill="E4E4E4"/>
          </w:tcPr>
          <w:p>
            <w:pPr>
              <w:ind w:left="440"/>
              <w:spacing w:after="0"/>
              <w:rPr>
                <w:sz w:val="20"/>
                <w:szCs w:val="20"/>
                <w:color w:val="auto"/>
              </w:rPr>
            </w:pPr>
            <w:r>
              <w:rPr>
                <w:rFonts w:ascii="Arial" w:cs="Arial" w:eastAsia="Arial" w:hAnsi="Arial"/>
                <w:sz w:val="20"/>
                <w:szCs w:val="20"/>
                <w:color w:val="auto"/>
              </w:rPr>
              <w:t>securities</w:t>
            </w:r>
          </w:p>
        </w:tc>
        <w:tc>
          <w:tcPr>
            <w:tcW w:w="20" w:type="dxa"/>
            <w:vAlign w:val="bottom"/>
            <w:tcBorders>
              <w:bottom w:val="single" w:sz="8" w:color="E4E4E4"/>
            </w:tcBorders>
            <w:shd w:val="clear" w:color="auto" w:fill="E4E4E4"/>
          </w:tcPr>
          <w:p>
            <w:pPr>
              <w:spacing w:after="0"/>
              <w:rPr>
                <w:sz w:val="21"/>
                <w:szCs w:val="21"/>
                <w:color w:val="auto"/>
              </w:rPr>
            </w:pPr>
          </w:p>
        </w:tc>
        <w:tc>
          <w:tcPr>
            <w:tcW w:w="80" w:type="dxa"/>
            <w:vAlign w:val="bottom"/>
            <w:tcBorders>
              <w:bottom w:val="single" w:sz="8" w:color="E4E4E4"/>
            </w:tcBorders>
            <w:shd w:val="clear" w:color="auto" w:fill="E4E4E4"/>
          </w:tcPr>
          <w:p>
            <w:pPr>
              <w:spacing w:after="0"/>
              <w:rPr>
                <w:sz w:val="21"/>
                <w:szCs w:val="21"/>
                <w:color w:val="auto"/>
              </w:rPr>
            </w:pPr>
          </w:p>
        </w:tc>
        <w:tc>
          <w:tcPr>
            <w:tcW w:w="20" w:type="dxa"/>
            <w:vAlign w:val="bottom"/>
            <w:tcBorders>
              <w:bottom w:val="single" w:sz="8" w:color="E4E4E4"/>
            </w:tcBorders>
            <w:shd w:val="clear" w:color="auto" w:fill="E4E4E4"/>
          </w:tcPr>
          <w:p>
            <w:pPr>
              <w:spacing w:after="0"/>
              <w:rPr>
                <w:sz w:val="21"/>
                <w:szCs w:val="21"/>
                <w:color w:val="auto"/>
              </w:rPr>
            </w:pPr>
          </w:p>
        </w:tc>
        <w:tc>
          <w:tcPr>
            <w:tcW w:w="86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20"/>
                <w:szCs w:val="20"/>
                <w:color w:val="auto"/>
              </w:rPr>
              <w:t>2</w:t>
            </w:r>
          </w:p>
        </w:tc>
        <w:tc>
          <w:tcPr>
            <w:tcW w:w="20" w:type="dxa"/>
            <w:vAlign w:val="bottom"/>
            <w:tcBorders>
              <w:bottom w:val="single" w:sz="8" w:color="E4E4E4"/>
            </w:tcBorders>
            <w:shd w:val="clear" w:color="auto" w:fill="E4E4E4"/>
          </w:tcPr>
          <w:p>
            <w:pPr>
              <w:spacing w:after="0"/>
              <w:rPr>
                <w:sz w:val="21"/>
                <w:szCs w:val="21"/>
                <w:color w:val="auto"/>
              </w:rPr>
            </w:pPr>
          </w:p>
        </w:tc>
        <w:tc>
          <w:tcPr>
            <w:tcW w:w="100" w:type="dxa"/>
            <w:vAlign w:val="bottom"/>
            <w:tcBorders>
              <w:bottom w:val="single" w:sz="8" w:color="E4E4E4"/>
              <w:right w:val="single" w:sz="8" w:color="E4E4E4"/>
            </w:tcBorders>
            <w:shd w:val="clear" w:color="auto" w:fill="E4E4E4"/>
          </w:tcPr>
          <w:p>
            <w:pPr>
              <w:spacing w:after="0"/>
              <w:rPr>
                <w:sz w:val="21"/>
                <w:szCs w:val="21"/>
                <w:color w:val="auto"/>
              </w:rPr>
            </w:pPr>
          </w:p>
        </w:tc>
        <w:tc>
          <w:tcPr>
            <w:tcW w:w="140" w:type="dxa"/>
            <w:vAlign w:val="bottom"/>
            <w:tcBorders>
              <w:bottom w:val="single" w:sz="8" w:color="auto"/>
            </w:tcBorders>
            <w:shd w:val="clear" w:color="auto" w:fill="E4E4E4"/>
          </w:tcPr>
          <w:p>
            <w:pPr>
              <w:spacing w:after="0"/>
              <w:rPr>
                <w:sz w:val="21"/>
                <w:szCs w:val="21"/>
                <w:color w:val="auto"/>
              </w:rPr>
            </w:pPr>
          </w:p>
        </w:tc>
        <w:tc>
          <w:tcPr>
            <w:tcW w:w="680" w:type="dxa"/>
            <w:vAlign w:val="bottom"/>
            <w:tcBorders>
              <w:bottom w:val="single" w:sz="8" w:color="auto"/>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45,745</w:t>
            </w:r>
          </w:p>
        </w:tc>
        <w:tc>
          <w:tcPr>
            <w:tcW w:w="160" w:type="dxa"/>
            <w:vAlign w:val="bottom"/>
            <w:tcBorders>
              <w:bottom w:val="single" w:sz="8" w:color="E4E4E4"/>
              <w:right w:val="single" w:sz="8" w:color="E4E4E4"/>
            </w:tcBorders>
            <w:shd w:val="clear" w:color="auto" w:fill="E4E4E4"/>
          </w:tcPr>
          <w:p>
            <w:pPr>
              <w:spacing w:after="0"/>
              <w:rPr>
                <w:sz w:val="21"/>
                <w:szCs w:val="21"/>
                <w:color w:val="auto"/>
              </w:rPr>
            </w:pPr>
          </w:p>
        </w:tc>
        <w:tc>
          <w:tcPr>
            <w:tcW w:w="120" w:type="dxa"/>
            <w:vAlign w:val="bottom"/>
            <w:tcBorders>
              <w:bottom w:val="single" w:sz="8" w:color="auto"/>
            </w:tcBorders>
            <w:shd w:val="clear" w:color="auto" w:fill="E4E4E4"/>
          </w:tcPr>
          <w:p>
            <w:pPr>
              <w:spacing w:after="0"/>
              <w:rPr>
                <w:sz w:val="21"/>
                <w:szCs w:val="21"/>
                <w:color w:val="auto"/>
              </w:rPr>
            </w:pPr>
          </w:p>
        </w:tc>
        <w:tc>
          <w:tcPr>
            <w:tcW w:w="880" w:type="dxa"/>
            <w:vAlign w:val="bottom"/>
            <w:tcBorders>
              <w:bottom w:val="single" w:sz="8" w:color="auto"/>
              <w:right w:val="single" w:sz="8" w:color="E4E4E4"/>
            </w:tcBorders>
            <w:shd w:val="clear" w:color="auto" w:fill="E4E4E4"/>
          </w:tcPr>
          <w:p>
            <w:pPr>
              <w:ind w:left="500"/>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spacing w:after="0"/>
              <w:rPr>
                <w:sz w:val="21"/>
                <w:szCs w:val="21"/>
                <w:color w:val="auto"/>
              </w:rPr>
            </w:pPr>
          </w:p>
        </w:tc>
        <w:tc>
          <w:tcPr>
            <w:tcW w:w="20" w:type="dxa"/>
            <w:vAlign w:val="bottom"/>
            <w:tcBorders>
              <w:bottom w:val="single" w:sz="8" w:color="auto"/>
            </w:tcBorders>
            <w:shd w:val="clear" w:color="auto" w:fill="E4E4E4"/>
          </w:tcPr>
          <w:p>
            <w:pPr>
              <w:spacing w:after="0"/>
              <w:rPr>
                <w:sz w:val="21"/>
                <w:szCs w:val="21"/>
                <w:color w:val="auto"/>
              </w:rPr>
            </w:pPr>
          </w:p>
        </w:tc>
        <w:tc>
          <w:tcPr>
            <w:tcW w:w="700" w:type="dxa"/>
            <w:vAlign w:val="bottom"/>
            <w:tcBorders>
              <w:bottom w:val="single" w:sz="8" w:color="auto"/>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(916</w:t>
            </w:r>
          </w:p>
        </w:tc>
        <w:tc>
          <w:tcPr>
            <w:tcW w:w="160" w:type="dxa"/>
            <w:vAlign w:val="bottom"/>
            <w:tcBorders>
              <w:bottom w:val="single" w:sz="8" w:color="E4E4E4"/>
              <w:right w:val="single" w:sz="8" w:color="E4E4E4"/>
            </w:tcBorders>
            <w:shd w:val="clear" w:color="auto" w:fill="E4E4E4"/>
          </w:tcPr>
          <w:p>
            <w:pPr>
              <w:jc w:val="right"/>
              <w:ind w:right="68"/>
              <w:spacing w:after="0"/>
              <w:rPr>
                <w:sz w:val="20"/>
                <w:szCs w:val="20"/>
                <w:color w:val="auto"/>
              </w:rPr>
            </w:pPr>
            <w:r>
              <w:rPr>
                <w:rFonts w:ascii="Arial" w:cs="Arial" w:eastAsia="Arial" w:hAnsi="Arial"/>
                <w:sz w:val="8"/>
                <w:szCs w:val="8"/>
                <w:color w:val="auto"/>
                <w:w w:val="73"/>
              </w:rPr>
              <w:t>)</w:t>
            </w:r>
          </w:p>
        </w:tc>
        <w:tc>
          <w:tcPr>
            <w:tcW w:w="160" w:type="dxa"/>
            <w:vAlign w:val="bottom"/>
            <w:tcBorders>
              <w:left w:val="single" w:sz="8" w:color="E4E4E4"/>
              <w:bottom w:val="single" w:sz="8" w:color="auto"/>
            </w:tcBorders>
            <w:shd w:val="clear" w:color="auto" w:fill="E4E4E4"/>
          </w:tcPr>
          <w:p>
            <w:pPr>
              <w:spacing w:after="0"/>
              <w:rPr>
                <w:sz w:val="21"/>
                <w:szCs w:val="21"/>
                <w:color w:val="auto"/>
              </w:rPr>
            </w:pPr>
          </w:p>
        </w:tc>
        <w:tc>
          <w:tcPr>
            <w:tcW w:w="680" w:type="dxa"/>
            <w:vAlign w:val="bottom"/>
            <w:tcBorders>
              <w:bottom w:val="single" w:sz="8" w:color="auto"/>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44,829</w:t>
            </w:r>
          </w:p>
        </w:tc>
        <w:tc>
          <w:tcPr>
            <w:tcW w:w="80" w:type="dxa"/>
            <w:vAlign w:val="bottom"/>
            <w:tcBorders>
              <w:bottom w:val="single" w:sz="8" w:color="E4E4E4"/>
            </w:tcBorders>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360" w:type="dxa"/>
            <w:vAlign w:val="bottom"/>
          </w:tcPr>
          <w:p>
            <w:pPr>
              <w:spacing w:after="0" w:line="203" w:lineRule="exact"/>
              <w:rPr>
                <w:sz w:val="20"/>
                <w:szCs w:val="20"/>
                <w:color w:val="auto"/>
              </w:rPr>
            </w:pPr>
            <w:r>
              <w:rPr>
                <w:rFonts w:ascii="Arial" w:cs="Arial" w:eastAsia="Arial" w:hAnsi="Arial"/>
                <w:sz w:val="20"/>
                <w:szCs w:val="20"/>
                <w:color w:val="auto"/>
              </w:rPr>
              <w:t>Total long-term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line="203" w:lineRule="exact"/>
              <w:rPr>
                <w:sz w:val="20"/>
                <w:szCs w:val="20"/>
                <w:color w:val="auto"/>
              </w:rPr>
            </w:pPr>
            <w:r>
              <w:rPr>
                <w:rFonts w:ascii="Arial" w:cs="Arial" w:eastAsia="Arial" w:hAnsi="Arial"/>
                <w:sz w:val="20"/>
                <w:szCs w:val="20"/>
                <w:color w:val="auto"/>
              </w:rPr>
              <w:t>$ 45,745</w:t>
            </w:r>
          </w:p>
        </w:tc>
        <w:tc>
          <w:tcPr>
            <w:tcW w:w="160" w:type="dxa"/>
            <w:vAlign w:val="bottom"/>
          </w:tcPr>
          <w:p>
            <w:pPr>
              <w:spacing w:after="0"/>
              <w:rPr>
                <w:sz w:val="17"/>
                <w:szCs w:val="17"/>
                <w:color w:val="auto"/>
              </w:rPr>
            </w:pPr>
          </w:p>
        </w:tc>
        <w:tc>
          <w:tcPr>
            <w:tcW w:w="120" w:type="dxa"/>
            <w:vAlign w:val="bottom"/>
          </w:tcPr>
          <w:p>
            <w:pPr>
              <w:spacing w:after="0" w:line="203" w:lineRule="exact"/>
              <w:rPr>
                <w:sz w:val="20"/>
                <w:szCs w:val="20"/>
                <w:color w:val="auto"/>
              </w:rPr>
            </w:pPr>
            <w:r>
              <w:rPr>
                <w:rFonts w:ascii="Arial" w:cs="Arial" w:eastAsia="Arial" w:hAnsi="Arial"/>
                <w:sz w:val="20"/>
                <w:szCs w:val="20"/>
                <w:color w:val="auto"/>
                <w:w w:val="89"/>
              </w:rPr>
              <w:t>$</w:t>
            </w:r>
          </w:p>
        </w:tc>
        <w:tc>
          <w:tcPr>
            <w:tcW w:w="880" w:type="dxa"/>
            <w:vAlign w:val="bottom"/>
          </w:tcPr>
          <w:p>
            <w:pPr>
              <w:ind w:left="500"/>
              <w:spacing w:after="0" w:line="203" w:lineRule="exact"/>
              <w:rPr>
                <w:sz w:val="20"/>
                <w:szCs w:val="20"/>
                <w:color w:val="auto"/>
              </w:rPr>
            </w:pPr>
            <w:r>
              <w:rPr>
                <w:rFonts w:ascii="Arial" w:cs="Arial" w:eastAsia="Arial" w:hAnsi="Arial"/>
                <w:sz w:val="20"/>
                <w:szCs w:val="20"/>
                <w:color w:val="auto"/>
              </w:rPr>
              <w:t>—</w:t>
            </w:r>
          </w:p>
        </w:tc>
        <w:tc>
          <w:tcPr>
            <w:tcW w:w="120" w:type="dxa"/>
            <w:vAlign w:val="bottom"/>
            <w:gridSpan w:val="2"/>
          </w:tcPr>
          <w:p>
            <w:pPr>
              <w:spacing w:after="0" w:line="203" w:lineRule="exact"/>
              <w:rPr>
                <w:sz w:val="20"/>
                <w:szCs w:val="20"/>
                <w:color w:val="auto"/>
              </w:rPr>
            </w:pPr>
            <w:r>
              <w:rPr>
                <w:rFonts w:ascii="Arial" w:cs="Arial" w:eastAsia="Arial" w:hAnsi="Arial"/>
                <w:sz w:val="20"/>
                <w:szCs w:val="20"/>
                <w:color w:val="auto"/>
                <w:w w:val="89"/>
              </w:rPr>
              <w:t>$</w:t>
            </w:r>
          </w:p>
        </w:tc>
        <w:tc>
          <w:tcPr>
            <w:tcW w:w="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20"/>
                <w:szCs w:val="20"/>
                <w:color w:val="auto"/>
              </w:rPr>
              <w:t>(916</w:t>
            </w:r>
          </w:p>
        </w:tc>
        <w:tc>
          <w:tcPr>
            <w:tcW w:w="160" w:type="dxa"/>
            <w:vAlign w:val="bottom"/>
          </w:tcPr>
          <w:p>
            <w:pPr>
              <w:jc w:val="right"/>
              <w:ind w:right="68"/>
              <w:spacing w:after="0"/>
              <w:rPr>
                <w:sz w:val="20"/>
                <w:szCs w:val="20"/>
                <w:color w:val="auto"/>
              </w:rPr>
            </w:pPr>
            <w:r>
              <w:rPr>
                <w:rFonts w:ascii="Arial" w:cs="Arial" w:eastAsia="Arial" w:hAnsi="Arial"/>
                <w:sz w:val="8"/>
                <w:szCs w:val="8"/>
                <w:color w:val="auto"/>
                <w:w w:val="73"/>
              </w:rPr>
              <w:t>)</w:t>
            </w:r>
          </w:p>
        </w:tc>
        <w:tc>
          <w:tcPr>
            <w:tcW w:w="840" w:type="dxa"/>
            <w:vAlign w:val="bottom"/>
            <w:gridSpan w:val="2"/>
          </w:tcPr>
          <w:p>
            <w:pPr>
              <w:jc w:val="right"/>
              <w:spacing w:after="0" w:line="203" w:lineRule="exact"/>
              <w:rPr>
                <w:sz w:val="20"/>
                <w:szCs w:val="20"/>
                <w:color w:val="auto"/>
              </w:rPr>
            </w:pPr>
            <w:r>
              <w:rPr>
                <w:rFonts w:ascii="Arial" w:cs="Arial" w:eastAsia="Arial" w:hAnsi="Arial"/>
                <w:sz w:val="20"/>
                <w:szCs w:val="20"/>
                <w:color w:val="auto"/>
              </w:rPr>
              <w:t>$ 44,829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2776855</wp:posOffset>
                </wp:positionH>
                <wp:positionV relativeFrom="paragraph">
                  <wp:posOffset>-3925570</wp:posOffset>
                </wp:positionV>
                <wp:extent cx="316611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611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65pt,-309.0999pt" to="467.95pt,-309.09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-2855595</wp:posOffset>
                </wp:positionV>
                <wp:extent cx="346202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202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4.8499pt" to="272.6pt,-224.8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3972560</wp:posOffset>
                </wp:positionH>
                <wp:positionV relativeFrom="paragraph">
                  <wp:posOffset>-2855595</wp:posOffset>
                </wp:positionV>
                <wp:extent cx="11938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938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8pt,-224.8499pt" to="322.2pt,-224.8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4613275</wp:posOffset>
                </wp:positionH>
                <wp:positionV relativeFrom="paragraph">
                  <wp:posOffset>-2855595</wp:posOffset>
                </wp:positionV>
                <wp:extent cx="11938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938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25pt,-224.8499pt" to="372.65pt,-224.8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5253990</wp:posOffset>
                </wp:positionH>
                <wp:positionV relativeFrom="paragraph">
                  <wp:posOffset>-2855595</wp:posOffset>
                </wp:positionV>
                <wp:extent cx="12001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01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7pt,-224.8499pt" to="423.15pt,-224.8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5883275</wp:posOffset>
                </wp:positionH>
                <wp:positionV relativeFrom="paragraph">
                  <wp:posOffset>-2855595</wp:posOffset>
                </wp:positionV>
                <wp:extent cx="5969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9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25pt,-224.8499pt" to="467.95pt,-224.8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-1720850</wp:posOffset>
                </wp:positionV>
                <wp:extent cx="344805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805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5.4999pt" to="271.5pt,-135.49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3978275</wp:posOffset>
                </wp:positionH>
                <wp:positionV relativeFrom="paragraph">
                  <wp:posOffset>-1720850</wp:posOffset>
                </wp:positionV>
                <wp:extent cx="11176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176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25pt,-135.4999pt" to="322.05pt,-135.49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4612005</wp:posOffset>
                </wp:positionH>
                <wp:positionV relativeFrom="paragraph">
                  <wp:posOffset>-1720850</wp:posOffset>
                </wp:positionV>
                <wp:extent cx="11112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112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15pt,-135.4999pt" to="371.9pt,-135.49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5244465</wp:posOffset>
                </wp:positionH>
                <wp:positionV relativeFrom="paragraph">
                  <wp:posOffset>-1720850</wp:posOffset>
                </wp:positionV>
                <wp:extent cx="11176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176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95pt,-135.4999pt" to="421.75pt,-135.49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5886450</wp:posOffset>
                </wp:positionH>
                <wp:positionV relativeFrom="paragraph">
                  <wp:posOffset>-1720850</wp:posOffset>
                </wp:positionV>
                <wp:extent cx="5651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51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5pt,-135.4999pt" to="467.95pt,-135.49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2773680</wp:posOffset>
                </wp:positionH>
                <wp:positionV relativeFrom="paragraph">
                  <wp:posOffset>-1394460</wp:posOffset>
                </wp:positionV>
                <wp:extent cx="316928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928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4pt,-109.7999pt" to="467.95pt,-109.79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3448050</wp:posOffset>
                </wp:positionH>
                <wp:positionV relativeFrom="paragraph">
                  <wp:posOffset>-626110</wp:posOffset>
                </wp:positionV>
                <wp:extent cx="53022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225"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1.5pt,-49.2999pt" to="313.25pt,-49.2999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4090035</wp:posOffset>
                </wp:positionH>
                <wp:positionV relativeFrom="paragraph">
                  <wp:posOffset>-626110</wp:posOffset>
                </wp:positionV>
                <wp:extent cx="52197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97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05pt,-49.2999pt" to="363.15pt,-49.2999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4723130</wp:posOffset>
                </wp:positionH>
                <wp:positionV relativeFrom="paragraph">
                  <wp:posOffset>-626110</wp:posOffset>
                </wp:positionV>
                <wp:extent cx="52133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335"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9pt,-49.2999pt" to="412.95pt,-49.2999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5356225</wp:posOffset>
                </wp:positionH>
                <wp:positionV relativeFrom="paragraph">
                  <wp:posOffset>-626110</wp:posOffset>
                </wp:positionV>
                <wp:extent cx="53022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225"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75pt,-49.2999pt" to="463.5pt,-49.2999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-177800</wp:posOffset>
                </wp:positionV>
                <wp:extent cx="344805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805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pt" to="271.5pt,-14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3978275</wp:posOffset>
                </wp:positionH>
                <wp:positionV relativeFrom="paragraph">
                  <wp:posOffset>-177800</wp:posOffset>
                </wp:positionV>
                <wp:extent cx="11176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176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25pt,-14pt" to="322.05pt,-14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4612005</wp:posOffset>
                </wp:positionH>
                <wp:positionV relativeFrom="paragraph">
                  <wp:posOffset>-177800</wp:posOffset>
                </wp:positionV>
                <wp:extent cx="11112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112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15pt,-14pt" to="371.9pt,-14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5244465</wp:posOffset>
                </wp:positionH>
                <wp:positionV relativeFrom="paragraph">
                  <wp:posOffset>-177800</wp:posOffset>
                </wp:positionV>
                <wp:extent cx="11176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176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95pt,-14pt" to="421.75pt,-14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5886450</wp:posOffset>
                </wp:positionH>
                <wp:positionV relativeFrom="paragraph">
                  <wp:posOffset>-177800</wp:posOffset>
                </wp:positionV>
                <wp:extent cx="5651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51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5pt,-14pt" to="467.95pt,-14pt" o:allowincell="f" strokecolor="#FFFFFF" strokeweight="0.4809pt"/>
            </w:pict>
          </mc:Fallback>
        </mc:AlternateContent>
      </w:r>
    </w:p>
    <w:p>
      <w:pPr>
        <w:spacing w:after="0" w:line="230"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All the commercial paper, U.S. government debt, and agency securities, U.S. treasury bills, and corporate bonds designated as short-term investments have an effective maturity date that is equal to or less than one year from the respective balance sheet date. Those that are designated as long-term investments have an effective maturity date that is more than one year, but less than two years, from the respective balance sheet date.</w:t>
      </w:r>
    </w:p>
    <w:p>
      <w:pPr>
        <w:spacing w:after="0" w:line="193"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As of December 31, 2023, the Company does not intend to sell any securities in unrealized loss positions, and it is not more-likely-than-not that the Company will be required to sell such securities prior to the recovery of the amortized cost basis. Based on the Company's assessment, the Company concluded all impairments as of December 31, 2023 to be due to factors other than credit loss, such as changes in interest rates. A credit loss allowance was not recognized and the unrealized gains (losses) for available-for-sale securities were recorded in other comprehensive loss.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146</w:t>
      </w:r>
    </w:p>
    <w:p>
      <w:pPr>
        <w:sectPr>
          <w:pgSz w:w="11880" w:h="15474" w:orient="portrait"/>
          <w:cols w:equalWidth="0" w:num="1">
            <w:col w:w="9360"/>
          </w:cols>
          <w:pgMar w:left="1240" w:top="1255" w:right="1274" w:bottom="0" w:gutter="0" w:footer="0" w:header="0"/>
          <w:type w:val="continuous"/>
        </w:sectPr>
      </w:pPr>
    </w:p>
    <w:bookmarkStart w:id="152" w:name="page153"/>
    <w:bookmarkEnd w:id="152"/>
    <w:p>
      <w:pPr>
        <w:spacing w:after="0"/>
        <w:rPr>
          <w:sz w:val="20"/>
          <w:szCs w:val="20"/>
          <w:color w:val="auto"/>
        </w:rPr>
      </w:pPr>
      <w:r>
        <w:rPr>
          <w:rFonts w:ascii="Arial" w:cs="Arial" w:eastAsia="Arial" w:hAnsi="Arial"/>
          <w:sz w:val="20"/>
          <w:szCs w:val="20"/>
          <w:b w:val="1"/>
          <w:bCs w:val="1"/>
          <w:color w:val="auto"/>
        </w:rPr>
        <w:t>4. Property and Equipment, Net</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20"/>
          <w:szCs w:val="20"/>
          <w:color w:val="auto"/>
        </w:rPr>
        <w:t>Property and equipment consisted of the following (in thousands):</w:t>
      </w:r>
    </w:p>
    <w:p>
      <w:pPr>
        <w:spacing w:after="0" w:line="277"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7"/>
          </w:tcPr>
          <w:p>
            <w:pPr>
              <w:jc w:val="right"/>
              <w:ind w:right="660"/>
              <w:spacing w:after="0"/>
              <w:rPr>
                <w:sz w:val="20"/>
                <w:szCs w:val="20"/>
                <w:color w:val="auto"/>
              </w:rPr>
            </w:pPr>
            <w:r>
              <w:rPr>
                <w:rFonts w:ascii="Arial" w:cs="Arial" w:eastAsia="Arial" w:hAnsi="Arial"/>
                <w:sz w:val="16"/>
                <w:szCs w:val="16"/>
                <w:b w:val="1"/>
                <w:bCs w:val="1"/>
                <w:color w:val="auto"/>
              </w:rPr>
              <w:t>December 31,</w:t>
            </w:r>
          </w:p>
        </w:tc>
      </w:tr>
      <w:tr>
        <w:trPr>
          <w:trHeight w:val="173"/>
        </w:trPr>
        <w:tc>
          <w:tcPr>
            <w:tcW w:w="5140" w:type="dxa"/>
            <w:vAlign w:val="bottom"/>
            <w:tcBorders>
              <w:bottom w:val="single" w:sz="8" w:color="E4E4E4"/>
            </w:tcBorders>
          </w:tcPr>
          <w:p>
            <w:pPr>
              <w:spacing w:after="0"/>
              <w:rPr>
                <w:sz w:val="15"/>
                <w:szCs w:val="15"/>
                <w:color w:val="auto"/>
              </w:rPr>
            </w:pPr>
          </w:p>
        </w:tc>
        <w:tc>
          <w:tcPr>
            <w:tcW w:w="4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45"/>
              <w:spacing w:after="0" w:line="173" w:lineRule="exact"/>
              <w:rPr>
                <w:sz w:val="20"/>
                <w:szCs w:val="20"/>
                <w:color w:val="auto"/>
              </w:rPr>
            </w:pPr>
            <w:r>
              <w:rPr>
                <w:rFonts w:ascii="Arial" w:cs="Arial" w:eastAsia="Arial" w:hAnsi="Arial"/>
                <w:sz w:val="16"/>
                <w:szCs w:val="16"/>
                <w:b w:val="1"/>
                <w:bCs w:val="1"/>
                <w:color w:val="auto"/>
              </w:rPr>
              <w:t>2023</w:t>
            </w:r>
          </w:p>
        </w:tc>
        <w:tc>
          <w:tcPr>
            <w:tcW w:w="20" w:type="dxa"/>
            <w:vAlign w:val="bottom"/>
            <w:tcBorders>
              <w:top w:val="single" w:sz="8" w:color="auto"/>
              <w:bottom w:val="single" w:sz="8" w:color="E4E4E4"/>
            </w:tcBorders>
          </w:tcPr>
          <w:p>
            <w:pPr>
              <w:spacing w:after="0"/>
              <w:rPr>
                <w:sz w:val="15"/>
                <w:szCs w:val="15"/>
                <w:color w:val="auto"/>
              </w:rPr>
            </w:pPr>
          </w:p>
        </w:tc>
        <w:tc>
          <w:tcPr>
            <w:tcW w:w="100" w:type="dxa"/>
            <w:vAlign w:val="bottom"/>
            <w:tcBorders>
              <w:top w:val="single" w:sz="8" w:color="auto"/>
              <w:bottom w:val="single" w:sz="8" w:color="E4E4E4"/>
            </w:tcBorders>
          </w:tcPr>
          <w:p>
            <w:pPr>
              <w:spacing w:after="0"/>
              <w:rPr>
                <w:sz w:val="15"/>
                <w:szCs w:val="15"/>
                <w:color w:val="auto"/>
              </w:rPr>
            </w:pPr>
          </w:p>
        </w:tc>
        <w:tc>
          <w:tcPr>
            <w:tcW w:w="20" w:type="dxa"/>
            <w:vAlign w:val="bottom"/>
            <w:tcBorders>
              <w:top w:val="single" w:sz="8" w:color="auto"/>
              <w:bottom w:val="single" w:sz="8" w:color="E4E4E4"/>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43"/>
              <w:spacing w:after="0" w:line="173" w:lineRule="exact"/>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E4E4E4"/>
            </w:tcBorders>
          </w:tcPr>
          <w:p>
            <w:pPr>
              <w:spacing w:after="0"/>
              <w:rPr>
                <w:sz w:val="15"/>
                <w:szCs w:val="15"/>
                <w:color w:val="auto"/>
              </w:rPr>
            </w:pPr>
          </w:p>
        </w:tc>
      </w:tr>
      <w:tr>
        <w:trPr>
          <w:trHeight w:val="220"/>
        </w:trPr>
        <w:tc>
          <w:tcPr>
            <w:tcW w:w="5140" w:type="dxa"/>
            <w:vAlign w:val="bottom"/>
            <w:shd w:val="clear" w:color="auto" w:fill="E4E4E4"/>
          </w:tcPr>
          <w:p>
            <w:pPr>
              <w:spacing w:after="0" w:line="220" w:lineRule="exact"/>
              <w:rPr>
                <w:sz w:val="20"/>
                <w:szCs w:val="20"/>
                <w:color w:val="auto"/>
              </w:rPr>
            </w:pPr>
            <w:r>
              <w:rPr>
                <w:rFonts w:ascii="Arial" w:cs="Arial" w:eastAsia="Arial" w:hAnsi="Arial"/>
                <w:sz w:val="20"/>
                <w:szCs w:val="20"/>
                <w:color w:val="auto"/>
              </w:rPr>
              <w:t>Lab equipment</w:t>
            </w:r>
          </w:p>
        </w:tc>
        <w:tc>
          <w:tcPr>
            <w:tcW w:w="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w w:val="89"/>
                <w:shd w:val="clear" w:color="auto" w:fill="E4E4E4"/>
              </w:rPr>
              <w:t>$</w:t>
            </w:r>
          </w:p>
        </w:tc>
        <w:tc>
          <w:tcPr>
            <w:tcW w:w="92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rPr>
              <w:t>688</w:t>
            </w: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w w:val="71"/>
                <w:shd w:val="clear" w:color="auto" w:fill="E4E4E4"/>
              </w:rPr>
              <w:t>$</w:t>
            </w:r>
          </w:p>
        </w:tc>
        <w:tc>
          <w:tcPr>
            <w:tcW w:w="1000" w:type="dxa"/>
            <w:vAlign w:val="bottom"/>
            <w:gridSpan w:val="2"/>
            <w:shd w:val="clear" w:color="auto" w:fill="E4E4E4"/>
          </w:tcPr>
          <w:p>
            <w:pPr>
              <w:jc w:val="right"/>
              <w:ind w:right="60"/>
              <w:spacing w:after="0" w:line="220" w:lineRule="exact"/>
              <w:rPr>
                <w:sz w:val="20"/>
                <w:szCs w:val="20"/>
                <w:color w:val="auto"/>
              </w:rPr>
            </w:pPr>
            <w:r>
              <w:rPr>
                <w:rFonts w:ascii="Arial" w:cs="Arial" w:eastAsia="Arial" w:hAnsi="Arial"/>
                <w:sz w:val="20"/>
                <w:szCs w:val="20"/>
                <w:color w:val="auto"/>
              </w:rPr>
              <w:t>433</w:t>
            </w:r>
          </w:p>
        </w:tc>
      </w:tr>
      <w:tr>
        <w:trPr>
          <w:trHeight w:val="211"/>
        </w:trPr>
        <w:tc>
          <w:tcPr>
            <w:tcW w:w="5140" w:type="dxa"/>
            <w:vAlign w:val="bottom"/>
          </w:tcPr>
          <w:p>
            <w:pPr>
              <w:spacing w:after="0" w:line="211" w:lineRule="exact"/>
              <w:rPr>
                <w:sz w:val="20"/>
                <w:szCs w:val="20"/>
                <w:color w:val="auto"/>
              </w:rPr>
            </w:pPr>
            <w:r>
              <w:rPr>
                <w:rFonts w:ascii="Arial" w:cs="Arial" w:eastAsia="Arial" w:hAnsi="Arial"/>
                <w:sz w:val="20"/>
                <w:szCs w:val="20"/>
                <w:color w:val="auto"/>
              </w:rPr>
              <w:t>Office furniture, fixtures, and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5200" w:type="dxa"/>
            <w:vAlign w:val="bottom"/>
            <w:gridSpan w:val="3"/>
          </w:tcPr>
          <w:p>
            <w:pPr>
              <w:ind w:left="160"/>
              <w:spacing w:after="0"/>
              <w:rPr>
                <w:sz w:val="20"/>
                <w:szCs w:val="20"/>
                <w:color w:val="auto"/>
              </w:rPr>
            </w:pPr>
            <w:r>
              <w:rPr>
                <w:rFonts w:ascii="Arial" w:cs="Arial" w:eastAsia="Arial" w:hAnsi="Arial"/>
                <w:sz w:val="20"/>
                <w:szCs w:val="20"/>
                <w:color w:val="auto"/>
              </w:rPr>
              <w:t>computer equipment</w:t>
            </w:r>
          </w:p>
        </w:tc>
        <w:tc>
          <w:tcPr>
            <w:tcW w:w="1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20"/>
                <w:szCs w:val="20"/>
                <w:color w:val="auto"/>
              </w:rPr>
              <w:t>712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20"/>
                <w:szCs w:val="20"/>
                <w:color w:val="auto"/>
              </w:rPr>
              <w:t>692</w:t>
            </w:r>
          </w:p>
        </w:tc>
      </w:tr>
      <w:tr>
        <w:trPr>
          <w:trHeight w:val="229"/>
        </w:trPr>
        <w:tc>
          <w:tcPr>
            <w:tcW w:w="5140" w:type="dxa"/>
            <w:vAlign w:val="bottom"/>
            <w:shd w:val="clear" w:color="auto" w:fill="E4E4E4"/>
          </w:tcPr>
          <w:p>
            <w:pPr>
              <w:spacing w:after="0"/>
              <w:rPr>
                <w:sz w:val="20"/>
                <w:szCs w:val="20"/>
                <w:color w:val="auto"/>
              </w:rPr>
            </w:pPr>
            <w:r>
              <w:rPr>
                <w:rFonts w:ascii="Arial" w:cs="Arial" w:eastAsia="Arial" w:hAnsi="Arial"/>
                <w:sz w:val="20"/>
                <w:szCs w:val="20"/>
                <w:color w:val="auto"/>
              </w:rPr>
              <w:t>Leasehold improvement</w:t>
            </w:r>
          </w:p>
        </w:tc>
        <w:tc>
          <w:tcPr>
            <w:tcW w:w="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940" w:type="dxa"/>
            <w:vAlign w:val="bottom"/>
            <w:gridSpan w:val="2"/>
            <w:shd w:val="clear" w:color="auto" w:fill="E4E4E4"/>
          </w:tcPr>
          <w:p>
            <w:pPr>
              <w:jc w:val="right"/>
              <w:ind w:right="20"/>
              <w:spacing w:after="0"/>
              <w:rPr>
                <w:sz w:val="20"/>
                <w:szCs w:val="20"/>
                <w:color w:val="auto"/>
              </w:rPr>
            </w:pPr>
            <w:r>
              <w:rPr>
                <w:rFonts w:ascii="Arial" w:cs="Arial" w:eastAsia="Arial" w:hAnsi="Arial"/>
                <w:sz w:val="20"/>
                <w:szCs w:val="20"/>
                <w:color w:val="auto"/>
              </w:rPr>
              <w:t>4,322</w:t>
            </w: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00" w:type="dxa"/>
            <w:vAlign w:val="bottom"/>
            <w:gridSpan w:val="2"/>
            <w:shd w:val="clear" w:color="auto" w:fill="E4E4E4"/>
          </w:tcPr>
          <w:p>
            <w:pPr>
              <w:jc w:val="right"/>
              <w:ind w:right="60"/>
              <w:spacing w:after="0"/>
              <w:rPr>
                <w:sz w:val="20"/>
                <w:szCs w:val="20"/>
                <w:color w:val="auto"/>
              </w:rPr>
            </w:pPr>
            <w:r>
              <w:rPr>
                <w:rFonts w:ascii="Arial" w:cs="Arial" w:eastAsia="Arial" w:hAnsi="Arial"/>
                <w:sz w:val="20"/>
                <w:szCs w:val="20"/>
                <w:color w:val="auto"/>
              </w:rPr>
              <w:t>4,296</w:t>
            </w:r>
          </w:p>
        </w:tc>
      </w:tr>
      <w:tr>
        <w:trPr>
          <w:trHeight w:val="220"/>
        </w:trPr>
        <w:tc>
          <w:tcPr>
            <w:tcW w:w="5140" w:type="dxa"/>
            <w:vAlign w:val="bottom"/>
          </w:tcPr>
          <w:p>
            <w:pPr>
              <w:spacing w:after="0" w:line="220" w:lineRule="exact"/>
              <w:rPr>
                <w:sz w:val="20"/>
                <w:szCs w:val="20"/>
                <w:color w:val="auto"/>
              </w:rPr>
            </w:pPr>
            <w:r>
              <w:rPr>
                <w:rFonts w:ascii="Arial" w:cs="Arial" w:eastAsia="Arial" w:hAnsi="Arial"/>
                <w:sz w:val="20"/>
                <w:szCs w:val="20"/>
                <w:color w:val="auto"/>
              </w:rPr>
              <w:t>Property and equipment, at cost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rPr>
              <w:t>5,722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rPr>
              <w:t>5,421</w:t>
            </w:r>
          </w:p>
        </w:tc>
        <w:tc>
          <w:tcPr>
            <w:tcW w:w="60" w:type="dxa"/>
            <w:vAlign w:val="bottom"/>
          </w:tcPr>
          <w:p>
            <w:pPr>
              <w:spacing w:after="0"/>
              <w:rPr>
                <w:sz w:val="19"/>
                <w:szCs w:val="19"/>
                <w:color w:val="auto"/>
              </w:rPr>
            </w:pPr>
          </w:p>
        </w:tc>
      </w:tr>
      <w:tr>
        <w:trPr>
          <w:trHeight w:val="250"/>
        </w:trPr>
        <w:tc>
          <w:tcPr>
            <w:tcW w:w="5140" w:type="dxa"/>
            <w:vAlign w:val="bottom"/>
            <w:shd w:val="clear" w:color="auto" w:fill="E4E4E4"/>
          </w:tcPr>
          <w:p>
            <w:pPr>
              <w:spacing w:after="0"/>
              <w:rPr>
                <w:sz w:val="20"/>
                <w:szCs w:val="20"/>
                <w:color w:val="auto"/>
              </w:rPr>
            </w:pPr>
            <w:r>
              <w:rPr>
                <w:rFonts w:ascii="Arial" w:cs="Arial" w:eastAsia="Arial" w:hAnsi="Arial"/>
                <w:sz w:val="20"/>
                <w:szCs w:val="20"/>
                <w:color w:val="auto"/>
              </w:rPr>
              <w:t>Less: accumulated depreciation</w:t>
            </w:r>
          </w:p>
        </w:tc>
        <w:tc>
          <w:tcPr>
            <w:tcW w:w="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040" w:type="dxa"/>
            <w:vAlign w:val="bottom"/>
            <w:gridSpan w:val="3"/>
            <w:shd w:val="clear" w:color="auto" w:fill="E4E4E4"/>
          </w:tcPr>
          <w:p>
            <w:pPr>
              <w:jc w:val="right"/>
              <w:ind w:right="60"/>
              <w:spacing w:after="0"/>
              <w:rPr>
                <w:sz w:val="20"/>
                <w:szCs w:val="20"/>
                <w:color w:val="auto"/>
              </w:rPr>
            </w:pPr>
            <w:r>
              <w:rPr>
                <w:rFonts w:ascii="Arial" w:cs="Arial" w:eastAsia="Arial" w:hAnsi="Arial"/>
                <w:sz w:val="20"/>
                <w:szCs w:val="20"/>
                <w:color w:val="auto"/>
              </w:rPr>
              <w:t>(2,334)</w:t>
            </w: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00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(1,368)</w:t>
            </w:r>
          </w:p>
        </w:tc>
      </w:tr>
      <w:tr>
        <w:trPr>
          <w:trHeight w:val="201"/>
        </w:trPr>
        <w:tc>
          <w:tcPr>
            <w:tcW w:w="5140" w:type="dxa"/>
            <w:vAlign w:val="bottom"/>
            <w:tcBorders>
              <w:top w:val="single" w:sz="8" w:color="E4E4E4"/>
            </w:tcBorders>
          </w:tcPr>
          <w:p>
            <w:pPr>
              <w:ind w:left="280"/>
              <w:spacing w:after="0" w:line="201" w:lineRule="exact"/>
              <w:rPr>
                <w:sz w:val="20"/>
                <w:szCs w:val="20"/>
                <w:color w:val="auto"/>
              </w:rPr>
            </w:pPr>
            <w:r>
              <w:rPr>
                <w:rFonts w:ascii="Arial" w:cs="Arial" w:eastAsia="Arial" w:hAnsi="Arial"/>
                <w:sz w:val="20"/>
                <w:szCs w:val="20"/>
                <w:color w:val="auto"/>
              </w:rPr>
              <w:t>Property and equipment, net</w:t>
            </w:r>
          </w:p>
        </w:tc>
        <w:tc>
          <w:tcPr>
            <w:tcW w:w="40" w:type="dxa"/>
            <w:vAlign w:val="bottom"/>
            <w:tcBorders>
              <w:top w:val="single" w:sz="8" w:color="E4E4E4"/>
            </w:tcBorders>
          </w:tcPr>
          <w:p>
            <w:pPr>
              <w:spacing w:after="0"/>
              <w:rPr>
                <w:sz w:val="17"/>
                <w:szCs w:val="17"/>
                <w:color w:val="auto"/>
              </w:rPr>
            </w:pPr>
          </w:p>
        </w:tc>
        <w:tc>
          <w:tcPr>
            <w:tcW w:w="20" w:type="dxa"/>
            <w:vAlign w:val="bottom"/>
            <w:tcBorders>
              <w:top w:val="single" w:sz="8" w:color="E4E4E4"/>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20"/>
                <w:szCs w:val="20"/>
                <w:color w:val="auto"/>
              </w:rPr>
              <w:t>3,388</w:t>
            </w:r>
          </w:p>
        </w:tc>
        <w:tc>
          <w:tcPr>
            <w:tcW w:w="20" w:type="dxa"/>
            <w:vAlign w:val="bottom"/>
            <w:tcBorders>
              <w:top w:val="single" w:sz="8" w:color="E4E4E4"/>
              <w:bottom w:val="single" w:sz="8" w:color="auto"/>
            </w:tcBorders>
          </w:tcPr>
          <w:p>
            <w:pPr>
              <w:spacing w:after="0"/>
              <w:rPr>
                <w:sz w:val="17"/>
                <w:szCs w:val="17"/>
                <w:color w:val="auto"/>
              </w:rPr>
            </w:pPr>
          </w:p>
        </w:tc>
        <w:tc>
          <w:tcPr>
            <w:tcW w:w="100" w:type="dxa"/>
            <w:vAlign w:val="bottom"/>
            <w:tcBorders>
              <w:top w:val="single" w:sz="8" w:color="E4E4E4"/>
            </w:tcBorders>
          </w:tcPr>
          <w:p>
            <w:pPr>
              <w:spacing w:after="0"/>
              <w:rPr>
                <w:sz w:val="17"/>
                <w:szCs w:val="17"/>
                <w:color w:val="auto"/>
              </w:rPr>
            </w:pPr>
          </w:p>
        </w:tc>
        <w:tc>
          <w:tcPr>
            <w:tcW w:w="20" w:type="dxa"/>
            <w:vAlign w:val="bottom"/>
            <w:tcBorders>
              <w:top w:val="single" w:sz="8" w:color="E4E4E4"/>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20"/>
                <w:szCs w:val="20"/>
                <w:color w:val="auto"/>
              </w:rPr>
              <w:t>4,053</w:t>
            </w:r>
          </w:p>
        </w:tc>
        <w:tc>
          <w:tcPr>
            <w:tcW w:w="60" w:type="dxa"/>
            <w:vAlign w:val="bottom"/>
            <w:tcBorders>
              <w:top w:val="single" w:sz="8" w:color="E4E4E4"/>
            </w:tcBorders>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593725</wp:posOffset>
                </wp:positionH>
                <wp:positionV relativeFrom="paragraph">
                  <wp:posOffset>-177165</wp:posOffset>
                </wp:positionV>
                <wp:extent cx="330644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644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5pt,-13.9499pt" to="307.1pt,-13.94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4559300</wp:posOffset>
                </wp:positionH>
                <wp:positionV relativeFrom="paragraph">
                  <wp:posOffset>-177165</wp:posOffset>
                </wp:positionV>
                <wp:extent cx="8699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99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pt,-13.9499pt" to="365.85pt,-13.94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5305425</wp:posOffset>
                </wp:positionH>
                <wp:positionV relativeFrom="paragraph">
                  <wp:posOffset>-177165</wp:posOffset>
                </wp:positionV>
                <wp:extent cx="4318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18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7.75pt,-13.9499pt" to="421.15pt,-13.9499pt" o:allowincell="f" strokecolor="#FFFFFF" strokeweight="0.4809pt"/>
            </w:pict>
          </mc:Fallback>
        </mc:AlternateContent>
      </w:r>
    </w:p>
    <w:p>
      <w:pPr>
        <w:spacing w:after="0" w:line="231" w:lineRule="exact"/>
        <w:rPr>
          <w:sz w:val="20"/>
          <w:szCs w:val="20"/>
          <w:color w:val="auto"/>
        </w:rPr>
      </w:pPr>
    </w:p>
    <w:p>
      <w:pPr>
        <w:jc w:val="both"/>
        <w:ind w:firstLine="489"/>
        <w:spacing w:after="0" w:line="283" w:lineRule="auto"/>
        <w:rPr>
          <w:sz w:val="20"/>
          <w:szCs w:val="20"/>
          <w:color w:val="auto"/>
        </w:rPr>
      </w:pPr>
      <w:r>
        <w:rPr>
          <w:rFonts w:ascii="Arial" w:cs="Arial" w:eastAsia="Arial" w:hAnsi="Arial"/>
          <w:sz w:val="20"/>
          <w:szCs w:val="20"/>
          <w:color w:val="auto"/>
        </w:rPr>
        <w:t>Depreciation expense was $969,000 and $845,000 for the years ended December 31, 2023 and 2022,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Accrued Liabilities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Accrued liabilities consisted of the following (in thousands):</w:t>
      </w:r>
    </w:p>
    <w:p>
      <w:pPr>
        <w:spacing w:after="0" w:line="277" w:lineRule="exact"/>
        <w:rPr>
          <w:sz w:val="20"/>
          <w:szCs w:val="20"/>
          <w:color w:val="auto"/>
        </w:rPr>
      </w:pPr>
    </w:p>
    <w:tbl>
      <w:tblPr>
        <w:tblLayout w:type="fixed"/>
        <w:tblInd w:w="940" w:type="dxa"/>
        <w:tblCellMar>
          <w:top w:w="0" w:type="dxa"/>
          <w:left w:w="0" w:type="dxa"/>
          <w:bottom w:w="0" w:type="dxa"/>
          <w:right w:w="0" w:type="dxa"/>
        </w:tblCellMar>
      </w:tblPr>
      <w:tr>
        <w:trPr>
          <w:trHeight w:val="202"/>
        </w:trPr>
        <w:tc>
          <w:tcPr>
            <w:tcW w:w="5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7"/>
          </w:tcPr>
          <w:p>
            <w:pPr>
              <w:ind w:left="360"/>
              <w:spacing w:after="0"/>
              <w:rPr>
                <w:sz w:val="20"/>
                <w:szCs w:val="20"/>
                <w:color w:val="auto"/>
              </w:rPr>
            </w:pPr>
            <w:r>
              <w:rPr>
                <w:rFonts w:ascii="Arial" w:cs="Arial" w:eastAsia="Arial" w:hAnsi="Arial"/>
                <w:sz w:val="16"/>
                <w:szCs w:val="16"/>
                <w:b w:val="1"/>
                <w:bCs w:val="1"/>
                <w:color w:val="auto"/>
              </w:rPr>
              <w:t>December 31,</w:t>
            </w:r>
          </w:p>
        </w:tc>
      </w:tr>
      <w:tr>
        <w:trPr>
          <w:trHeight w:val="174"/>
        </w:trPr>
        <w:tc>
          <w:tcPr>
            <w:tcW w:w="5140" w:type="dxa"/>
            <w:vAlign w:val="bottom"/>
            <w:tcBorders>
              <w:bottom w:val="single" w:sz="8" w:color="E4E4E4"/>
            </w:tcBorders>
          </w:tcPr>
          <w:p>
            <w:pPr>
              <w:spacing w:after="0"/>
              <w:rPr>
                <w:sz w:val="15"/>
                <w:szCs w:val="15"/>
                <w:color w:val="auto"/>
              </w:rPr>
            </w:pPr>
          </w:p>
        </w:tc>
        <w:tc>
          <w:tcPr>
            <w:tcW w:w="4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47"/>
              <w:spacing w:after="0" w:line="175" w:lineRule="exact"/>
              <w:rPr>
                <w:sz w:val="20"/>
                <w:szCs w:val="20"/>
                <w:color w:val="auto"/>
              </w:rPr>
            </w:pPr>
            <w:r>
              <w:rPr>
                <w:rFonts w:ascii="Arial" w:cs="Arial" w:eastAsia="Arial" w:hAnsi="Arial"/>
                <w:sz w:val="16"/>
                <w:szCs w:val="16"/>
                <w:b w:val="1"/>
                <w:bCs w:val="1"/>
                <w:color w:val="auto"/>
              </w:rPr>
              <w:t>2023</w:t>
            </w:r>
          </w:p>
        </w:tc>
        <w:tc>
          <w:tcPr>
            <w:tcW w:w="20" w:type="dxa"/>
            <w:vAlign w:val="bottom"/>
            <w:tcBorders>
              <w:top w:val="single" w:sz="8" w:color="auto"/>
              <w:bottom w:val="single" w:sz="8" w:color="E4E4E4"/>
            </w:tcBorders>
          </w:tcPr>
          <w:p>
            <w:pPr>
              <w:spacing w:after="0"/>
              <w:rPr>
                <w:sz w:val="15"/>
                <w:szCs w:val="15"/>
                <w:color w:val="auto"/>
              </w:rPr>
            </w:pPr>
          </w:p>
        </w:tc>
        <w:tc>
          <w:tcPr>
            <w:tcW w:w="100" w:type="dxa"/>
            <w:vAlign w:val="bottom"/>
            <w:tcBorders>
              <w:top w:val="single" w:sz="8" w:color="auto"/>
              <w:bottom w:val="single" w:sz="8" w:color="E4E4E4"/>
            </w:tcBorders>
          </w:tcPr>
          <w:p>
            <w:pPr>
              <w:spacing w:after="0"/>
              <w:rPr>
                <w:sz w:val="15"/>
                <w:szCs w:val="15"/>
                <w:color w:val="auto"/>
              </w:rPr>
            </w:pPr>
          </w:p>
        </w:tc>
        <w:tc>
          <w:tcPr>
            <w:tcW w:w="20" w:type="dxa"/>
            <w:vAlign w:val="bottom"/>
            <w:tcBorders>
              <w:top w:val="single" w:sz="8" w:color="auto"/>
              <w:bottom w:val="single" w:sz="8" w:color="E4E4E4"/>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44"/>
              <w:spacing w:after="0" w:line="175" w:lineRule="exact"/>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E4E4E4"/>
            </w:tcBorders>
          </w:tcPr>
          <w:p>
            <w:pPr>
              <w:spacing w:after="0"/>
              <w:rPr>
                <w:sz w:val="15"/>
                <w:szCs w:val="15"/>
                <w:color w:val="auto"/>
              </w:rPr>
            </w:pPr>
          </w:p>
        </w:tc>
      </w:tr>
      <w:tr>
        <w:trPr>
          <w:trHeight w:val="220"/>
        </w:trPr>
        <w:tc>
          <w:tcPr>
            <w:tcW w:w="5140" w:type="dxa"/>
            <w:vAlign w:val="bottom"/>
            <w:shd w:val="clear" w:color="auto" w:fill="E4E4E4"/>
          </w:tcPr>
          <w:p>
            <w:pPr>
              <w:spacing w:after="0" w:line="220" w:lineRule="exact"/>
              <w:rPr>
                <w:sz w:val="20"/>
                <w:szCs w:val="20"/>
                <w:color w:val="auto"/>
              </w:rPr>
            </w:pPr>
            <w:r>
              <w:rPr>
                <w:rFonts w:ascii="Arial" w:cs="Arial" w:eastAsia="Arial" w:hAnsi="Arial"/>
                <w:sz w:val="20"/>
                <w:szCs w:val="20"/>
                <w:color w:val="auto"/>
              </w:rPr>
              <w:t>Research and development expenses</w:t>
            </w:r>
          </w:p>
        </w:tc>
        <w:tc>
          <w:tcPr>
            <w:tcW w:w="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2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w w:val="89"/>
              </w:rPr>
              <w:t>$</w:t>
            </w:r>
          </w:p>
        </w:tc>
        <w:tc>
          <w:tcPr>
            <w:tcW w:w="840" w:type="dxa"/>
            <w:vAlign w:val="bottom"/>
            <w:gridSpan w:val="2"/>
            <w:shd w:val="clear" w:color="auto" w:fill="E4E4E4"/>
          </w:tcPr>
          <w:p>
            <w:pPr>
              <w:jc w:val="right"/>
              <w:ind w:right="20"/>
              <w:spacing w:after="0" w:line="220" w:lineRule="exact"/>
              <w:rPr>
                <w:sz w:val="20"/>
                <w:szCs w:val="20"/>
                <w:color w:val="auto"/>
              </w:rPr>
            </w:pPr>
            <w:r>
              <w:rPr>
                <w:rFonts w:ascii="Arial" w:cs="Arial" w:eastAsia="Arial" w:hAnsi="Arial"/>
                <w:sz w:val="20"/>
                <w:szCs w:val="20"/>
                <w:color w:val="auto"/>
              </w:rPr>
              <w:t>11,916</w:t>
            </w: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20" w:type="dxa"/>
            <w:vAlign w:val="bottom"/>
            <w:shd w:val="clear" w:color="auto" w:fill="E4E4E4"/>
          </w:tcPr>
          <w:p>
            <w:pPr>
              <w:jc w:val="right"/>
              <w:ind w:right="20"/>
              <w:spacing w:after="0" w:line="220" w:lineRule="exact"/>
              <w:rPr>
                <w:sz w:val="20"/>
                <w:szCs w:val="20"/>
                <w:color w:val="auto"/>
              </w:rPr>
            </w:pPr>
            <w:r>
              <w:rPr>
                <w:rFonts w:ascii="Arial" w:cs="Arial" w:eastAsia="Arial" w:hAnsi="Arial"/>
                <w:sz w:val="20"/>
                <w:szCs w:val="20"/>
                <w:color w:val="auto"/>
                <w:w w:val="71"/>
              </w:rPr>
              <w:t>$</w:t>
            </w:r>
          </w:p>
        </w:tc>
        <w:tc>
          <w:tcPr>
            <w:tcW w:w="880" w:type="dxa"/>
            <w:vAlign w:val="bottom"/>
            <w:gridSpan w:val="2"/>
            <w:shd w:val="clear" w:color="auto" w:fill="E4E4E4"/>
          </w:tcPr>
          <w:p>
            <w:pPr>
              <w:jc w:val="right"/>
              <w:ind w:right="60"/>
              <w:spacing w:after="0" w:line="220" w:lineRule="exact"/>
              <w:rPr>
                <w:sz w:val="20"/>
                <w:szCs w:val="20"/>
                <w:color w:val="auto"/>
              </w:rPr>
            </w:pPr>
            <w:r>
              <w:rPr>
                <w:rFonts w:ascii="Arial" w:cs="Arial" w:eastAsia="Arial" w:hAnsi="Arial"/>
                <w:sz w:val="20"/>
                <w:szCs w:val="20"/>
                <w:color w:val="auto"/>
              </w:rPr>
              <w:t>3,843</w:t>
            </w:r>
          </w:p>
        </w:tc>
      </w:tr>
      <w:tr>
        <w:trPr>
          <w:trHeight w:val="229"/>
        </w:trPr>
        <w:tc>
          <w:tcPr>
            <w:tcW w:w="5140" w:type="dxa"/>
            <w:vAlign w:val="bottom"/>
          </w:tcPr>
          <w:p>
            <w:pPr>
              <w:spacing w:after="0"/>
              <w:rPr>
                <w:sz w:val="20"/>
                <w:szCs w:val="20"/>
                <w:color w:val="auto"/>
              </w:rPr>
            </w:pPr>
            <w:r>
              <w:rPr>
                <w:rFonts w:ascii="Arial" w:cs="Arial" w:eastAsia="Arial" w:hAnsi="Arial"/>
                <w:sz w:val="20"/>
                <w:szCs w:val="20"/>
                <w:color w:val="auto"/>
              </w:rPr>
              <w:t>Employee compensation and benefits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4,545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20"/>
                <w:szCs w:val="20"/>
                <w:color w:val="auto"/>
              </w:rPr>
              <w:t>3,415</w:t>
            </w:r>
          </w:p>
        </w:tc>
      </w:tr>
      <w:tr>
        <w:trPr>
          <w:trHeight w:val="250"/>
        </w:trPr>
        <w:tc>
          <w:tcPr>
            <w:tcW w:w="5140" w:type="dxa"/>
            <w:vAlign w:val="bottom"/>
            <w:shd w:val="clear" w:color="auto" w:fill="E4E4E4"/>
          </w:tcPr>
          <w:p>
            <w:pPr>
              <w:spacing w:after="0"/>
              <w:rPr>
                <w:sz w:val="20"/>
                <w:szCs w:val="20"/>
                <w:color w:val="auto"/>
              </w:rPr>
            </w:pPr>
            <w:r>
              <w:rPr>
                <w:rFonts w:ascii="Arial" w:cs="Arial" w:eastAsia="Arial" w:hAnsi="Arial"/>
                <w:sz w:val="20"/>
                <w:szCs w:val="20"/>
                <w:color w:val="auto"/>
              </w:rPr>
              <w:t>Professional services and other</w:t>
            </w:r>
          </w:p>
        </w:tc>
        <w:tc>
          <w:tcPr>
            <w:tcW w:w="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220" w:type="dxa"/>
            <w:vAlign w:val="bottom"/>
            <w:shd w:val="clear" w:color="auto" w:fill="E4E4E4"/>
          </w:tcPr>
          <w:p>
            <w:pPr>
              <w:spacing w:after="0"/>
              <w:rPr>
                <w:sz w:val="21"/>
                <w:szCs w:val="21"/>
                <w:color w:val="auto"/>
              </w:rPr>
            </w:pPr>
          </w:p>
        </w:tc>
        <w:tc>
          <w:tcPr>
            <w:tcW w:w="840" w:type="dxa"/>
            <w:vAlign w:val="bottom"/>
            <w:gridSpan w:val="2"/>
            <w:shd w:val="clear" w:color="auto" w:fill="E4E4E4"/>
          </w:tcPr>
          <w:p>
            <w:pPr>
              <w:jc w:val="right"/>
              <w:ind w:right="20"/>
              <w:spacing w:after="0"/>
              <w:rPr>
                <w:sz w:val="20"/>
                <w:szCs w:val="20"/>
                <w:color w:val="auto"/>
              </w:rPr>
            </w:pPr>
            <w:r>
              <w:rPr>
                <w:rFonts w:ascii="Arial" w:cs="Arial" w:eastAsia="Arial" w:hAnsi="Arial"/>
                <w:sz w:val="20"/>
                <w:szCs w:val="20"/>
                <w:color w:val="auto"/>
              </w:rPr>
              <w:t>1,882</w:t>
            </w: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220" w:type="dxa"/>
            <w:vAlign w:val="bottom"/>
            <w:shd w:val="clear" w:color="auto" w:fill="E4E4E4"/>
          </w:tcPr>
          <w:p>
            <w:pPr>
              <w:spacing w:after="0"/>
              <w:rPr>
                <w:sz w:val="21"/>
                <w:szCs w:val="21"/>
                <w:color w:val="auto"/>
              </w:rPr>
            </w:pPr>
          </w:p>
        </w:tc>
        <w:tc>
          <w:tcPr>
            <w:tcW w:w="880" w:type="dxa"/>
            <w:vAlign w:val="bottom"/>
            <w:gridSpan w:val="2"/>
            <w:shd w:val="clear" w:color="auto" w:fill="E4E4E4"/>
          </w:tcPr>
          <w:p>
            <w:pPr>
              <w:jc w:val="right"/>
              <w:ind w:right="60"/>
              <w:spacing w:after="0"/>
              <w:rPr>
                <w:sz w:val="20"/>
                <w:szCs w:val="20"/>
                <w:color w:val="auto"/>
              </w:rPr>
            </w:pPr>
            <w:r>
              <w:rPr>
                <w:rFonts w:ascii="Arial" w:cs="Arial" w:eastAsia="Arial" w:hAnsi="Arial"/>
                <w:sz w:val="20"/>
                <w:szCs w:val="20"/>
                <w:color w:val="auto"/>
              </w:rPr>
              <w:t>1,346</w:t>
            </w:r>
          </w:p>
        </w:tc>
      </w:tr>
      <w:tr>
        <w:trPr>
          <w:trHeight w:val="202"/>
        </w:trPr>
        <w:tc>
          <w:tcPr>
            <w:tcW w:w="5140" w:type="dxa"/>
            <w:vAlign w:val="bottom"/>
            <w:tcBorders>
              <w:top w:val="single" w:sz="8" w:color="E4E4E4"/>
            </w:tcBorders>
          </w:tcPr>
          <w:p>
            <w:pPr>
              <w:ind w:left="280"/>
              <w:spacing w:after="0" w:line="203" w:lineRule="exact"/>
              <w:rPr>
                <w:sz w:val="20"/>
                <w:szCs w:val="20"/>
                <w:color w:val="auto"/>
              </w:rPr>
            </w:pPr>
            <w:r>
              <w:rPr>
                <w:rFonts w:ascii="Arial" w:cs="Arial" w:eastAsia="Arial" w:hAnsi="Arial"/>
                <w:sz w:val="20"/>
                <w:szCs w:val="20"/>
                <w:color w:val="auto"/>
              </w:rPr>
              <w:t>Total accrued liabilities</w:t>
            </w:r>
          </w:p>
        </w:tc>
        <w:tc>
          <w:tcPr>
            <w:tcW w:w="40" w:type="dxa"/>
            <w:vAlign w:val="bottom"/>
            <w:tcBorders>
              <w:top w:val="single" w:sz="8" w:color="E4E4E4"/>
            </w:tcBorders>
          </w:tcPr>
          <w:p>
            <w:pPr>
              <w:spacing w:after="0"/>
              <w:rPr>
                <w:sz w:val="17"/>
                <w:szCs w:val="17"/>
                <w:color w:val="auto"/>
              </w:rPr>
            </w:pPr>
          </w:p>
        </w:tc>
        <w:tc>
          <w:tcPr>
            <w:tcW w:w="20" w:type="dxa"/>
            <w:vAlign w:val="bottom"/>
            <w:tcBorders>
              <w:top w:val="single" w:sz="8" w:color="E4E4E4"/>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20"/>
                <w:szCs w:val="20"/>
                <w:color w:val="auto"/>
                <w:w w:val="8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18,343</w:t>
            </w:r>
          </w:p>
        </w:tc>
        <w:tc>
          <w:tcPr>
            <w:tcW w:w="20" w:type="dxa"/>
            <w:vAlign w:val="bottom"/>
            <w:tcBorders>
              <w:top w:val="single" w:sz="8" w:color="E4E4E4"/>
              <w:bottom w:val="single" w:sz="8" w:color="auto"/>
            </w:tcBorders>
          </w:tcPr>
          <w:p>
            <w:pPr>
              <w:spacing w:after="0"/>
              <w:rPr>
                <w:sz w:val="17"/>
                <w:szCs w:val="17"/>
                <w:color w:val="auto"/>
              </w:rPr>
            </w:pPr>
          </w:p>
        </w:tc>
        <w:tc>
          <w:tcPr>
            <w:tcW w:w="100" w:type="dxa"/>
            <w:vAlign w:val="bottom"/>
            <w:tcBorders>
              <w:top w:val="single" w:sz="8" w:color="E4E4E4"/>
            </w:tcBorders>
          </w:tcPr>
          <w:p>
            <w:pPr>
              <w:spacing w:after="0"/>
              <w:rPr>
                <w:sz w:val="17"/>
                <w:szCs w:val="17"/>
                <w:color w:val="auto"/>
              </w:rPr>
            </w:pPr>
          </w:p>
        </w:tc>
        <w:tc>
          <w:tcPr>
            <w:tcW w:w="20" w:type="dxa"/>
            <w:vAlign w:val="bottom"/>
            <w:tcBorders>
              <w:top w:val="single" w:sz="8" w:color="E4E4E4"/>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20"/>
              <w:spacing w:after="0" w:line="203" w:lineRule="exact"/>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8,604</w:t>
            </w:r>
          </w:p>
        </w:tc>
        <w:tc>
          <w:tcPr>
            <w:tcW w:w="60" w:type="dxa"/>
            <w:vAlign w:val="bottom"/>
            <w:tcBorders>
              <w:top w:val="single" w:sz="8" w:color="E4E4E4"/>
            </w:tcBorders>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593725</wp:posOffset>
                </wp:positionH>
                <wp:positionV relativeFrom="paragraph">
                  <wp:posOffset>-177800</wp:posOffset>
                </wp:positionV>
                <wp:extent cx="330644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644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5pt,-14pt" to="307.1pt,-14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4559300</wp:posOffset>
                </wp:positionH>
                <wp:positionV relativeFrom="paragraph">
                  <wp:posOffset>-177800</wp:posOffset>
                </wp:positionV>
                <wp:extent cx="8699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99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pt,-14pt" to="365.85pt,-14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5305425</wp:posOffset>
                </wp:positionH>
                <wp:positionV relativeFrom="paragraph">
                  <wp:posOffset>-177800</wp:posOffset>
                </wp:positionV>
                <wp:extent cx="4318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18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7.75pt,-14pt" to="421.15pt,-14pt" o:allowincell="f" strokecolor="#FFFFFF" strokeweight="0.4809pt"/>
            </w:pict>
          </mc:Fallback>
        </mc:AlternateConten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Significant Agreements</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WSU License Agreement</w:t>
      </w:r>
    </w:p>
    <w:p>
      <w:pPr>
        <w:spacing w:after="0" w:line="116" w:lineRule="exact"/>
        <w:rPr>
          <w:sz w:val="20"/>
          <w:szCs w:val="20"/>
          <w:color w:val="auto"/>
        </w:rPr>
      </w:pPr>
    </w:p>
    <w:p>
      <w:pPr>
        <w:jc w:val="both"/>
        <w:ind w:firstLine="489"/>
        <w:spacing w:after="0" w:line="254" w:lineRule="auto"/>
        <w:rPr>
          <w:sz w:val="20"/>
          <w:szCs w:val="20"/>
          <w:color w:val="auto"/>
        </w:rPr>
      </w:pPr>
      <w:r>
        <w:rPr>
          <w:rFonts w:ascii="Arial" w:cs="Arial" w:eastAsia="Arial" w:hAnsi="Arial"/>
          <w:sz w:val="20"/>
          <w:szCs w:val="20"/>
          <w:color w:val="auto"/>
        </w:rPr>
        <w:t>The Company is party to an amended and restated exclusive license agreement with sublicensing terms with WSU that the Company entered into in 2015. Under this agreement, the Company has an exclusive license to make, use, sell, and offer for sale products covered by certain licensed patents, including dihexa, the chemical compound into which fosgonimeton metabolizes following administration.</w:t>
      </w:r>
    </w:p>
    <w:p>
      <w:pPr>
        <w:spacing w:after="0" w:line="186" w:lineRule="exact"/>
        <w:rPr>
          <w:sz w:val="20"/>
          <w:szCs w:val="20"/>
          <w:color w:val="auto"/>
        </w:rPr>
      </w:pPr>
    </w:p>
    <w:p>
      <w:pPr>
        <w:jc w:val="both"/>
        <w:ind w:firstLine="489"/>
        <w:spacing w:after="0" w:line="261" w:lineRule="auto"/>
        <w:rPr>
          <w:sz w:val="20"/>
          <w:szCs w:val="20"/>
          <w:color w:val="auto"/>
        </w:rPr>
      </w:pPr>
      <w:r>
        <w:rPr>
          <w:rFonts w:ascii="Arial" w:cs="Arial" w:eastAsia="Arial" w:hAnsi="Arial"/>
          <w:sz w:val="20"/>
          <w:szCs w:val="20"/>
          <w:color w:val="auto"/>
        </w:rPr>
        <w:t>To keep in good standing, the agreement requires the Company to meet certain development milestones and pay annual maintenance fees. All contractual requirements have been met as of December 31, 2023.</w:t>
      </w:r>
    </w:p>
    <w:p>
      <w:pPr>
        <w:spacing w:after="0" w:line="180" w:lineRule="exact"/>
        <w:rPr>
          <w:sz w:val="20"/>
          <w:szCs w:val="20"/>
          <w:color w:val="auto"/>
        </w:rPr>
      </w:pPr>
    </w:p>
    <w:p>
      <w:pPr>
        <w:jc w:val="both"/>
        <w:ind w:firstLine="489"/>
        <w:spacing w:after="0" w:line="283" w:lineRule="auto"/>
        <w:rPr>
          <w:sz w:val="20"/>
          <w:szCs w:val="20"/>
          <w:color w:val="auto"/>
        </w:rPr>
      </w:pPr>
      <w:r>
        <w:rPr>
          <w:rFonts w:ascii="Arial" w:cs="Arial" w:eastAsia="Arial" w:hAnsi="Arial"/>
          <w:sz w:val="20"/>
          <w:szCs w:val="20"/>
          <w:color w:val="auto"/>
        </w:rPr>
        <w:t>During the year ended December 31, 2020, the Phase 2 clinical trial milestone had been reached and a payment of $50,000 to WSU was recorded.</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The Company may also be obligated to pay the following if the related milestones are reached:</w:t>
      </w:r>
    </w:p>
    <w:p>
      <w:pPr>
        <w:spacing w:after="0" w:line="134" w:lineRule="exact"/>
        <w:rPr>
          <w:sz w:val="20"/>
          <w:szCs w:val="20"/>
          <w:color w:val="auto"/>
        </w:rPr>
      </w:pPr>
    </w:p>
    <w:p>
      <w:pPr>
        <w:ind w:left="980" w:hanging="491"/>
        <w:spacing w:after="0" w:line="283" w:lineRule="auto"/>
        <w:tabs>
          <w:tab w:leader="none" w:pos="9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$300,000 – At initiation of the first Phase 3 clinical trial in the United States, European Union or Japan for the first licensed product; and</w:t>
      </w:r>
    </w:p>
    <w:p>
      <w:pPr>
        <w:spacing w:after="0" w:line="51"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$600,000 – Upon receipt of marketing approval in the United States, European Union or Japan for the first licensed product.</w:t>
      </w:r>
    </w:p>
    <w:p>
      <w:pPr>
        <w:spacing w:after="0" w:line="159" w:lineRule="exact"/>
        <w:rPr>
          <w:sz w:val="20"/>
          <w:szCs w:val="20"/>
          <w:color w:val="auto"/>
        </w:rPr>
      </w:pPr>
    </w:p>
    <w:p>
      <w:pPr>
        <w:jc w:val="both"/>
        <w:ind w:firstLine="489"/>
        <w:spacing w:after="0" w:line="250" w:lineRule="auto"/>
        <w:rPr>
          <w:sz w:val="20"/>
          <w:szCs w:val="20"/>
          <w:color w:val="auto"/>
        </w:rPr>
      </w:pPr>
      <w:r>
        <w:rPr>
          <w:rFonts w:ascii="Arial" w:cs="Arial" w:eastAsia="Arial" w:hAnsi="Arial"/>
          <w:sz w:val="20"/>
          <w:szCs w:val="20"/>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December 31, 2023, no sales of any licensed products had occurred and the Company had not incurred a royalty obligation under this agreement.</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147</w:t>
      </w:r>
    </w:p>
    <w:p>
      <w:pPr>
        <w:sectPr>
          <w:pgSz w:w="11880" w:h="15474" w:orient="portrait"/>
          <w:cols w:equalWidth="0" w:num="1">
            <w:col w:w="9360"/>
          </w:cols>
          <w:pgMar w:left="1240" w:top="1251" w:right="1274" w:bottom="0" w:gutter="0" w:footer="0" w:header="0"/>
          <w:type w:val="continuous"/>
        </w:sectPr>
      </w:pPr>
    </w:p>
    <w:bookmarkStart w:id="153" w:name="page154"/>
    <w:bookmarkEnd w:id="153"/>
    <w:p>
      <w:pPr>
        <w:jc w:val="both"/>
        <w:ind w:firstLine="490"/>
        <w:spacing w:after="0" w:line="248" w:lineRule="auto"/>
        <w:rPr>
          <w:sz w:val="20"/>
          <w:szCs w:val="20"/>
          <w:color w:val="auto"/>
        </w:rPr>
      </w:pPr>
      <w:r>
        <w:rPr>
          <w:rFonts w:ascii="Arial" w:cs="Arial" w:eastAsia="Arial" w:hAnsi="Arial"/>
          <w:sz w:val="20"/>
          <w:szCs w:val="20"/>
          <w:color w:val="auto"/>
        </w:rPr>
        <w:t>Additionally, the agreement allows the Company to sublicense the rights conveyed by the agreement, subject to additional payments to WSU based upon the sublicense consideration received in such event. Such amounts are dependent on the terms of the underlying sublicense and range from the mid-single digits to mid-teens of any non-sales based payments received, and low twenties of net sales based sublicense royalties. As of December 31, 2023, the Company has not entered into or incurred any liability from a sublicense agreement.</w:t>
      </w:r>
    </w:p>
    <w:p>
      <w:pPr>
        <w:spacing w:after="0" w:line="310" w:lineRule="exact"/>
        <w:rPr>
          <w:sz w:val="20"/>
          <w:szCs w:val="20"/>
          <w:color w:val="auto"/>
        </w:rPr>
      </w:pPr>
    </w:p>
    <w:p>
      <w:pPr>
        <w:ind w:left="480" w:right="5960" w:hanging="480"/>
        <w:spacing w:after="0" w:line="386" w:lineRule="auto"/>
        <w:tabs>
          <w:tab w:leader="none" w:pos="223"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Commitments and Contingencies </w:t>
      </w:r>
      <w:r>
        <w:rPr>
          <w:rFonts w:ascii="Arial" w:cs="Arial" w:eastAsia="Arial" w:hAnsi="Arial"/>
          <w:sz w:val="19"/>
          <w:szCs w:val="19"/>
          <w:b w:val="1"/>
          <w:bCs w:val="1"/>
          <w:i w:val="1"/>
          <w:iCs w:val="1"/>
          <w:color w:val="auto"/>
        </w:rPr>
        <w:t>Legal Proceedings</w:t>
      </w:r>
    </w:p>
    <w:p>
      <w:pPr>
        <w:spacing w:after="0" w:line="1"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From time to time, the Company is subject to various legal proceedings or claims that arise in the ordinary course of business. The Company accrues a liability when the Company's management believes that it is both probable that a liability has been incurred and the amount of loss can be reasonably estimated. The following is a brief description of the more significant legal proceedings.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Securities Class Actions</w:t>
      </w:r>
    </w:p>
    <w:p>
      <w:pPr>
        <w:spacing w:after="0" w:line="123" w:lineRule="exact"/>
        <w:rPr>
          <w:sz w:val="20"/>
          <w:szCs w:val="20"/>
          <w:color w:val="auto"/>
        </w:rPr>
      </w:pPr>
    </w:p>
    <w:p>
      <w:pPr>
        <w:jc w:val="both"/>
        <w:ind w:firstLine="490"/>
        <w:spacing w:after="0" w:line="258" w:lineRule="auto"/>
        <w:rPr>
          <w:sz w:val="20"/>
          <w:szCs w:val="20"/>
          <w:color w:val="auto"/>
        </w:rPr>
      </w:pPr>
      <w:r>
        <w:rPr>
          <w:rFonts w:ascii="Arial" w:cs="Arial" w:eastAsia="Arial" w:hAnsi="Arial"/>
          <w:sz w:val="19"/>
          <w:szCs w:val="19"/>
          <w:color w:val="auto"/>
        </w:rPr>
        <w:t xml:space="preserve">On June 25, 2021, plaintiffs Fan Wang and Hang Gao filed a putative securities class action lawsuit in the U.S. District Court for the Western District of Washington against the Company and the Company’s former chief executive officer Dr. Leen Kawas, captioned </w:t>
      </w:r>
      <w:r>
        <w:rPr>
          <w:rFonts w:ascii="Arial" w:cs="Arial" w:eastAsia="Arial" w:hAnsi="Arial"/>
          <w:sz w:val="19"/>
          <w:szCs w:val="19"/>
          <w:i w:val="1"/>
          <w:iCs w:val="1"/>
          <w:color w:val="auto"/>
        </w:rPr>
        <w:t>Wang v. Athira Pharma, Inc., et al.</w:t>
      </w:r>
      <w:r>
        <w:rPr>
          <w:rFonts w:ascii="Arial" w:cs="Arial" w:eastAsia="Arial" w:hAnsi="Arial"/>
          <w:sz w:val="19"/>
          <w:szCs w:val="19"/>
          <w:color w:val="auto"/>
        </w:rPr>
        <w:t xml:space="preserve">, No. 2:21-cv-00861. Plaintiffs Wang and Gao assert claims under Sections 10(b) and 20(a) of the Securities Exchange Act of 1934 ("Exchange Act") and SEC Rule 10b-5, alleging that the defendants made materially false and misleading statements and omitted material adverse facts regarding the Company’s business. Specifically, the </w:t>
      </w:r>
      <w:r>
        <w:rPr>
          <w:rFonts w:ascii="Arial" w:cs="Arial" w:eastAsia="Arial" w:hAnsi="Arial"/>
          <w:sz w:val="19"/>
          <w:szCs w:val="19"/>
          <w:i w:val="1"/>
          <w:iCs w:val="1"/>
          <w:color w:val="auto"/>
        </w:rPr>
        <w:t>Wang</w:t>
      </w:r>
      <w:r>
        <w:rPr>
          <w:rFonts w:ascii="Arial" w:cs="Arial" w:eastAsia="Arial" w:hAnsi="Arial"/>
          <w:sz w:val="19"/>
          <w:szCs w:val="19"/>
          <w:color w:val="auto"/>
        </w:rPr>
        <w:t xml:space="preserve"> plaintiffs allege that the Company failed to disclose to investors that certain research conducted by Dr. Kawas was allegedly tainted by scientific misconduct during her doctoral work at WSU, including the manipulation of data, and that as a result, the defendants’ positive statements about the Company’s business, operations, and prospects were materially misleading. The </w:t>
      </w:r>
      <w:r>
        <w:rPr>
          <w:rFonts w:ascii="Arial" w:cs="Arial" w:eastAsia="Arial" w:hAnsi="Arial"/>
          <w:sz w:val="19"/>
          <w:szCs w:val="19"/>
          <w:i w:val="1"/>
          <w:iCs w:val="1"/>
          <w:color w:val="auto"/>
        </w:rPr>
        <w:t>Wang</w:t>
      </w:r>
      <w:r>
        <w:rPr>
          <w:rFonts w:ascii="Arial" w:cs="Arial" w:eastAsia="Arial" w:hAnsi="Arial"/>
          <w:sz w:val="19"/>
          <w:szCs w:val="19"/>
          <w:color w:val="auto"/>
        </w:rPr>
        <w:t xml:space="preserve"> plaintiffs seek unspecified compensatory and punitive damages, and reasonable costs and expenses, including attorneys’ fees.</w:t>
      </w:r>
    </w:p>
    <w:p>
      <w:pPr>
        <w:spacing w:after="0" w:line="188"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 xml:space="preserve">That same day, on June 25, 2021, plaintiff Harshdeep Jawandha filed a putative securities class action lawsuit in the U.S. District Court for the Western District of Washington against the Company, Dr. Kawas, the Company’s then chief financial officer, certain members of the Company’s board of directors at the time of the Company’s initial public offering ("IPO"), as well as the IPO underwriters, captioned </w:t>
      </w:r>
      <w:r>
        <w:rPr>
          <w:rFonts w:ascii="Arial" w:cs="Arial" w:eastAsia="Arial" w:hAnsi="Arial"/>
          <w:sz w:val="20"/>
          <w:szCs w:val="20"/>
          <w:i w:val="1"/>
          <w:iCs w:val="1"/>
          <w:color w:val="auto"/>
        </w:rPr>
        <w:t>Jawandha v.</w:t>
      </w:r>
      <w:r>
        <w:rPr>
          <w:rFonts w:ascii="Arial" w:cs="Arial" w:eastAsia="Arial" w:hAnsi="Arial"/>
          <w:sz w:val="20"/>
          <w:szCs w:val="20"/>
          <w:color w:val="auto"/>
        </w:rPr>
        <w:t xml:space="preserve"> </w:t>
      </w:r>
      <w:r>
        <w:rPr>
          <w:rFonts w:ascii="Arial" w:cs="Arial" w:eastAsia="Arial" w:hAnsi="Arial"/>
          <w:sz w:val="20"/>
          <w:szCs w:val="20"/>
          <w:i w:val="1"/>
          <w:iCs w:val="1"/>
          <w:color w:val="auto"/>
        </w:rPr>
        <w:t>Athira Pharma, Inc., et al.</w:t>
      </w:r>
      <w:r>
        <w:rPr>
          <w:rFonts w:ascii="Arial" w:cs="Arial" w:eastAsia="Arial" w:hAnsi="Arial"/>
          <w:sz w:val="20"/>
          <w:szCs w:val="20"/>
          <w:color w:val="auto"/>
        </w:rPr>
        <w:t>, No. 2:21-cv-00862. The</w:t>
      </w:r>
      <w:r>
        <w:rPr>
          <w:rFonts w:ascii="Arial" w:cs="Arial" w:eastAsia="Arial" w:hAnsi="Arial"/>
          <w:sz w:val="20"/>
          <w:szCs w:val="20"/>
          <w:i w:val="1"/>
          <w:iCs w:val="1"/>
          <w:color w:val="auto"/>
        </w:rPr>
        <w:t xml:space="preserve"> Jawandha </w:t>
      </w:r>
      <w:r>
        <w:rPr>
          <w:rFonts w:ascii="Arial" w:cs="Arial" w:eastAsia="Arial" w:hAnsi="Arial"/>
          <w:sz w:val="20"/>
          <w:szCs w:val="20"/>
          <w:color w:val="auto"/>
        </w:rPr>
        <w:t>complaint asserts violations of Sections 11</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and 15 of the Securities Act of 1933 ("Securities Act"), alleging that that the Company’s IPO registration statement was materially false and misleading because it omitted to state that certain of Dr. Kawas’s published doctoral research papers at WSU contained allegedly improperly altered images, that the research was allegedly foundational to the Company’s efforts to develop treatments for Alzheimer’s disease, and that the defendants’ positive statements about the Company’s business, operations, and prospects were materially misleading. The </w:t>
      </w:r>
      <w:r>
        <w:rPr>
          <w:rFonts w:ascii="Arial" w:cs="Arial" w:eastAsia="Arial" w:hAnsi="Arial"/>
          <w:sz w:val="20"/>
          <w:szCs w:val="20"/>
          <w:i w:val="1"/>
          <w:iCs w:val="1"/>
          <w:color w:val="auto"/>
        </w:rPr>
        <w:t>Jawandha</w:t>
      </w:r>
      <w:r>
        <w:rPr>
          <w:rFonts w:ascii="Arial" w:cs="Arial" w:eastAsia="Arial" w:hAnsi="Arial"/>
          <w:sz w:val="20"/>
          <w:szCs w:val="20"/>
          <w:color w:val="auto"/>
        </w:rPr>
        <w:t xml:space="preserve"> plaintiff seeks unspecified compensatory damages, and reasonable costs and expenses, including attorneys’ fees.</w:t>
      </w:r>
    </w:p>
    <w:p>
      <w:pPr>
        <w:spacing w:after="0" w:line="205"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 xml:space="preserve">Also on June 25, 2021, plaintiffs Timothy Slyne and Tai Slyne filed a putative securities class action lawsuit in the U.S. District Court for the Western District of Washington against the Company, Dr. Kawas, the Company’s then chief financial officer, and the same members of the Company’s board of directors and underwriters as in the </w:t>
      </w:r>
      <w:r>
        <w:rPr>
          <w:rFonts w:ascii="Arial" w:cs="Arial" w:eastAsia="Arial" w:hAnsi="Arial"/>
          <w:sz w:val="20"/>
          <w:szCs w:val="20"/>
          <w:i w:val="1"/>
          <w:iCs w:val="1"/>
          <w:color w:val="auto"/>
        </w:rPr>
        <w:t>Jawandha</w:t>
      </w:r>
      <w:r>
        <w:rPr>
          <w:rFonts w:ascii="Arial" w:cs="Arial" w:eastAsia="Arial" w:hAnsi="Arial"/>
          <w:sz w:val="20"/>
          <w:szCs w:val="20"/>
          <w:color w:val="auto"/>
        </w:rPr>
        <w:t xml:space="preserve"> complaint, captioned </w:t>
      </w:r>
      <w:r>
        <w:rPr>
          <w:rFonts w:ascii="Arial" w:cs="Arial" w:eastAsia="Arial" w:hAnsi="Arial"/>
          <w:sz w:val="20"/>
          <w:szCs w:val="20"/>
          <w:i w:val="1"/>
          <w:iCs w:val="1"/>
          <w:color w:val="auto"/>
        </w:rPr>
        <w:t>Slyne v. Athira Pharma, Inc. et al.</w:t>
      </w:r>
      <w:r>
        <w:rPr>
          <w:rFonts w:ascii="Arial" w:cs="Arial" w:eastAsia="Arial" w:hAnsi="Arial"/>
          <w:sz w:val="20"/>
          <w:szCs w:val="20"/>
          <w:color w:val="auto"/>
        </w:rPr>
        <w:t xml:space="preserve">, No. 2:21-cv-00864. The </w:t>
      </w:r>
      <w:r>
        <w:rPr>
          <w:rFonts w:ascii="Arial" w:cs="Arial" w:eastAsia="Arial" w:hAnsi="Arial"/>
          <w:sz w:val="20"/>
          <w:szCs w:val="20"/>
          <w:i w:val="1"/>
          <w:iCs w:val="1"/>
          <w:color w:val="auto"/>
        </w:rPr>
        <w:t>Slyne</w:t>
      </w:r>
      <w:r>
        <w:rPr>
          <w:rFonts w:ascii="Arial" w:cs="Arial" w:eastAsia="Arial" w:hAnsi="Arial"/>
          <w:sz w:val="20"/>
          <w:szCs w:val="20"/>
          <w:color w:val="auto"/>
        </w:rPr>
        <w:t xml:space="preserve"> complaint asserts violations of Sections 11 and 15 of the Securities Act, alleging that purported issues with Dr. Kawas’s doctoral research at WSU should have been disclosed in the Company’s IPO registration statement. The </w:t>
      </w:r>
      <w:r>
        <w:rPr>
          <w:rFonts w:ascii="Arial" w:cs="Arial" w:eastAsia="Arial" w:hAnsi="Arial"/>
          <w:sz w:val="20"/>
          <w:szCs w:val="20"/>
          <w:i w:val="1"/>
          <w:iCs w:val="1"/>
          <w:color w:val="auto"/>
        </w:rPr>
        <w:t>Slyne</w:t>
      </w:r>
      <w:r>
        <w:rPr>
          <w:rFonts w:ascii="Arial" w:cs="Arial" w:eastAsia="Arial" w:hAnsi="Arial"/>
          <w:sz w:val="20"/>
          <w:szCs w:val="20"/>
          <w:color w:val="auto"/>
        </w:rPr>
        <w:t xml:space="preserve"> plaintiffs seek unspecified compensatory damages, reasonable costs and expenses, including attorneys’ fees, and injunctive and other equitable relief.</w:t>
      </w:r>
    </w:p>
    <w:p>
      <w:pPr>
        <w:spacing w:after="0" w:line="195"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On August 9, 2021, the court issued an order consolidating the three cases. On October 5, 2021, the district court issued an order appointing lead plaintiffs and approved their selection of lead and liaison counsel.</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148</w:t>
      </w:r>
    </w:p>
    <w:p>
      <w:pPr>
        <w:sectPr>
          <w:pgSz w:w="11880" w:h="15474" w:orient="portrait"/>
          <w:cols w:equalWidth="0" w:num="1">
            <w:col w:w="9360"/>
          </w:cols>
          <w:pgMar w:left="1240" w:top="1255" w:right="1274" w:bottom="0" w:gutter="0" w:footer="0" w:header="0"/>
          <w:type w:val="continuous"/>
        </w:sectPr>
      </w:pPr>
    </w:p>
    <w:bookmarkStart w:id="154" w:name="page155"/>
    <w:bookmarkEnd w:id="154"/>
    <w:p>
      <w:pPr>
        <w:jc w:val="both"/>
        <w:ind w:firstLine="490"/>
        <w:spacing w:after="0" w:line="242" w:lineRule="auto"/>
        <w:rPr>
          <w:sz w:val="20"/>
          <w:szCs w:val="20"/>
          <w:color w:val="auto"/>
        </w:rPr>
      </w:pPr>
      <w:r>
        <w:rPr>
          <w:rFonts w:ascii="Arial" w:cs="Arial" w:eastAsia="Arial" w:hAnsi="Arial"/>
          <w:sz w:val="20"/>
          <w:szCs w:val="20"/>
          <w:color w:val="auto"/>
        </w:rPr>
        <w:t>On January 7, 2022, lead plaintiffs filed a consolidated amended complaint, which asserts violations of Sections 10(b) and 20(a) of the Exchange Act and SEC Rule 10b-5 and Sections 11, 12, and 15 of the Securities Act. The consolidated amended complaint is brought against the Company, Dr. Kawas, the Company’s then chief financial officer, certain members of the Company's board of directors at the time of the Company's IPO and secondary public offering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 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spacing w:after="0" w:line="206"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On August 12, 2022, defendant Dr. Kawas filed a motion for partial reconsideration of the court’s July 29, 2022 order. On October 24, 2022, the parties filed a (1) joint status report and discovery plan and (2) stipulation and case scheduling order, wherein the parties proposed deadlines for material case events, including the completion of fact discovery, expert discovery, and dispositive motion practice. On November 2, 2022, the court entered an order setting certain case deadlines. On November 4, 2022, the Company and Dr. Kawas filed their individual answers to the consolidated amended complaint. In mid-November 2022, the parties began conducting fact discovery.</w:t>
      </w:r>
    </w:p>
    <w:p>
      <w:pPr>
        <w:spacing w:after="0" w:line="194"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On March 10, 2023, following a mediation and the parties’ agreement in principle to settle the securities class action, the court entered a stipulated order setting a deadline of April 28, 2023 for the parties to file a stipulation of settlement and for lead plaintiffs to file a motion for preliminary approval of the settlement, which the parties filed on that date. The settlement is subject to preliminary and final approval by the U.S. District Court for the Western District of Washington. On May 31, 2023, the court issued a minute order requiring the parties to file a joint status report on or before June 30, 2023 addressing several aspects of the proposed settlement, including revision of certain notices to putative class members regarding the settlement, which the parties filed on that date. On September 27, 2023, the court issued an order denying plaintiffs’ motion for preliminary approval without prejudice, citing the motion’s failure to satisfy the court’s questions and concerns regarding traceability of certain Securities Act claims. The court permitted plaintiffs to file a renewed motion for preliminary approval, which plaintiffs filed on December 15, 2023.</w:t>
      </w:r>
    </w:p>
    <w:p>
      <w:pPr>
        <w:spacing w:after="0" w:line="206"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On February 15, 2024, the court issued an order granting in part and deferring in part plaintiffs’ renewed motion for preliminary approval and ordered the parties to submit a joint status report by March 15, 2024 proposing a date on which the court may schedule the final approval hearing, among other things. In its order, the court preliminarily approved the proposed settlement and certified a class and two subclasses. The court deferred ruling in part as to the proposed notices and claim form relating to the settlement.</w:t>
      </w:r>
    </w:p>
    <w:p>
      <w:pPr>
        <w:spacing w:after="0" w:line="194"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As a result of the foregoing, the Company recorded a legal settlement expense of $10.0 million in operating expenses in the fourth quarter of 2022 and an accrued liability of $10.0 million on the accompanying consolidated balance sheets. Additionally, the Company recorded an insurance recovery of $1.6 million in operating expenses in the fourth quarter of 2023 and an insurance recovery receivable of $1.6 million on the accompanying consolidated balance sheets. This insurance recovery represents the amount of the settlement to be covered by the Company's insurers.</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149</w:t>
      </w:r>
    </w:p>
    <w:p>
      <w:pPr>
        <w:sectPr>
          <w:pgSz w:w="11880" w:h="15474" w:orient="portrait"/>
          <w:cols w:equalWidth="0" w:num="1">
            <w:col w:w="9360"/>
          </w:cols>
          <w:pgMar w:left="1240" w:top="1255" w:right="1274" w:bottom="0" w:gutter="0" w:footer="0" w:header="0"/>
          <w:type w:val="continuous"/>
        </w:sectPr>
      </w:pPr>
    </w:p>
    <w:bookmarkStart w:id="155" w:name="page156"/>
    <w:bookmarkEnd w:id="155"/>
    <w:p>
      <w:pPr>
        <w:ind w:left="480"/>
        <w:spacing w:after="0"/>
        <w:rPr>
          <w:sz w:val="20"/>
          <w:szCs w:val="20"/>
          <w:color w:val="auto"/>
        </w:rPr>
      </w:pPr>
      <w:r>
        <w:rPr>
          <w:rFonts w:ascii="Arial" w:cs="Arial" w:eastAsia="Arial" w:hAnsi="Arial"/>
          <w:sz w:val="20"/>
          <w:szCs w:val="20"/>
          <w:b w:val="1"/>
          <w:bCs w:val="1"/>
          <w:color w:val="auto"/>
        </w:rPr>
        <w:t>Shareholder Derivative Actions</w:t>
      </w:r>
    </w:p>
    <w:p>
      <w:pPr>
        <w:spacing w:after="0" w:line="123"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 xml:space="preserve">On April 14, 2022, a shareholder derivative action was filed by plaintiff Stephen Bushansky in the U.S. District Court for the Western District of Washington against certain current and former members of the Company’s board of directors, captioned </w:t>
      </w:r>
      <w:r>
        <w:rPr>
          <w:rFonts w:ascii="Arial" w:cs="Arial" w:eastAsia="Arial" w:hAnsi="Arial"/>
          <w:sz w:val="20"/>
          <w:szCs w:val="20"/>
          <w:i w:val="1"/>
          <w:iCs w:val="1"/>
          <w:color w:val="auto"/>
        </w:rPr>
        <w:t>Bushansky v. Kawas et al.</w:t>
      </w:r>
      <w:r>
        <w:rPr>
          <w:rFonts w:ascii="Arial" w:cs="Arial" w:eastAsia="Arial" w:hAnsi="Arial"/>
          <w:sz w:val="20"/>
          <w:szCs w:val="20"/>
          <w:color w:val="auto"/>
        </w:rPr>
        <w:t>, No. 2:22-cv-497. Plaintiff purports to bring the action derivatively on behalf of the Company, which is a nominal defendant to the action. The derivative complaint alleges that the Company’s board of directors breached its fiduciary duties by failing to prevent alleged misstatements in the Company’s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 defendants, restitution, declaratory relief, and an award of costs and expenses to the derivative plaintiff, including attorneys’ fees.</w:t>
      </w:r>
    </w:p>
    <w:p>
      <w:pPr>
        <w:spacing w:after="0" w:line="206"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 xml:space="preserve">On May 6, 2022, a second shareholder derivative action was filed by plaintiff Thomas Houlihan in the U.S. District Court for the Western District of Washington against certain current and former directors and officers of the Company, captioned </w:t>
      </w:r>
      <w:r>
        <w:rPr>
          <w:rFonts w:ascii="Arial" w:cs="Arial" w:eastAsia="Arial" w:hAnsi="Arial"/>
          <w:sz w:val="20"/>
          <w:szCs w:val="20"/>
          <w:i w:val="1"/>
          <w:iCs w:val="1"/>
          <w:color w:val="auto"/>
        </w:rPr>
        <w:t>Houlihan v. Kawas et al</w:t>
      </w:r>
      <w:r>
        <w:rPr>
          <w:rFonts w:ascii="Arial" w:cs="Arial" w:eastAsia="Arial" w:hAnsi="Arial"/>
          <w:sz w:val="20"/>
          <w:szCs w:val="20"/>
          <w:color w:val="auto"/>
        </w:rPr>
        <w:t>., No. 2:22-cv-620. Plaintiff purports to bring the action derivatively on behalf of the Company, which is a nominal defendant to the action. The derivative complaint alleges that certain of the Company’s current and former directors and officers breached their fiduciary duties by failing to prevent alleged misstatements in the Company’s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spacing w:after="0" w:line="198"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20"/>
          <w:szCs w:val="20"/>
          <w:color w:val="auto"/>
        </w:rPr>
        <w:t>On May 26, 2022, the court issued an order consolidating the cases and staying them until further order of the court. The Company believes it has adequate reserves related to this matter as of the latest balance sheet date.</w:t>
      </w:r>
    </w:p>
    <w:p>
      <w:pPr>
        <w:spacing w:after="0" w:line="293"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Government Investigations</w:t>
      </w:r>
    </w:p>
    <w:p>
      <w:pPr>
        <w:spacing w:after="0" w:line="124"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In November 2022, the Company received a Civil Investigative Demand from the Civil Division of the Department of Justice (the "Demand"). The Demand seeks documents and information relating to our relationship with WSU, certain of our grant applications in 2016 and 2019 with the NIH, and our receipt of a NIH grant in 2020. The Company is cooperating with the Department of Justice with respect to the Demand.</w:t>
      </w:r>
    </w:p>
    <w:p>
      <w:pPr>
        <w:spacing w:after="0" w:line="192"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In February 2023, the Securities and Exchange Commission ("SEC"), sent the Company a subpoena seeking documents and information relating to, among other things, the Company's former chief executive officer's alterations of images in certain research papers. The Company is cooperating with the SEC with respect to the subpoena.</w:t>
      </w:r>
    </w:p>
    <w:p>
      <w:pPr>
        <w:spacing w:after="0" w:line="187"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The Company cannot predict the outcome of these lawsuits or government investigations. Failure by the Company to obtain a favorable resolution of these actions could have a material adverse effect on our business, results of operations and financial condition.</w:t>
      </w:r>
    </w:p>
    <w:p>
      <w:pPr>
        <w:spacing w:after="0" w:line="304"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Indemnifications</w:t>
      </w:r>
    </w:p>
    <w:p>
      <w:pPr>
        <w:spacing w:after="0" w:line="115"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9"/>
          <w:szCs w:val="19"/>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To date the Company has not</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150</w:t>
      </w:r>
    </w:p>
    <w:p>
      <w:pPr>
        <w:sectPr>
          <w:pgSz w:w="11880" w:h="15474" w:orient="portrait"/>
          <w:cols w:equalWidth="0" w:num="1">
            <w:col w:w="9360"/>
          </w:cols>
          <w:pgMar w:left="1240" w:top="1251" w:right="1274" w:bottom="0" w:gutter="0" w:footer="0" w:header="0"/>
          <w:type w:val="continuous"/>
        </w:sectPr>
      </w:pPr>
    </w:p>
    <w:bookmarkStart w:id="156" w:name="page157"/>
    <w:bookmarkEnd w:id="156"/>
    <w:p>
      <w:pPr>
        <w:jc w:val="both"/>
        <w:spacing w:after="0" w:line="248" w:lineRule="auto"/>
        <w:rPr>
          <w:sz w:val="20"/>
          <w:szCs w:val="20"/>
          <w:color w:val="auto"/>
        </w:rPr>
      </w:pPr>
      <w:r>
        <w:rPr>
          <w:rFonts w:ascii="Arial" w:cs="Arial" w:eastAsia="Arial" w:hAnsi="Arial"/>
          <w:sz w:val="20"/>
          <w:szCs w:val="20"/>
          <w:color w:val="auto"/>
        </w:rPr>
        <w:t>incurred material costs to defend lawsuits or settle claims related to these indemnification provisions. The Company enters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w:t>
      </w:r>
    </w:p>
    <w:p>
      <w:pPr>
        <w:spacing w:after="0" w:line="318"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Operating Leases</w:t>
      </w:r>
    </w:p>
    <w:p>
      <w:pPr>
        <w:spacing w:after="0" w:line="115"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The Company has operating leases for laboratory and office facilities in Bothell, Washington that expire in August 2027. The initial terms of the leases range from 6.3 to 7 years and the Company has options to extend the leases for an additional five years that it is not reasonably certain to exercise. As of December 31, 2023, the Company was not party to any finance leases.</w:t>
      </w:r>
    </w:p>
    <w:p>
      <w:pPr>
        <w:spacing w:after="0" w:line="187"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The following table reconciles the Company’s undiscounted operating lease cash flows to its operating lease liability (in thousands):</w:t>
      </w:r>
    </w:p>
    <w:p>
      <w:pPr>
        <w:spacing w:after="0" w:line="149"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5380" w:type="dxa"/>
            <w:vAlign w:val="bottom"/>
          </w:tcPr>
          <w:p>
            <w:pPr>
              <w:spacing w:after="0"/>
              <w:rPr>
                <w:sz w:val="15"/>
                <w:szCs w:val="15"/>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03"/>
        </w:trPr>
        <w:tc>
          <w:tcPr>
            <w:tcW w:w="5380" w:type="dxa"/>
            <w:vAlign w:val="bottom"/>
            <w:tcBorders>
              <w:bottom w:val="single" w:sz="8" w:color="E4E4E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4E4E4"/>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380" w:type="dxa"/>
            <w:vAlign w:val="bottom"/>
            <w:tcBorders>
              <w:right w:val="single" w:sz="8" w:color="E4E4E4"/>
            </w:tcBorders>
            <w:shd w:val="clear" w:color="auto" w:fill="E4E4E4"/>
          </w:tcPr>
          <w:p>
            <w:pPr>
              <w:spacing w:after="0" w:line="220" w:lineRule="exact"/>
              <w:rPr>
                <w:sz w:val="20"/>
                <w:szCs w:val="20"/>
                <w:color w:val="auto"/>
              </w:rPr>
            </w:pPr>
            <w:r>
              <w:rPr>
                <w:rFonts w:ascii="Arial" w:cs="Arial" w:eastAsia="Arial" w:hAnsi="Arial"/>
                <w:sz w:val="20"/>
                <w:szCs w:val="20"/>
                <w:color w:val="auto"/>
              </w:rPr>
              <w:t>2024</w:t>
            </w:r>
          </w:p>
        </w:tc>
        <w:tc>
          <w:tcPr>
            <w:tcW w:w="120" w:type="dxa"/>
            <w:vAlign w:val="bottom"/>
            <w:shd w:val="clear" w:color="auto" w:fill="E4E4E4"/>
          </w:tcPr>
          <w:p>
            <w:pPr>
              <w:spacing w:after="0"/>
              <w:rPr>
                <w:sz w:val="19"/>
                <w:szCs w:val="19"/>
                <w:color w:val="auto"/>
              </w:rPr>
            </w:pPr>
          </w:p>
        </w:tc>
        <w:tc>
          <w:tcPr>
            <w:tcW w:w="1060" w:type="dxa"/>
            <w:vAlign w:val="bottom"/>
            <w:gridSpan w:val="2"/>
            <w:shd w:val="clear" w:color="auto" w:fill="E4E4E4"/>
          </w:tcPr>
          <w:p>
            <w:pPr>
              <w:jc w:val="right"/>
              <w:ind w:right="60"/>
              <w:spacing w:after="0" w:line="220" w:lineRule="exact"/>
              <w:rPr>
                <w:sz w:val="20"/>
                <w:szCs w:val="20"/>
                <w:color w:val="auto"/>
              </w:rPr>
            </w:pPr>
            <w:r>
              <w:rPr>
                <w:rFonts w:ascii="Arial" w:cs="Arial" w:eastAsia="Arial" w:hAnsi="Arial"/>
                <w:sz w:val="20"/>
                <w:szCs w:val="20"/>
                <w:color w:val="auto"/>
              </w:rPr>
              <w:t>480</w:t>
            </w: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20"/>
                <w:szCs w:val="20"/>
                <w:color w:val="auto"/>
              </w:rPr>
              <w:t>2025</w:t>
            </w: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color w:val="auto"/>
              </w:rPr>
              <w:t>494</w:t>
            </w:r>
          </w:p>
        </w:tc>
        <w:tc>
          <w:tcPr>
            <w:tcW w:w="0" w:type="dxa"/>
            <w:vAlign w:val="bottom"/>
          </w:tcPr>
          <w:p>
            <w:pPr>
              <w:spacing w:after="0"/>
              <w:rPr>
                <w:sz w:val="1"/>
                <w:szCs w:val="1"/>
                <w:color w:val="auto"/>
              </w:rPr>
            </w:pPr>
          </w:p>
        </w:tc>
      </w:tr>
      <w:tr>
        <w:trPr>
          <w:trHeight w:val="230"/>
        </w:trPr>
        <w:tc>
          <w:tcPr>
            <w:tcW w:w="5380" w:type="dxa"/>
            <w:vAlign w:val="bottom"/>
            <w:tcBorders>
              <w:right w:val="single" w:sz="8" w:color="E4E4E4"/>
            </w:tcBorders>
            <w:shd w:val="clear" w:color="auto" w:fill="E4E4E4"/>
          </w:tcPr>
          <w:p>
            <w:pPr>
              <w:spacing w:after="0"/>
              <w:rPr>
                <w:sz w:val="20"/>
                <w:szCs w:val="20"/>
                <w:color w:val="auto"/>
              </w:rPr>
            </w:pPr>
            <w:r>
              <w:rPr>
                <w:rFonts w:ascii="Arial" w:cs="Arial" w:eastAsia="Arial" w:hAnsi="Arial"/>
                <w:sz w:val="20"/>
                <w:szCs w:val="20"/>
                <w:color w:val="auto"/>
              </w:rPr>
              <w:t>2026</w:t>
            </w:r>
          </w:p>
        </w:tc>
        <w:tc>
          <w:tcPr>
            <w:tcW w:w="120" w:type="dxa"/>
            <w:vAlign w:val="bottom"/>
            <w:shd w:val="clear" w:color="auto" w:fill="E4E4E4"/>
          </w:tcPr>
          <w:p>
            <w:pPr>
              <w:spacing w:after="0"/>
              <w:rPr>
                <w:sz w:val="20"/>
                <w:szCs w:val="20"/>
                <w:color w:val="auto"/>
              </w:rPr>
            </w:pPr>
          </w:p>
        </w:tc>
        <w:tc>
          <w:tcPr>
            <w:tcW w:w="1060" w:type="dxa"/>
            <w:vAlign w:val="bottom"/>
            <w:gridSpan w:val="2"/>
            <w:shd w:val="clear" w:color="auto" w:fill="E4E4E4"/>
          </w:tcPr>
          <w:p>
            <w:pPr>
              <w:jc w:val="right"/>
              <w:ind w:right="60"/>
              <w:spacing w:after="0"/>
              <w:rPr>
                <w:sz w:val="20"/>
                <w:szCs w:val="20"/>
                <w:color w:val="auto"/>
              </w:rPr>
            </w:pPr>
            <w:r>
              <w:rPr>
                <w:rFonts w:ascii="Arial" w:cs="Arial" w:eastAsia="Arial" w:hAnsi="Arial"/>
                <w:sz w:val="20"/>
                <w:szCs w:val="20"/>
                <w:color w:val="auto"/>
              </w:rPr>
              <w:t>509</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20"/>
                <w:szCs w:val="20"/>
                <w:color w:val="auto"/>
              </w:rPr>
              <w:t>Thereafter</w:t>
            </w:r>
          </w:p>
        </w:tc>
        <w:tc>
          <w:tcPr>
            <w:tcW w:w="1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color w:val="auto"/>
              </w:rPr>
              <w:t>346</w:t>
            </w:r>
          </w:p>
        </w:tc>
        <w:tc>
          <w:tcPr>
            <w:tcW w:w="0" w:type="dxa"/>
            <w:vAlign w:val="bottom"/>
          </w:tcPr>
          <w:p>
            <w:pPr>
              <w:spacing w:after="0"/>
              <w:rPr>
                <w:sz w:val="1"/>
                <w:szCs w:val="1"/>
                <w:color w:val="auto"/>
              </w:rPr>
            </w:pPr>
          </w:p>
        </w:tc>
      </w:tr>
      <w:tr>
        <w:trPr>
          <w:trHeight w:val="20"/>
        </w:trPr>
        <w:tc>
          <w:tcPr>
            <w:tcW w:w="5380" w:type="dxa"/>
            <w:vAlign w:val="bottom"/>
            <w:tcBorders>
              <w:right w:val="single" w:sz="8" w:color="E4E4E4"/>
            </w:tcBorders>
            <w:vMerge w:val="restart"/>
            <w:shd w:val="clear" w:color="auto" w:fill="E4E4E4"/>
          </w:tcPr>
          <w:p>
            <w:pPr>
              <w:spacing w:after="0"/>
              <w:rPr>
                <w:sz w:val="20"/>
                <w:szCs w:val="20"/>
                <w:color w:val="auto"/>
              </w:rPr>
            </w:pPr>
            <w:r>
              <w:rPr>
                <w:rFonts w:ascii="Arial" w:cs="Arial" w:eastAsia="Arial" w:hAnsi="Arial"/>
                <w:sz w:val="20"/>
                <w:szCs w:val="20"/>
                <w:color w:val="auto"/>
              </w:rPr>
              <w:t>Total undiscounted lease payments</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380" w:type="dxa"/>
            <w:vAlign w:val="bottom"/>
            <w:tcBorders>
              <w:right w:val="single" w:sz="8" w:color="E4E4E4"/>
            </w:tcBorders>
            <w:vMerge w:val="continue"/>
            <w:shd w:val="clear" w:color="auto" w:fill="E4E4E4"/>
          </w:tcPr>
          <w:p>
            <w:pPr>
              <w:spacing w:after="0"/>
              <w:rPr>
                <w:sz w:val="19"/>
                <w:szCs w:val="19"/>
                <w:color w:val="auto"/>
              </w:rPr>
            </w:pPr>
          </w:p>
        </w:tc>
        <w:tc>
          <w:tcPr>
            <w:tcW w:w="120" w:type="dxa"/>
            <w:vAlign w:val="bottom"/>
            <w:tcBorders>
              <w:bottom w:val="single" w:sz="8" w:color="E4E4E4"/>
            </w:tcBorders>
            <w:shd w:val="clear" w:color="auto" w:fill="E4E4E4"/>
          </w:tcPr>
          <w:p>
            <w:pPr>
              <w:spacing w:after="0"/>
              <w:rPr>
                <w:sz w:val="19"/>
                <w:szCs w:val="19"/>
                <w:color w:val="auto"/>
              </w:rPr>
            </w:pPr>
          </w:p>
        </w:tc>
        <w:tc>
          <w:tcPr>
            <w:tcW w:w="1060" w:type="dxa"/>
            <w:vAlign w:val="bottom"/>
            <w:tcBorders>
              <w:bottom w:val="single" w:sz="8" w:color="E4E4E4"/>
            </w:tcBorders>
            <w:gridSpan w:val="2"/>
            <w:shd w:val="clear" w:color="auto" w:fill="E4E4E4"/>
          </w:tcPr>
          <w:p>
            <w:pPr>
              <w:jc w:val="right"/>
              <w:ind w:right="60"/>
              <w:spacing w:after="0" w:line="220" w:lineRule="exact"/>
              <w:rPr>
                <w:sz w:val="20"/>
                <w:szCs w:val="20"/>
                <w:color w:val="auto"/>
              </w:rPr>
            </w:pPr>
            <w:r>
              <w:rPr>
                <w:rFonts w:ascii="Arial" w:cs="Arial" w:eastAsia="Arial" w:hAnsi="Arial"/>
                <w:sz w:val="20"/>
                <w:szCs w:val="20"/>
                <w:color w:val="auto"/>
              </w:rPr>
              <w:t>1,829</w:t>
            </w:r>
          </w:p>
        </w:tc>
        <w:tc>
          <w:tcPr>
            <w:tcW w:w="0" w:type="dxa"/>
            <w:vAlign w:val="bottom"/>
          </w:tcPr>
          <w:p>
            <w:pPr>
              <w:spacing w:after="0"/>
              <w:rPr>
                <w:sz w:val="1"/>
                <w:szCs w:val="1"/>
                <w:color w:val="auto"/>
              </w:rPr>
            </w:pPr>
          </w:p>
        </w:tc>
      </w:tr>
      <w:tr>
        <w:trPr>
          <w:trHeight w:val="209"/>
        </w:trPr>
        <w:tc>
          <w:tcPr>
            <w:tcW w:w="5380" w:type="dxa"/>
            <w:vAlign w:val="bottom"/>
          </w:tcPr>
          <w:p>
            <w:pPr>
              <w:spacing w:after="0" w:line="209" w:lineRule="exact"/>
              <w:rPr>
                <w:sz w:val="20"/>
                <w:szCs w:val="20"/>
                <w:color w:val="auto"/>
              </w:rPr>
            </w:pPr>
            <w:r>
              <w:rPr>
                <w:rFonts w:ascii="Arial" w:cs="Arial" w:eastAsia="Arial" w:hAnsi="Arial"/>
                <w:sz w:val="20"/>
                <w:szCs w:val="20"/>
                <w:color w:val="auto"/>
              </w:rPr>
              <w:t>Present value adjustment for minimum lease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60"/>
              <w:spacing w:after="0"/>
              <w:rPr>
                <w:sz w:val="20"/>
                <w:szCs w:val="20"/>
                <w:color w:val="auto"/>
              </w:rPr>
            </w:pPr>
            <w:r>
              <w:rPr>
                <w:rFonts w:ascii="Arial" w:cs="Arial" w:eastAsia="Arial" w:hAnsi="Arial"/>
                <w:sz w:val="20"/>
                <w:szCs w:val="20"/>
                <w:color w:val="auto"/>
              </w:rPr>
              <w:t>commitments</w:t>
            </w: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(244)</w:t>
            </w:r>
          </w:p>
        </w:tc>
        <w:tc>
          <w:tcPr>
            <w:tcW w:w="0" w:type="dxa"/>
            <w:vAlign w:val="bottom"/>
          </w:tcPr>
          <w:p>
            <w:pPr>
              <w:spacing w:after="0"/>
              <w:rPr>
                <w:sz w:val="1"/>
                <w:szCs w:val="1"/>
                <w:color w:val="auto"/>
              </w:rPr>
            </w:pPr>
          </w:p>
        </w:tc>
      </w:tr>
      <w:tr>
        <w:trPr>
          <w:trHeight w:val="20"/>
        </w:trPr>
        <w:tc>
          <w:tcPr>
            <w:tcW w:w="5380" w:type="dxa"/>
            <w:vAlign w:val="bottom"/>
            <w:tcBorders>
              <w:right w:val="single" w:sz="8" w:color="E4E4E4"/>
            </w:tcBorders>
            <w:vMerge w:val="restart"/>
            <w:shd w:val="clear" w:color="auto" w:fill="E4E4E4"/>
          </w:tcPr>
          <w:p>
            <w:pPr>
              <w:ind w:left="280"/>
              <w:spacing w:after="0"/>
              <w:rPr>
                <w:sz w:val="20"/>
                <w:szCs w:val="20"/>
                <w:color w:val="auto"/>
              </w:rPr>
            </w:pPr>
            <w:r>
              <w:rPr>
                <w:rFonts w:ascii="Arial" w:cs="Arial" w:eastAsia="Arial" w:hAnsi="Arial"/>
                <w:sz w:val="20"/>
                <w:szCs w:val="20"/>
                <w:color w:val="auto"/>
              </w:rPr>
              <w:t>Net lease liability</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80" w:type="dxa"/>
            <w:vAlign w:val="bottom"/>
            <w:tcBorders>
              <w:right w:val="single" w:sz="8" w:color="E4E4E4"/>
            </w:tcBorders>
            <w:vMerge w:val="continue"/>
            <w:shd w:val="clear" w:color="auto" w:fill="E4E4E4"/>
          </w:tcPr>
          <w:p>
            <w:pPr>
              <w:spacing w:after="0"/>
              <w:rPr>
                <w:sz w:val="19"/>
                <w:szCs w:val="19"/>
                <w:color w:val="auto"/>
              </w:rPr>
            </w:pPr>
          </w:p>
        </w:tc>
        <w:tc>
          <w:tcPr>
            <w:tcW w:w="120" w:type="dxa"/>
            <w:vAlign w:val="bottom"/>
            <w:shd w:val="clear" w:color="auto" w:fill="E4E4E4"/>
          </w:tcPr>
          <w:p>
            <w:pPr>
              <w:jc w:val="right"/>
              <w:spacing w:after="0" w:line="221" w:lineRule="exact"/>
              <w:rPr>
                <w:sz w:val="20"/>
                <w:szCs w:val="20"/>
                <w:color w:val="auto"/>
              </w:rPr>
            </w:pPr>
            <w:r>
              <w:rPr>
                <w:rFonts w:ascii="Arial" w:cs="Arial" w:eastAsia="Arial" w:hAnsi="Arial"/>
                <w:sz w:val="20"/>
                <w:szCs w:val="20"/>
                <w:color w:val="auto"/>
                <w:w w:val="89"/>
              </w:rPr>
              <w:t>$</w:t>
            </w:r>
          </w:p>
        </w:tc>
        <w:tc>
          <w:tcPr>
            <w:tcW w:w="1060" w:type="dxa"/>
            <w:vAlign w:val="bottom"/>
            <w:gridSpan w:val="2"/>
            <w:shd w:val="clear" w:color="auto" w:fill="E4E4E4"/>
          </w:tcPr>
          <w:p>
            <w:pPr>
              <w:jc w:val="right"/>
              <w:ind w:right="60"/>
              <w:spacing w:after="0" w:line="221" w:lineRule="exact"/>
              <w:rPr>
                <w:sz w:val="20"/>
                <w:szCs w:val="20"/>
                <w:color w:val="auto"/>
              </w:rPr>
            </w:pPr>
            <w:r>
              <w:rPr>
                <w:rFonts w:ascii="Arial" w:cs="Arial" w:eastAsia="Arial" w:hAnsi="Arial"/>
                <w:sz w:val="20"/>
                <w:szCs w:val="20"/>
                <w:color w:val="auto"/>
              </w:rPr>
              <w:t>1,585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489"/>
        <w:spacing w:after="0" w:line="283" w:lineRule="auto"/>
        <w:rPr>
          <w:sz w:val="20"/>
          <w:szCs w:val="20"/>
          <w:color w:val="auto"/>
        </w:rPr>
      </w:pPr>
      <w:r>
        <w:rPr>
          <w:rFonts w:ascii="Arial" w:cs="Arial" w:eastAsia="Arial" w:hAnsi="Arial"/>
          <w:sz w:val="20"/>
          <w:szCs w:val="20"/>
          <w:color w:val="auto"/>
        </w:rPr>
        <w:t>The weighted average remaining lease term and the weighted average discount rate used to determine the operating lease liability were as follows:</w:t>
      </w:r>
    </w:p>
    <w:p>
      <w:pPr>
        <w:spacing w:after="0" w:line="148" w:lineRule="exact"/>
        <w:rPr>
          <w:sz w:val="20"/>
          <w:szCs w:val="20"/>
          <w:color w:val="auto"/>
        </w:rPr>
      </w:pPr>
    </w:p>
    <w:tbl>
      <w:tblPr>
        <w:tblLayout w:type="fixed"/>
        <w:tblInd w:w="140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December 31,</w:t>
            </w:r>
          </w:p>
        </w:tc>
      </w:tr>
      <w:tr>
        <w:trPr>
          <w:trHeight w:val="202"/>
        </w:trPr>
        <w:tc>
          <w:tcPr>
            <w:tcW w:w="5200" w:type="dxa"/>
            <w:vAlign w:val="bottom"/>
            <w:tcBorders>
              <w:bottom w:val="single" w:sz="8" w:color="E4E4E4"/>
            </w:tcBorders>
          </w:tcPr>
          <w:p>
            <w:pPr>
              <w:spacing w:after="0"/>
              <w:rPr>
                <w:sz w:val="17"/>
                <w:szCs w:val="17"/>
                <w:color w:val="auto"/>
              </w:rPr>
            </w:pPr>
          </w:p>
        </w:tc>
        <w:tc>
          <w:tcPr>
            <w:tcW w:w="100" w:type="dxa"/>
            <w:vAlign w:val="bottom"/>
            <w:tcBorders>
              <w:bottom w:val="single" w:sz="8" w:color="E4E4E4"/>
            </w:tcBorders>
          </w:tcPr>
          <w:p>
            <w:pPr>
              <w:spacing w:after="0"/>
              <w:rPr>
                <w:sz w:val="17"/>
                <w:szCs w:val="17"/>
                <w:color w:val="auto"/>
              </w:rPr>
            </w:pPr>
          </w:p>
        </w:tc>
        <w:tc>
          <w:tcPr>
            <w:tcW w:w="10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E4E4E4"/>
            </w:tcBorders>
          </w:tcPr>
          <w:p>
            <w:pPr>
              <w:spacing w:after="0"/>
              <w:rPr>
                <w:sz w:val="17"/>
                <w:szCs w:val="17"/>
                <w:color w:val="auto"/>
              </w:rPr>
            </w:pPr>
          </w:p>
        </w:tc>
      </w:tr>
      <w:tr>
        <w:trPr>
          <w:trHeight w:val="220"/>
        </w:trPr>
        <w:tc>
          <w:tcPr>
            <w:tcW w:w="5200" w:type="dxa"/>
            <w:vAlign w:val="bottom"/>
            <w:shd w:val="clear" w:color="auto" w:fill="E4E4E4"/>
          </w:tcPr>
          <w:p>
            <w:pPr>
              <w:spacing w:after="0" w:line="220" w:lineRule="exact"/>
              <w:rPr>
                <w:sz w:val="20"/>
                <w:szCs w:val="20"/>
                <w:color w:val="auto"/>
              </w:rPr>
            </w:pPr>
            <w:r>
              <w:rPr>
                <w:rFonts w:ascii="Arial" w:cs="Arial" w:eastAsia="Arial" w:hAnsi="Arial"/>
                <w:sz w:val="20"/>
                <w:szCs w:val="20"/>
                <w:color w:val="auto"/>
              </w:rPr>
              <w:t>Weighted average remaining lease term (years)</w:t>
            </w:r>
          </w:p>
        </w:tc>
        <w:tc>
          <w:tcPr>
            <w:tcW w:w="1360" w:type="dxa"/>
            <w:vAlign w:val="bottom"/>
            <w:gridSpan w:val="3"/>
            <w:shd w:val="clear" w:color="auto" w:fill="E4E4E4"/>
          </w:tcPr>
          <w:p>
            <w:pPr>
              <w:ind w:left="880"/>
              <w:spacing w:after="0" w:line="220" w:lineRule="exact"/>
              <w:rPr>
                <w:sz w:val="20"/>
                <w:szCs w:val="20"/>
                <w:color w:val="auto"/>
              </w:rPr>
            </w:pPr>
            <w:r>
              <w:rPr>
                <w:rFonts w:ascii="Arial" w:cs="Arial" w:eastAsia="Arial" w:hAnsi="Arial"/>
                <w:sz w:val="20"/>
                <w:szCs w:val="20"/>
                <w:color w:val="auto"/>
              </w:rPr>
              <w:t>3.7</w:t>
            </w:r>
          </w:p>
        </w:tc>
      </w:tr>
      <w:tr>
        <w:trPr>
          <w:trHeight w:val="271"/>
        </w:trPr>
        <w:tc>
          <w:tcPr>
            <w:tcW w:w="5200" w:type="dxa"/>
            <w:vAlign w:val="bottom"/>
          </w:tcPr>
          <w:p>
            <w:pPr>
              <w:spacing w:after="0"/>
              <w:rPr>
                <w:sz w:val="20"/>
                <w:szCs w:val="20"/>
                <w:color w:val="auto"/>
              </w:rPr>
            </w:pPr>
            <w:r>
              <w:rPr>
                <w:rFonts w:ascii="Arial" w:cs="Arial" w:eastAsia="Arial" w:hAnsi="Arial"/>
                <w:sz w:val="20"/>
                <w:szCs w:val="20"/>
                <w:color w:val="auto"/>
              </w:rPr>
              <w:t>Weighted average discount rate</w:t>
            </w:r>
          </w:p>
        </w:tc>
        <w:tc>
          <w:tcPr>
            <w:tcW w:w="1360" w:type="dxa"/>
            <w:vAlign w:val="bottom"/>
            <w:gridSpan w:val="3"/>
          </w:tcPr>
          <w:p>
            <w:pPr>
              <w:ind w:left="880"/>
              <w:spacing w:after="0"/>
              <w:rPr>
                <w:sz w:val="20"/>
                <w:szCs w:val="20"/>
                <w:color w:val="auto"/>
              </w:rPr>
            </w:pPr>
            <w:r>
              <w:rPr>
                <w:rFonts w:ascii="Arial" w:cs="Arial" w:eastAsia="Arial" w:hAnsi="Arial"/>
                <w:sz w:val="20"/>
                <w:szCs w:val="20"/>
                <w:color w:val="auto"/>
              </w:rPr>
              <w:t>8.1%</w:t>
            </w:r>
          </w:p>
        </w:tc>
      </w:tr>
    </w:tbl>
    <w:p>
      <w:pPr>
        <w:spacing w:after="0" w:line="250"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Operating lease expense was $353,000 and $368,000 for the years ended December 31, 2023 and 2022, respectively. Separately, variable lease expense was $186,000 and $167,000 for operating leases during the years ended December 31, 2023 and 2022,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Common Stock</w:t>
      </w:r>
    </w:p>
    <w:p>
      <w:pPr>
        <w:spacing w:after="0" w:line="123"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151</w:t>
      </w:r>
    </w:p>
    <w:p>
      <w:pPr>
        <w:sectPr>
          <w:pgSz w:w="11880" w:h="15474" w:orient="portrait"/>
          <w:cols w:equalWidth="0" w:num="1">
            <w:col w:w="9360"/>
          </w:cols>
          <w:pgMar w:left="1240" w:top="1255" w:right="1274" w:bottom="0" w:gutter="0" w:footer="0" w:header="0"/>
          <w:type w:val="continuous"/>
        </w:sectPr>
      </w:pPr>
    </w:p>
    <w:bookmarkStart w:id="157" w:name="page158"/>
    <w:bookmarkEnd w:id="157"/>
    <w:p>
      <w:pPr>
        <w:jc w:val="both"/>
        <w:ind w:firstLine="490"/>
        <w:spacing w:after="0" w:line="282" w:lineRule="auto"/>
        <w:rPr>
          <w:sz w:val="20"/>
          <w:szCs w:val="20"/>
          <w:color w:val="auto"/>
        </w:rPr>
      </w:pPr>
      <w:r>
        <w:rPr>
          <w:rFonts w:ascii="Arial" w:cs="Arial" w:eastAsia="Arial" w:hAnsi="Arial"/>
          <w:sz w:val="20"/>
          <w:szCs w:val="20"/>
          <w:color w:val="auto"/>
        </w:rPr>
        <w:t>The Company has reserved the following shares of common stock for future issuance, on an as-converted basis, as follows:</w:t>
      </w:r>
    </w:p>
    <w:p>
      <w:pPr>
        <w:spacing w:after="0" w:line="196"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80" w:type="dxa"/>
            <w:vAlign w:val="bottom"/>
            <w:gridSpan w:val="7"/>
          </w:tcPr>
          <w:p>
            <w:pPr>
              <w:jc w:val="right"/>
              <w:ind w:right="800"/>
              <w:spacing w:after="0"/>
              <w:rPr>
                <w:sz w:val="20"/>
                <w:szCs w:val="20"/>
                <w:color w:val="auto"/>
              </w:rPr>
            </w:pPr>
            <w:r>
              <w:rPr>
                <w:rFonts w:ascii="Arial" w:cs="Arial" w:eastAsia="Arial" w:hAnsi="Arial"/>
                <w:sz w:val="16"/>
                <w:szCs w:val="16"/>
                <w:b w:val="1"/>
                <w:bCs w:val="1"/>
                <w:color w:val="auto"/>
              </w:rPr>
              <w:t>December 31,</w:t>
            </w:r>
          </w:p>
        </w:tc>
      </w:tr>
      <w:tr>
        <w:trPr>
          <w:trHeight w:val="173"/>
        </w:trPr>
        <w:tc>
          <w:tcPr>
            <w:tcW w:w="3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Borders>
              <w:top w:val="single" w:sz="8" w:color="auto"/>
            </w:tcBorders>
          </w:tcPr>
          <w:p>
            <w:pPr>
              <w:jc w:val="right"/>
              <w:ind w:right="307"/>
              <w:spacing w:after="0" w:line="173" w:lineRule="exact"/>
              <w:rPr>
                <w:sz w:val="20"/>
                <w:szCs w:val="20"/>
                <w:color w:val="auto"/>
              </w:rPr>
            </w:pPr>
            <w:r>
              <w:rPr>
                <w:rFonts w:ascii="Arial" w:cs="Arial" w:eastAsia="Arial" w:hAnsi="Arial"/>
                <w:sz w:val="16"/>
                <w:szCs w:val="16"/>
                <w:b w:val="1"/>
                <w:bCs w:val="1"/>
                <w:color w:val="auto"/>
              </w:rPr>
              <w:t>2023</w:t>
            </w: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320"/>
              <w:spacing w:after="0" w:line="173"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5"/>
                <w:szCs w:val="15"/>
                <w:color w:val="auto"/>
              </w:rPr>
            </w:pPr>
          </w:p>
        </w:tc>
      </w:tr>
      <w:tr>
        <w:trPr>
          <w:trHeight w:val="201"/>
        </w:trPr>
        <w:tc>
          <w:tcPr>
            <w:tcW w:w="3920" w:type="dxa"/>
            <w:vAlign w:val="bottom"/>
            <w:tcBorders>
              <w:top w:val="single" w:sz="8" w:color="E4E4E4"/>
            </w:tcBorders>
            <w:shd w:val="clear" w:color="auto" w:fill="E4E4E4"/>
          </w:tcPr>
          <w:p>
            <w:pPr>
              <w:spacing w:after="0" w:line="201" w:lineRule="exact"/>
              <w:rPr>
                <w:sz w:val="20"/>
                <w:szCs w:val="20"/>
                <w:color w:val="auto"/>
              </w:rPr>
            </w:pPr>
            <w:r>
              <w:rPr>
                <w:rFonts w:ascii="Arial" w:cs="Arial" w:eastAsia="Arial" w:hAnsi="Arial"/>
                <w:sz w:val="20"/>
                <w:szCs w:val="20"/>
                <w:color w:val="auto"/>
              </w:rPr>
              <w:t>Shares issuable upon the exercise of</w:t>
            </w:r>
          </w:p>
        </w:tc>
        <w:tc>
          <w:tcPr>
            <w:tcW w:w="60" w:type="dxa"/>
            <w:vAlign w:val="bottom"/>
            <w:tcBorders>
              <w:top w:val="single" w:sz="8" w:color="E4E4E4"/>
              <w:right w:val="single" w:sz="8" w:color="E4E4E4"/>
            </w:tcBorders>
          </w:tcPr>
          <w:p>
            <w:pPr>
              <w:spacing w:after="0"/>
              <w:rPr>
                <w:sz w:val="17"/>
                <w:szCs w:val="17"/>
                <w:color w:val="auto"/>
              </w:rPr>
            </w:pPr>
          </w:p>
        </w:tc>
        <w:tc>
          <w:tcPr>
            <w:tcW w:w="1160" w:type="dxa"/>
            <w:vAlign w:val="bottom"/>
            <w:tcBorders>
              <w:top w:val="single" w:sz="8" w:color="auto"/>
            </w:tcBorders>
            <w:shd w:val="clear" w:color="auto" w:fill="E4E4E4"/>
          </w:tcPr>
          <w:p>
            <w:pPr>
              <w:spacing w:after="0"/>
              <w:rPr>
                <w:sz w:val="17"/>
                <w:szCs w:val="17"/>
                <w:color w:val="auto"/>
              </w:rPr>
            </w:pPr>
          </w:p>
        </w:tc>
        <w:tc>
          <w:tcPr>
            <w:tcW w:w="20" w:type="dxa"/>
            <w:vAlign w:val="bottom"/>
            <w:tcBorders>
              <w:top w:val="single" w:sz="8" w:color="E4E4E4"/>
            </w:tcBorders>
            <w:shd w:val="clear" w:color="auto" w:fill="E4E4E4"/>
          </w:tcPr>
          <w:p>
            <w:pPr>
              <w:spacing w:after="0"/>
              <w:rPr>
                <w:sz w:val="17"/>
                <w:szCs w:val="17"/>
                <w:color w:val="auto"/>
              </w:rPr>
            </w:pPr>
          </w:p>
        </w:tc>
        <w:tc>
          <w:tcPr>
            <w:tcW w:w="40" w:type="dxa"/>
            <w:vAlign w:val="bottom"/>
            <w:tcBorders>
              <w:top w:val="single" w:sz="8" w:color="E4E4E4"/>
            </w:tcBorders>
            <w:shd w:val="clear" w:color="auto" w:fill="E4E4E4"/>
          </w:tcPr>
          <w:p>
            <w:pPr>
              <w:spacing w:after="0"/>
              <w:rPr>
                <w:sz w:val="17"/>
                <w:szCs w:val="17"/>
                <w:color w:val="auto"/>
              </w:rPr>
            </w:pPr>
          </w:p>
        </w:tc>
        <w:tc>
          <w:tcPr>
            <w:tcW w:w="60" w:type="dxa"/>
            <w:vAlign w:val="bottom"/>
            <w:tcBorders>
              <w:top w:val="single" w:sz="8" w:color="E4E4E4"/>
            </w:tcBorders>
            <w:shd w:val="clear" w:color="auto" w:fill="E4E4E4"/>
          </w:tcPr>
          <w:p>
            <w:pPr>
              <w:spacing w:after="0"/>
              <w:rPr>
                <w:sz w:val="17"/>
                <w:szCs w:val="17"/>
                <w:color w:val="auto"/>
              </w:rPr>
            </w:pPr>
          </w:p>
        </w:tc>
        <w:tc>
          <w:tcPr>
            <w:tcW w:w="20" w:type="dxa"/>
            <w:vAlign w:val="bottom"/>
            <w:tcBorders>
              <w:top w:val="single" w:sz="8" w:color="E4E4E4"/>
            </w:tcBorders>
            <w:shd w:val="clear" w:color="auto" w:fill="E4E4E4"/>
          </w:tcPr>
          <w:p>
            <w:pPr>
              <w:spacing w:after="0"/>
              <w:rPr>
                <w:sz w:val="17"/>
                <w:szCs w:val="17"/>
                <w:color w:val="auto"/>
              </w:rPr>
            </w:pPr>
          </w:p>
        </w:tc>
        <w:tc>
          <w:tcPr>
            <w:tcW w:w="1200" w:type="dxa"/>
            <w:vAlign w:val="bottom"/>
            <w:tcBorders>
              <w:top w:val="single" w:sz="8" w:color="auto"/>
            </w:tcBorders>
            <w:shd w:val="clear" w:color="auto" w:fill="E4E4E4"/>
          </w:tcPr>
          <w:p>
            <w:pPr>
              <w:spacing w:after="0"/>
              <w:rPr>
                <w:sz w:val="17"/>
                <w:szCs w:val="17"/>
                <w:color w:val="auto"/>
              </w:rPr>
            </w:pPr>
          </w:p>
        </w:tc>
        <w:tc>
          <w:tcPr>
            <w:tcW w:w="80" w:type="dxa"/>
            <w:vAlign w:val="bottom"/>
            <w:tcBorders>
              <w:top w:val="single" w:sz="8" w:color="E4E4E4"/>
            </w:tcBorders>
            <w:shd w:val="clear" w:color="auto" w:fill="E4E4E4"/>
          </w:tcPr>
          <w:p>
            <w:pPr>
              <w:spacing w:after="0"/>
              <w:rPr>
                <w:sz w:val="17"/>
                <w:szCs w:val="17"/>
                <w:color w:val="auto"/>
              </w:rPr>
            </w:pPr>
          </w:p>
        </w:tc>
      </w:tr>
      <w:tr>
        <w:trPr>
          <w:trHeight w:val="230"/>
        </w:trPr>
        <w:tc>
          <w:tcPr>
            <w:tcW w:w="3920" w:type="dxa"/>
            <w:vAlign w:val="bottom"/>
            <w:shd w:val="clear" w:color="auto" w:fill="E4E4E4"/>
          </w:tcPr>
          <w:p>
            <w:pPr>
              <w:spacing w:after="0"/>
              <w:rPr>
                <w:sz w:val="20"/>
                <w:szCs w:val="20"/>
                <w:color w:val="auto"/>
              </w:rPr>
            </w:pPr>
            <w:r>
              <w:rPr>
                <w:rFonts w:ascii="Arial" w:cs="Arial" w:eastAsia="Arial" w:hAnsi="Arial"/>
                <w:sz w:val="20"/>
                <w:szCs w:val="20"/>
                <w:color w:val="auto"/>
              </w:rPr>
              <w:t>outstanding</w:t>
            </w:r>
          </w:p>
        </w:tc>
        <w:tc>
          <w:tcPr>
            <w:tcW w:w="60" w:type="dxa"/>
            <w:vAlign w:val="bottom"/>
            <w:tcBorders>
              <w:right w:val="single" w:sz="8" w:color="E4E4E4"/>
            </w:tcBorders>
          </w:tcPr>
          <w:p>
            <w:pPr>
              <w:spacing w:after="0"/>
              <w:rPr>
                <w:sz w:val="20"/>
                <w:szCs w:val="20"/>
                <w:color w:val="auto"/>
              </w:rPr>
            </w:pPr>
          </w:p>
        </w:tc>
        <w:tc>
          <w:tcPr>
            <w:tcW w:w="11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4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r>
      <w:tr>
        <w:trPr>
          <w:trHeight w:val="229"/>
        </w:trPr>
        <w:tc>
          <w:tcPr>
            <w:tcW w:w="3920" w:type="dxa"/>
            <w:vAlign w:val="bottom"/>
            <w:shd w:val="clear" w:color="auto" w:fill="E4E4E4"/>
          </w:tcPr>
          <w:p>
            <w:pPr>
              <w:ind w:left="160"/>
              <w:spacing w:after="0"/>
              <w:rPr>
                <w:sz w:val="20"/>
                <w:szCs w:val="20"/>
                <w:color w:val="auto"/>
              </w:rPr>
            </w:pPr>
            <w:r>
              <w:rPr>
                <w:rFonts w:ascii="Arial" w:cs="Arial" w:eastAsia="Arial" w:hAnsi="Arial"/>
                <w:sz w:val="20"/>
                <w:szCs w:val="20"/>
                <w:color w:val="auto"/>
              </w:rPr>
              <w:t>common stock options and the vesting of</w:t>
            </w:r>
          </w:p>
        </w:tc>
        <w:tc>
          <w:tcPr>
            <w:tcW w:w="60" w:type="dxa"/>
            <w:vAlign w:val="bottom"/>
            <w:tcBorders>
              <w:right w:val="single" w:sz="8" w:color="E4E4E4"/>
            </w:tcBorders>
          </w:tcPr>
          <w:p>
            <w:pPr>
              <w:spacing w:after="0"/>
              <w:rPr>
                <w:sz w:val="19"/>
                <w:szCs w:val="19"/>
                <w:color w:val="auto"/>
              </w:rPr>
            </w:pPr>
          </w:p>
        </w:tc>
        <w:tc>
          <w:tcPr>
            <w:tcW w:w="1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4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r>
      <w:tr>
        <w:trPr>
          <w:trHeight w:val="249"/>
        </w:trPr>
        <w:tc>
          <w:tcPr>
            <w:tcW w:w="3920" w:type="dxa"/>
            <w:vAlign w:val="bottom"/>
            <w:shd w:val="clear" w:color="auto" w:fill="E4E4E4"/>
          </w:tcPr>
          <w:p>
            <w:pPr>
              <w:ind w:left="160"/>
              <w:spacing w:after="0"/>
              <w:rPr>
                <w:sz w:val="20"/>
                <w:szCs w:val="20"/>
                <w:color w:val="auto"/>
              </w:rPr>
            </w:pPr>
            <w:r>
              <w:rPr>
                <w:rFonts w:ascii="Arial" w:cs="Arial" w:eastAsia="Arial" w:hAnsi="Arial"/>
                <w:sz w:val="20"/>
                <w:szCs w:val="20"/>
                <w:color w:val="auto"/>
              </w:rPr>
              <w:t>outstanding common restricted stock</w:t>
            </w:r>
          </w:p>
        </w:tc>
        <w:tc>
          <w:tcPr>
            <w:tcW w:w="60" w:type="dxa"/>
            <w:vAlign w:val="bottom"/>
            <w:tcBorders>
              <w:right w:val="single" w:sz="8" w:color="E4E4E4"/>
            </w:tcBorders>
          </w:tcPr>
          <w:p>
            <w:pPr>
              <w:spacing w:after="0"/>
              <w:rPr>
                <w:sz w:val="21"/>
                <w:szCs w:val="21"/>
                <w:color w:val="auto"/>
              </w:rPr>
            </w:pPr>
          </w:p>
        </w:tc>
        <w:tc>
          <w:tcPr>
            <w:tcW w:w="11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4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r>
      <w:tr>
        <w:trPr>
          <w:trHeight w:val="230"/>
        </w:trPr>
        <w:tc>
          <w:tcPr>
            <w:tcW w:w="3920" w:type="dxa"/>
            <w:vAlign w:val="bottom"/>
            <w:shd w:val="clear" w:color="auto" w:fill="E4E4E4"/>
          </w:tcPr>
          <w:p>
            <w:pPr>
              <w:ind w:left="160"/>
              <w:spacing w:after="0"/>
              <w:rPr>
                <w:sz w:val="20"/>
                <w:szCs w:val="20"/>
                <w:color w:val="auto"/>
              </w:rPr>
            </w:pPr>
            <w:r>
              <w:rPr>
                <w:rFonts w:ascii="Arial" w:cs="Arial" w:eastAsia="Arial" w:hAnsi="Arial"/>
                <w:sz w:val="20"/>
                <w:szCs w:val="20"/>
                <w:color w:val="auto"/>
              </w:rPr>
              <w:t>units granted</w:t>
            </w:r>
          </w:p>
        </w:tc>
        <w:tc>
          <w:tcPr>
            <w:tcW w:w="60" w:type="dxa"/>
            <w:vAlign w:val="bottom"/>
            <w:tcBorders>
              <w:right w:val="single" w:sz="8" w:color="E4E4E4"/>
            </w:tcBorders>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7,130,956</w:t>
            </w:r>
          </w:p>
        </w:tc>
        <w:tc>
          <w:tcPr>
            <w:tcW w:w="20" w:type="dxa"/>
            <w:vAlign w:val="bottom"/>
            <w:tcBorders>
              <w:bottom w:val="single" w:sz="8" w:color="E4E4E4"/>
            </w:tcBorders>
            <w:shd w:val="clear" w:color="auto" w:fill="E4E4E4"/>
          </w:tcPr>
          <w:p>
            <w:pPr>
              <w:spacing w:after="0"/>
              <w:rPr>
                <w:sz w:val="20"/>
                <w:szCs w:val="20"/>
                <w:color w:val="auto"/>
              </w:rPr>
            </w:pPr>
          </w:p>
        </w:tc>
        <w:tc>
          <w:tcPr>
            <w:tcW w:w="4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gridSpan w:val="2"/>
            <w:shd w:val="clear" w:color="auto" w:fill="E4E4E4"/>
          </w:tcPr>
          <w:p>
            <w:pPr>
              <w:jc w:val="right"/>
              <w:ind w:right="80"/>
              <w:spacing w:after="0"/>
              <w:rPr>
                <w:sz w:val="20"/>
                <w:szCs w:val="20"/>
                <w:color w:val="auto"/>
              </w:rPr>
            </w:pPr>
            <w:r>
              <w:rPr>
                <w:rFonts w:ascii="Arial" w:cs="Arial" w:eastAsia="Arial" w:hAnsi="Arial"/>
                <w:sz w:val="20"/>
                <w:szCs w:val="20"/>
                <w:color w:val="auto"/>
              </w:rPr>
              <w:t>4,269,861</w:t>
            </w:r>
          </w:p>
        </w:tc>
      </w:tr>
      <w:tr>
        <w:trPr>
          <w:trHeight w:val="190"/>
        </w:trPr>
        <w:tc>
          <w:tcPr>
            <w:tcW w:w="3920" w:type="dxa"/>
            <w:vAlign w:val="bottom"/>
          </w:tcPr>
          <w:p>
            <w:pPr>
              <w:spacing w:after="0" w:line="190" w:lineRule="exact"/>
              <w:rPr>
                <w:sz w:val="20"/>
                <w:szCs w:val="20"/>
                <w:color w:val="auto"/>
              </w:rPr>
            </w:pPr>
            <w:r>
              <w:rPr>
                <w:rFonts w:ascii="Arial" w:cs="Arial" w:eastAsia="Arial" w:hAnsi="Arial"/>
                <w:sz w:val="20"/>
                <w:szCs w:val="20"/>
                <w:color w:val="auto"/>
              </w:rPr>
              <w:t>Shares available for future grant under the</w:t>
            </w: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20"/>
                <w:szCs w:val="20"/>
                <w:color w:val="auto"/>
              </w:rPr>
              <w:t>2020</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3920" w:type="dxa"/>
            <w:vAlign w:val="bottom"/>
          </w:tcPr>
          <w:p>
            <w:pPr>
              <w:ind w:left="160"/>
              <w:spacing w:after="0"/>
              <w:rPr>
                <w:sz w:val="20"/>
                <w:szCs w:val="20"/>
                <w:color w:val="auto"/>
              </w:rPr>
            </w:pPr>
            <w:r>
              <w:rPr>
                <w:rFonts w:ascii="Arial" w:cs="Arial" w:eastAsia="Arial" w:hAnsi="Arial"/>
                <w:sz w:val="20"/>
                <w:szCs w:val="20"/>
                <w:color w:val="auto"/>
              </w:rPr>
              <w:t>Equity Incentive Plan</w:t>
            </w:r>
          </w:p>
        </w:tc>
        <w:tc>
          <w:tcPr>
            <w:tcW w:w="60" w:type="dxa"/>
            <w:vAlign w:val="bottom"/>
          </w:tcPr>
          <w:p>
            <w:pPr>
              <w:spacing w:after="0"/>
              <w:rPr>
                <w:sz w:val="21"/>
                <w:szCs w:val="21"/>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20"/>
                <w:szCs w:val="20"/>
                <w:color w:val="auto"/>
              </w:rPr>
              <w:t>3,158,094</w:t>
            </w:r>
          </w:p>
        </w:tc>
        <w:tc>
          <w:tcPr>
            <w:tcW w:w="1360" w:type="dxa"/>
            <w:vAlign w:val="bottom"/>
            <w:gridSpan w:val="4"/>
          </w:tcPr>
          <w:p>
            <w:pPr>
              <w:jc w:val="right"/>
              <w:ind w:right="80"/>
              <w:spacing w:after="0"/>
              <w:rPr>
                <w:sz w:val="20"/>
                <w:szCs w:val="20"/>
                <w:color w:val="auto"/>
              </w:rPr>
            </w:pPr>
            <w:r>
              <w:rPr>
                <w:rFonts w:ascii="Arial" w:cs="Arial" w:eastAsia="Arial" w:hAnsi="Arial"/>
                <w:sz w:val="20"/>
                <w:szCs w:val="20"/>
                <w:color w:val="auto"/>
              </w:rPr>
              <w:t>4,253,854</w:t>
            </w:r>
          </w:p>
        </w:tc>
      </w:tr>
      <w:tr>
        <w:trPr>
          <w:trHeight w:val="229"/>
        </w:trPr>
        <w:tc>
          <w:tcPr>
            <w:tcW w:w="3920" w:type="dxa"/>
            <w:vAlign w:val="bottom"/>
            <w:shd w:val="clear" w:color="auto" w:fill="E4E4E4"/>
          </w:tcPr>
          <w:p>
            <w:pPr>
              <w:spacing w:after="0"/>
              <w:rPr>
                <w:sz w:val="20"/>
                <w:szCs w:val="20"/>
                <w:color w:val="auto"/>
              </w:rPr>
            </w:pPr>
            <w:r>
              <w:rPr>
                <w:rFonts w:ascii="Arial" w:cs="Arial" w:eastAsia="Arial" w:hAnsi="Arial"/>
                <w:sz w:val="20"/>
                <w:szCs w:val="20"/>
                <w:color w:val="auto"/>
              </w:rPr>
              <w:t>Shares available for future grant under the</w:t>
            </w:r>
          </w:p>
        </w:tc>
        <w:tc>
          <w:tcPr>
            <w:tcW w:w="60" w:type="dxa"/>
            <w:vAlign w:val="bottom"/>
            <w:tcBorders>
              <w:right w:val="single" w:sz="8" w:color="E4E4E4"/>
            </w:tcBorders>
          </w:tcPr>
          <w:p>
            <w:pPr>
              <w:spacing w:after="0"/>
              <w:rPr>
                <w:sz w:val="19"/>
                <w:szCs w:val="19"/>
                <w:color w:val="auto"/>
              </w:rPr>
            </w:pPr>
          </w:p>
        </w:tc>
        <w:tc>
          <w:tcPr>
            <w:tcW w:w="1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4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r>
      <w:tr>
        <w:trPr>
          <w:trHeight w:val="230"/>
        </w:trPr>
        <w:tc>
          <w:tcPr>
            <w:tcW w:w="3920" w:type="dxa"/>
            <w:vAlign w:val="bottom"/>
            <w:shd w:val="clear" w:color="auto" w:fill="E4E4E4"/>
          </w:tcPr>
          <w:p>
            <w:pPr>
              <w:ind w:left="160"/>
              <w:spacing w:after="0"/>
              <w:rPr>
                <w:sz w:val="20"/>
                <w:szCs w:val="20"/>
                <w:color w:val="auto"/>
              </w:rPr>
            </w:pPr>
            <w:r>
              <w:rPr>
                <w:rFonts w:ascii="Arial" w:cs="Arial" w:eastAsia="Arial" w:hAnsi="Arial"/>
                <w:sz w:val="20"/>
                <w:szCs w:val="20"/>
                <w:color w:val="auto"/>
              </w:rPr>
              <w:t>Employee Stock Purchase Plan</w:t>
            </w:r>
          </w:p>
        </w:tc>
        <w:tc>
          <w:tcPr>
            <w:tcW w:w="60" w:type="dxa"/>
            <w:vAlign w:val="bottom"/>
            <w:tcBorders>
              <w:right w:val="single" w:sz="8" w:color="E4E4E4"/>
            </w:tcBorders>
          </w:tcPr>
          <w:p>
            <w:pPr>
              <w:spacing w:after="0"/>
              <w:rPr>
                <w:sz w:val="20"/>
                <w:szCs w:val="20"/>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1,128,732</w:t>
            </w:r>
          </w:p>
        </w:tc>
        <w:tc>
          <w:tcPr>
            <w:tcW w:w="20" w:type="dxa"/>
            <w:vAlign w:val="bottom"/>
            <w:shd w:val="clear" w:color="auto" w:fill="E4E4E4"/>
          </w:tcPr>
          <w:p>
            <w:pPr>
              <w:spacing w:after="0"/>
              <w:rPr>
                <w:sz w:val="20"/>
                <w:szCs w:val="20"/>
                <w:color w:val="auto"/>
              </w:rPr>
            </w:pPr>
          </w:p>
        </w:tc>
        <w:tc>
          <w:tcPr>
            <w:tcW w:w="4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80" w:type="dxa"/>
            <w:vAlign w:val="bottom"/>
            <w:gridSpan w:val="2"/>
            <w:shd w:val="clear" w:color="auto" w:fill="E4E4E4"/>
          </w:tcPr>
          <w:p>
            <w:pPr>
              <w:jc w:val="right"/>
              <w:ind w:right="80"/>
              <w:spacing w:after="0"/>
              <w:rPr>
                <w:sz w:val="20"/>
                <w:szCs w:val="20"/>
                <w:color w:val="auto"/>
              </w:rPr>
            </w:pPr>
            <w:r>
              <w:rPr>
                <w:rFonts w:ascii="Arial" w:cs="Arial" w:eastAsia="Arial" w:hAnsi="Arial"/>
                <w:sz w:val="20"/>
                <w:szCs w:val="20"/>
                <w:color w:val="auto"/>
              </w:rPr>
              <w:t>916,640</w:t>
            </w:r>
          </w:p>
        </w:tc>
      </w:tr>
      <w:tr>
        <w:trPr>
          <w:trHeight w:val="222"/>
        </w:trPr>
        <w:tc>
          <w:tcPr>
            <w:tcW w:w="3920" w:type="dxa"/>
            <w:vAlign w:val="bottom"/>
          </w:tcPr>
          <w:p>
            <w:pPr>
              <w:ind w:left="280"/>
              <w:spacing w:after="0" w:line="223" w:lineRule="exact"/>
              <w:rPr>
                <w:sz w:val="20"/>
                <w:szCs w:val="20"/>
                <w:color w:val="auto"/>
              </w:rPr>
            </w:pPr>
            <w:r>
              <w:rPr>
                <w:rFonts w:ascii="Arial" w:cs="Arial" w:eastAsia="Arial" w:hAnsi="Arial"/>
                <w:sz w:val="20"/>
                <w:szCs w:val="20"/>
                <w:color w:val="auto"/>
              </w:rPr>
              <w:t>Total</w:t>
            </w:r>
          </w:p>
        </w:tc>
        <w:tc>
          <w:tcPr>
            <w:tcW w:w="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11,417,782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9,440,355</w:t>
            </w:r>
          </w:p>
        </w:tc>
        <w:tc>
          <w:tcPr>
            <w:tcW w:w="8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9" w:lineRule="exact"/>
        <w:rPr>
          <w:sz w:val="20"/>
          <w:szCs w:val="20"/>
          <w:color w:val="auto"/>
        </w:rPr>
      </w:pPr>
    </w:p>
    <w:p>
      <w:pPr>
        <w:jc w:val="both"/>
        <w:ind w:firstLine="489"/>
        <w:spacing w:after="0" w:line="250" w:lineRule="auto"/>
        <w:rPr>
          <w:sz w:val="20"/>
          <w:szCs w:val="20"/>
          <w:color w:val="auto"/>
        </w:rPr>
      </w:pPr>
      <w:r>
        <w:rPr>
          <w:rFonts w:ascii="Arial" w:cs="Arial" w:eastAsia="Arial" w:hAnsi="Arial"/>
          <w:sz w:val="20"/>
          <w:szCs w:val="20"/>
          <w:color w:val="auto"/>
        </w:rPr>
        <w:t>The Company’s 2020 Equity Incentive Plan (“2020 Plan”) provides for annual increases in the number of shares that may be issued under the 2020 Plan on January 1, 2021 and each subsequent January 1, thereafter, by a number of shares equal to the least of (1) 3,230,000 shares, (2) 5% of the number of shares of common stock issued and outstanding on the immediately preceding December 31, and (3) an amount determined by the Company’s board of directors.</w:t>
      </w:r>
    </w:p>
    <w:p>
      <w:pPr>
        <w:spacing w:after="0" w:line="263" w:lineRule="exact"/>
        <w:rPr>
          <w:sz w:val="20"/>
          <w:szCs w:val="20"/>
          <w:color w:val="auto"/>
        </w:rPr>
      </w:pPr>
    </w:p>
    <w:p>
      <w:pPr>
        <w:jc w:val="both"/>
        <w:ind w:firstLine="489"/>
        <w:spacing w:after="0" w:line="250" w:lineRule="auto"/>
        <w:rPr>
          <w:sz w:val="20"/>
          <w:szCs w:val="20"/>
          <w:color w:val="auto"/>
        </w:rPr>
      </w:pPr>
      <w:r>
        <w:rPr>
          <w:rFonts w:ascii="Arial" w:cs="Arial" w:eastAsia="Arial" w:hAnsi="Arial"/>
          <w:sz w:val="20"/>
          <w:szCs w:val="20"/>
          <w:color w:val="auto"/>
        </w:rPr>
        <w:t>The Company’s 2020 Employee Stock Purchase Plan (“ESPP”) provides for annual increases in the number of shares that may be issued under the ESPP on January 1, 2021 and each subsequent January 1, thereafter, by a number of shares equal to the least of (1) 646,000 shares, (2) 1% of the number of shares of common stock issued and outstanding on the immediately preceding December 31, and (3) an amount determined by the Company’s board of directors.</w:t>
      </w:r>
    </w:p>
    <w:p>
      <w:pPr>
        <w:spacing w:after="0" w:line="262" w:lineRule="exact"/>
        <w:rPr>
          <w:sz w:val="20"/>
          <w:szCs w:val="20"/>
          <w:color w:val="auto"/>
        </w:rPr>
      </w:pPr>
    </w:p>
    <w:p>
      <w:pPr>
        <w:jc w:val="both"/>
        <w:ind w:firstLine="489"/>
        <w:spacing w:after="0" w:line="283" w:lineRule="auto"/>
        <w:rPr>
          <w:sz w:val="20"/>
          <w:szCs w:val="20"/>
          <w:color w:val="auto"/>
        </w:rPr>
      </w:pPr>
      <w:r>
        <w:rPr>
          <w:rFonts w:ascii="Arial" w:cs="Arial" w:eastAsia="Arial" w:hAnsi="Arial"/>
          <w:sz w:val="20"/>
          <w:szCs w:val="20"/>
          <w:color w:val="auto"/>
        </w:rPr>
        <w:t>Effective January 1, 2023, the Company’s 2020 Plan and ESPP reserves increased by 1,893,869 shares and 378,774 shares, respectively.</w:t>
      </w:r>
    </w:p>
    <w:p>
      <w:pPr>
        <w:spacing w:after="0" w:line="149" w:lineRule="exact"/>
        <w:rPr>
          <w:sz w:val="20"/>
          <w:szCs w:val="20"/>
          <w:color w:val="auto"/>
        </w:rPr>
      </w:pPr>
    </w:p>
    <w:p>
      <w:pPr>
        <w:jc w:val="both"/>
        <w:ind w:firstLine="489"/>
        <w:spacing w:after="0" w:line="282" w:lineRule="auto"/>
        <w:rPr>
          <w:sz w:val="20"/>
          <w:szCs w:val="20"/>
          <w:color w:val="auto"/>
        </w:rPr>
      </w:pPr>
      <w:r>
        <w:rPr>
          <w:rFonts w:ascii="Arial" w:cs="Arial" w:eastAsia="Arial" w:hAnsi="Arial"/>
          <w:sz w:val="20"/>
          <w:szCs w:val="20"/>
          <w:color w:val="auto"/>
        </w:rPr>
        <w:t>Effective January 1, 2024, the Company’s 2020 Plan and ESPP reserves increased by 1,908,630 shares and 381,726 shares, respectively.</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Stock-based Compensation</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Stock-based compensation expense recognized was as follows (in thousands):</w:t>
      </w:r>
    </w:p>
    <w:p>
      <w:pPr>
        <w:spacing w:after="0" w:line="229" w:lineRule="exact"/>
        <w:rPr>
          <w:sz w:val="20"/>
          <w:szCs w:val="20"/>
          <w:color w:val="auto"/>
        </w:rPr>
      </w:pPr>
    </w:p>
    <w:p>
      <w:pPr>
        <w:jc w:val="center"/>
        <w:ind w:left="4440"/>
        <w:spacing w:after="0"/>
        <w:rPr>
          <w:sz w:val="20"/>
          <w:szCs w:val="20"/>
          <w:color w:val="auto"/>
        </w:rPr>
      </w:pPr>
      <w:r>
        <w:rPr>
          <w:rFonts w:ascii="Arial" w:cs="Arial" w:eastAsia="Arial" w:hAnsi="Arial"/>
          <w:sz w:val="16"/>
          <w:szCs w:val="16"/>
          <w:b w:val="1"/>
          <w:bCs w:val="1"/>
          <w:color w:val="auto"/>
        </w:rPr>
        <w:t>Year Ended</w:t>
      </w:r>
    </w:p>
    <w:p>
      <w:pPr>
        <w:spacing w:after="0" w:line="25" w:lineRule="exact"/>
        <w:rPr>
          <w:sz w:val="20"/>
          <w:szCs w:val="20"/>
          <w:color w:val="auto"/>
        </w:rPr>
      </w:pPr>
    </w:p>
    <w:p>
      <w:pPr>
        <w:jc w:val="center"/>
        <w:ind w:left="44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3778250</wp:posOffset>
                </wp:positionH>
                <wp:positionV relativeFrom="paragraph">
                  <wp:posOffset>-635</wp:posOffset>
                </wp:positionV>
                <wp:extent cx="123761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761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5pt,-0.0499pt" to="394.95pt,-0.0499pt" o:allowincell="f" strokecolor="#000000" strokeweight="0.4799pt"/>
            </w:pict>
          </mc:Fallback>
        </mc:AlternateContent>
      </w:r>
    </w:p>
    <w:p>
      <w:pPr>
        <w:ind w:left="6240"/>
        <w:spacing w:after="0"/>
        <w:tabs>
          <w:tab w:leader="none" w:pos="724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5015865</wp:posOffset>
                </wp:positionH>
                <wp:positionV relativeFrom="paragraph">
                  <wp:posOffset>2540</wp:posOffset>
                </wp:positionV>
                <wp:extent cx="3556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560" cy="4763"/>
                        </a:xfrm>
                        <a:prstGeom prst="line">
                          <a:avLst/>
                        </a:prstGeom>
                        <a:solidFill>
                          <a:srgbClr val="FFFFFF"/>
                        </a:solidFill>
                        <a:ln w="6096">
                          <a:solidFill>
                            <a:srgbClr val="E4E4E4"/>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95pt,0.2pt" to="397.75pt,0.2pt" o:allowincell="f" strokecolor="#E4E4E4" strokeweight="0.48pt"/>
            </w:pict>
          </mc:Fallback>
        </mc:AlternateContent>
      </w:r>
    </w:p>
    <w:tbl>
      <w:tblPr>
        <w:tblLayout w:type="fixed"/>
        <w:tblInd w:w="1400" w:type="dxa"/>
        <w:tblCellMar>
          <w:top w:w="0" w:type="dxa"/>
          <w:left w:w="0" w:type="dxa"/>
          <w:bottom w:w="0" w:type="dxa"/>
          <w:right w:w="0" w:type="dxa"/>
        </w:tblCellMar>
      </w:tblPr>
      <w:tr>
        <w:trPr>
          <w:trHeight w:val="20"/>
        </w:trPr>
        <w:tc>
          <w:tcPr>
            <w:tcW w:w="4500" w:type="dxa"/>
            <w:vAlign w:val="bottom"/>
            <w:shd w:val="clear" w:color="auto" w:fill="E4E4E4"/>
          </w:tcPr>
          <w:p>
            <w:pPr>
              <w:spacing w:after="0" w:line="20" w:lineRule="exact"/>
              <w:rPr>
                <w:sz w:val="1"/>
                <w:szCs w:val="1"/>
                <w:color w:val="auto"/>
              </w:rPr>
            </w:pPr>
          </w:p>
        </w:tc>
        <w:tc>
          <w:tcPr>
            <w:tcW w:w="60" w:type="dxa"/>
            <w:vAlign w:val="bottom"/>
            <w:tcBorders>
              <w:right w:val="single" w:sz="8" w:color="E4E4E4"/>
            </w:tcBorders>
            <w:shd w:val="clear" w:color="auto" w:fill="E4E4E4"/>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E4E4E4"/>
            </w:tcBorders>
            <w:shd w:val="clear" w:color="auto" w:fill="E4E4E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500" w:type="dxa"/>
            <w:vAlign w:val="bottom"/>
            <w:shd w:val="clear" w:color="auto" w:fill="E4E4E4"/>
          </w:tcPr>
          <w:p>
            <w:pPr>
              <w:spacing w:after="0" w:line="199" w:lineRule="exact"/>
              <w:rPr>
                <w:sz w:val="20"/>
                <w:szCs w:val="20"/>
                <w:color w:val="auto"/>
              </w:rPr>
            </w:pPr>
            <w:r>
              <w:rPr>
                <w:rFonts w:ascii="Arial" w:cs="Arial" w:eastAsia="Arial" w:hAnsi="Arial"/>
                <w:sz w:val="20"/>
                <w:szCs w:val="20"/>
                <w:color w:val="auto"/>
              </w:rPr>
              <w:t>Research and development</w:t>
            </w:r>
          </w:p>
        </w:tc>
        <w:tc>
          <w:tcPr>
            <w:tcW w:w="260" w:type="dxa"/>
            <w:vAlign w:val="bottom"/>
            <w:gridSpan w:val="2"/>
            <w:shd w:val="clear" w:color="auto" w:fill="E4E4E4"/>
          </w:tcPr>
          <w:p>
            <w:pPr>
              <w:jc w:val="right"/>
              <w:ind w:right="100"/>
              <w:spacing w:after="0" w:line="199" w:lineRule="exact"/>
              <w:rPr>
                <w:sz w:val="20"/>
                <w:szCs w:val="20"/>
                <w:color w:val="auto"/>
              </w:rPr>
            </w:pPr>
            <w:r>
              <w:rPr>
                <w:rFonts w:ascii="Arial" w:cs="Arial" w:eastAsia="Arial" w:hAnsi="Arial"/>
                <w:sz w:val="20"/>
                <w:szCs w:val="20"/>
                <w:color w:val="auto"/>
              </w:rPr>
              <w:t>$</w:t>
            </w:r>
          </w:p>
        </w:tc>
        <w:tc>
          <w:tcPr>
            <w:tcW w:w="820" w:type="dxa"/>
            <w:vAlign w:val="bottom"/>
            <w:tcBorders>
              <w:right w:val="single" w:sz="8" w:color="E4E4E4"/>
            </w:tcBorders>
            <w:gridSpan w:val="2"/>
            <w:shd w:val="clear" w:color="auto" w:fill="E4E4E4"/>
          </w:tcPr>
          <w:p>
            <w:pPr>
              <w:jc w:val="right"/>
              <w:ind w:right="120"/>
              <w:spacing w:after="0" w:line="199" w:lineRule="exact"/>
              <w:rPr>
                <w:sz w:val="20"/>
                <w:szCs w:val="20"/>
                <w:color w:val="auto"/>
              </w:rPr>
            </w:pPr>
            <w:r>
              <w:rPr>
                <w:rFonts w:ascii="Arial" w:cs="Arial" w:eastAsia="Arial" w:hAnsi="Arial"/>
                <w:sz w:val="20"/>
                <w:szCs w:val="20"/>
                <w:color w:val="auto"/>
              </w:rPr>
              <w:t>4,003</w:t>
            </w:r>
          </w:p>
        </w:tc>
        <w:tc>
          <w:tcPr>
            <w:tcW w:w="220" w:type="dxa"/>
            <w:vAlign w:val="bottom"/>
            <w:shd w:val="clear" w:color="auto" w:fill="E4E4E4"/>
          </w:tcPr>
          <w:p>
            <w:pPr>
              <w:jc w:val="right"/>
              <w:spacing w:after="0" w:line="199" w:lineRule="exact"/>
              <w:rPr>
                <w:sz w:val="20"/>
                <w:szCs w:val="20"/>
                <w:color w:val="auto"/>
              </w:rPr>
            </w:pPr>
            <w:r>
              <w:rPr>
                <w:rFonts w:ascii="Arial" w:cs="Arial" w:eastAsia="Arial" w:hAnsi="Arial"/>
                <w:sz w:val="20"/>
                <w:szCs w:val="20"/>
                <w:color w:val="auto"/>
                <w:w w:val="89"/>
              </w:rPr>
              <w:t>$</w:t>
            </w:r>
          </w:p>
        </w:tc>
        <w:tc>
          <w:tcPr>
            <w:tcW w:w="760" w:type="dxa"/>
            <w:vAlign w:val="bottom"/>
            <w:gridSpan w:val="2"/>
            <w:shd w:val="clear" w:color="auto" w:fill="E4E4E4"/>
          </w:tcPr>
          <w:p>
            <w:pPr>
              <w:jc w:val="right"/>
              <w:ind w:right="60"/>
              <w:spacing w:after="0" w:line="199" w:lineRule="exact"/>
              <w:rPr>
                <w:sz w:val="20"/>
                <w:szCs w:val="20"/>
                <w:color w:val="auto"/>
              </w:rPr>
            </w:pPr>
            <w:r>
              <w:rPr>
                <w:rFonts w:ascii="Arial" w:cs="Arial" w:eastAsia="Arial" w:hAnsi="Arial"/>
                <w:sz w:val="20"/>
                <w:szCs w:val="20"/>
                <w:color w:val="auto"/>
              </w:rPr>
              <w:t>3,217</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20"/>
                <w:szCs w:val="20"/>
                <w:color w:val="auto"/>
              </w:rPr>
              <w:t>General and administrative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20"/>
                <w:szCs w:val="20"/>
                <w:color w:val="auto"/>
              </w:rPr>
              <w:t>6,620</w:t>
            </w:r>
          </w:p>
        </w:tc>
        <w:tc>
          <w:tcPr>
            <w:tcW w:w="2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20"/>
                <w:szCs w:val="20"/>
                <w:color w:val="auto"/>
              </w:rPr>
              <w:t>7,389</w:t>
            </w: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E4E4E4"/>
          </w:tcPr>
          <w:p>
            <w:pPr>
              <w:ind w:left="280"/>
              <w:spacing w:after="0"/>
              <w:rPr>
                <w:sz w:val="20"/>
                <w:szCs w:val="20"/>
                <w:color w:val="auto"/>
              </w:rPr>
            </w:pPr>
            <w:r>
              <w:rPr>
                <w:rFonts w:ascii="Arial" w:cs="Arial" w:eastAsia="Arial" w:hAnsi="Arial"/>
                <w:sz w:val="20"/>
                <w:szCs w:val="20"/>
                <w:color w:val="auto"/>
              </w:rPr>
              <w:t>Total stock-based compensation expense</w:t>
            </w:r>
          </w:p>
        </w:tc>
        <w:tc>
          <w:tcPr>
            <w:tcW w:w="60" w:type="dxa"/>
            <w:vAlign w:val="bottom"/>
            <w:tcBorders>
              <w:right w:val="single" w:sz="8" w:color="E4E4E4"/>
            </w:tcBorders>
            <w:shd w:val="clear" w:color="auto" w:fill="E4E4E4"/>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E4E4E4"/>
            </w:tcBorders>
            <w:shd w:val="clear" w:color="auto" w:fill="E4E4E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00" w:type="dxa"/>
            <w:vAlign w:val="bottom"/>
            <w:vMerge w:val="continue"/>
            <w:shd w:val="clear" w:color="auto" w:fill="E4E4E4"/>
          </w:tcPr>
          <w:p>
            <w:pPr>
              <w:spacing w:after="0"/>
              <w:rPr>
                <w:sz w:val="19"/>
                <w:szCs w:val="19"/>
                <w:color w:val="auto"/>
              </w:rPr>
            </w:pPr>
          </w:p>
        </w:tc>
        <w:tc>
          <w:tcPr>
            <w:tcW w:w="260" w:type="dxa"/>
            <w:vAlign w:val="bottom"/>
            <w:gridSpan w:val="2"/>
            <w:shd w:val="clear" w:color="auto" w:fill="E4E4E4"/>
          </w:tcPr>
          <w:p>
            <w:pPr>
              <w:jc w:val="right"/>
              <w:ind w:right="100"/>
              <w:spacing w:after="0" w:line="221" w:lineRule="exact"/>
              <w:rPr>
                <w:sz w:val="20"/>
                <w:szCs w:val="20"/>
                <w:color w:val="auto"/>
              </w:rPr>
            </w:pPr>
            <w:r>
              <w:rPr>
                <w:rFonts w:ascii="Arial" w:cs="Arial" w:eastAsia="Arial" w:hAnsi="Arial"/>
                <w:sz w:val="20"/>
                <w:szCs w:val="20"/>
                <w:color w:val="auto"/>
              </w:rPr>
              <w:t>$</w:t>
            </w:r>
          </w:p>
        </w:tc>
        <w:tc>
          <w:tcPr>
            <w:tcW w:w="820" w:type="dxa"/>
            <w:vAlign w:val="bottom"/>
            <w:tcBorders>
              <w:right w:val="single" w:sz="8" w:color="E4E4E4"/>
            </w:tcBorders>
            <w:gridSpan w:val="2"/>
            <w:shd w:val="clear" w:color="auto" w:fill="E4E4E4"/>
          </w:tcPr>
          <w:p>
            <w:pPr>
              <w:jc w:val="right"/>
              <w:ind w:right="120"/>
              <w:spacing w:after="0" w:line="221" w:lineRule="exact"/>
              <w:rPr>
                <w:sz w:val="20"/>
                <w:szCs w:val="20"/>
                <w:color w:val="auto"/>
              </w:rPr>
            </w:pPr>
            <w:r>
              <w:rPr>
                <w:rFonts w:ascii="Arial" w:cs="Arial" w:eastAsia="Arial" w:hAnsi="Arial"/>
                <w:sz w:val="20"/>
                <w:szCs w:val="20"/>
                <w:color w:val="auto"/>
              </w:rPr>
              <w:t>10,623</w:t>
            </w:r>
          </w:p>
        </w:tc>
        <w:tc>
          <w:tcPr>
            <w:tcW w:w="220" w:type="dxa"/>
            <w:vAlign w:val="bottom"/>
            <w:shd w:val="clear" w:color="auto" w:fill="E4E4E4"/>
          </w:tcPr>
          <w:p>
            <w:pPr>
              <w:jc w:val="right"/>
              <w:spacing w:after="0" w:line="221" w:lineRule="exact"/>
              <w:rPr>
                <w:sz w:val="20"/>
                <w:szCs w:val="20"/>
                <w:color w:val="auto"/>
              </w:rPr>
            </w:pPr>
            <w:r>
              <w:rPr>
                <w:rFonts w:ascii="Arial" w:cs="Arial" w:eastAsia="Arial" w:hAnsi="Arial"/>
                <w:sz w:val="20"/>
                <w:szCs w:val="20"/>
                <w:color w:val="auto"/>
                <w:w w:val="89"/>
              </w:rPr>
              <w:t>$</w:t>
            </w:r>
          </w:p>
        </w:tc>
        <w:tc>
          <w:tcPr>
            <w:tcW w:w="760" w:type="dxa"/>
            <w:vAlign w:val="bottom"/>
            <w:gridSpan w:val="2"/>
            <w:shd w:val="clear" w:color="auto" w:fill="E4E4E4"/>
          </w:tcPr>
          <w:p>
            <w:pPr>
              <w:jc w:val="right"/>
              <w:ind w:right="60"/>
              <w:spacing w:after="0" w:line="221" w:lineRule="exact"/>
              <w:rPr>
                <w:sz w:val="20"/>
                <w:szCs w:val="20"/>
                <w:color w:val="auto"/>
              </w:rPr>
            </w:pPr>
            <w:r>
              <w:rPr>
                <w:rFonts w:ascii="Arial" w:cs="Arial" w:eastAsia="Arial" w:hAnsi="Arial"/>
                <w:sz w:val="20"/>
                <w:szCs w:val="20"/>
                <w:color w:val="auto"/>
              </w:rPr>
              <w:t>10,606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5015865</wp:posOffset>
                </wp:positionH>
                <wp:positionV relativeFrom="paragraph">
                  <wp:posOffset>-177800</wp:posOffset>
                </wp:positionV>
                <wp:extent cx="3556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560" cy="4763"/>
                        </a:xfrm>
                        <a:prstGeom prst="line">
                          <a:avLst/>
                        </a:prstGeom>
                        <a:solidFill>
                          <a:srgbClr val="FFFFFF"/>
                        </a:solidFill>
                        <a:ln w="6107">
                          <a:solidFill>
                            <a:srgbClr val="E4E4E4"/>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95pt,-14pt" to="397.75pt,-14pt" o:allowincell="f" strokecolor="#E4E4E4" strokeweight="0.4809pt"/>
            </w:pict>
          </mc:Fallback>
        </mc:AlternateContent>
      </w:r>
    </w:p>
    <w:p>
      <w:pPr>
        <w:spacing w:after="0" w:line="354"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Valuation Assumptions</w:t>
      </w:r>
    </w:p>
    <w:p>
      <w:pPr>
        <w:spacing w:after="0" w:line="116" w:lineRule="exact"/>
        <w:rPr>
          <w:sz w:val="20"/>
          <w:szCs w:val="20"/>
          <w:color w:val="auto"/>
        </w:rPr>
      </w:pPr>
    </w:p>
    <w:p>
      <w:pPr>
        <w:ind w:firstLine="490"/>
        <w:spacing w:after="0" w:line="283" w:lineRule="auto"/>
        <w:rPr>
          <w:sz w:val="20"/>
          <w:szCs w:val="20"/>
          <w:color w:val="auto"/>
        </w:rPr>
      </w:pPr>
      <w:r>
        <w:rPr>
          <w:rFonts w:ascii="Arial" w:cs="Arial" w:eastAsia="Arial" w:hAnsi="Arial"/>
          <w:sz w:val="20"/>
          <w:szCs w:val="20"/>
          <w:color w:val="auto"/>
        </w:rPr>
        <w:t>The fair value of stock options was determined using the Black-Scholes option-pricing model and the assumptions below. Each of these inputs is subjective and generally required significant judgment.</w:t>
      </w:r>
    </w:p>
    <w:p>
      <w:pPr>
        <w:spacing w:after="0" w:line="50" w:lineRule="exact"/>
        <w:rPr>
          <w:sz w:val="20"/>
          <w:szCs w:val="20"/>
          <w:color w:val="auto"/>
        </w:rPr>
      </w:pPr>
    </w:p>
    <w:p>
      <w:pPr>
        <w:jc w:val="both"/>
        <w:ind w:left="980" w:hanging="491"/>
        <w:spacing w:after="0" w:line="262" w:lineRule="auto"/>
        <w:tabs>
          <w:tab w:leader="none" w:pos="980" w:val="left"/>
        </w:tabs>
        <w:numPr>
          <w:ilvl w:val="0"/>
          <w:numId w:val="69"/>
        </w:numPr>
        <w:rPr>
          <w:rFonts w:ascii="Arial" w:cs="Arial" w:eastAsia="Arial" w:hAnsi="Arial"/>
          <w:sz w:val="20"/>
          <w:szCs w:val="20"/>
          <w:color w:val="auto"/>
        </w:rPr>
      </w:pPr>
      <w:r>
        <w:rPr>
          <w:rFonts w:ascii="Arial" w:cs="Arial" w:eastAsia="Arial" w:hAnsi="Arial"/>
          <w:sz w:val="20"/>
          <w:szCs w:val="20"/>
          <w:i w:val="1"/>
          <w:iCs w:val="1"/>
          <w:color w:val="auto"/>
        </w:rPr>
        <w:t>Fair Value of Common Stock</w:t>
      </w:r>
      <w:r>
        <w:rPr>
          <w:rFonts w:ascii="Arial" w:cs="Arial" w:eastAsia="Arial" w:hAnsi="Arial"/>
          <w:sz w:val="20"/>
          <w:szCs w:val="20"/>
          <w:color w:val="auto"/>
        </w:rPr>
        <w:t>—The fair value of each share of common stock is based on the</w:t>
      </w:r>
      <w:r>
        <w:rPr>
          <w:rFonts w:ascii="Arial" w:cs="Arial" w:eastAsia="Arial" w:hAnsi="Arial"/>
          <w:sz w:val="20"/>
          <w:szCs w:val="20"/>
          <w:i w:val="1"/>
          <w:iCs w:val="1"/>
          <w:color w:val="auto"/>
        </w:rPr>
        <w:t xml:space="preserve"> </w:t>
      </w:r>
      <w:r>
        <w:rPr>
          <w:rFonts w:ascii="Arial" w:cs="Arial" w:eastAsia="Arial" w:hAnsi="Arial"/>
          <w:sz w:val="20"/>
          <w:szCs w:val="20"/>
          <w:color w:val="auto"/>
        </w:rPr>
        <w:t>closing price of the Company’s common stock on the date of grant, or other relevant determination date, as reported on The Nasdaq Global Select Market.</w: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152</w:t>
      </w:r>
    </w:p>
    <w:p>
      <w:pPr>
        <w:sectPr>
          <w:pgSz w:w="11880" w:h="15474" w:orient="portrait"/>
          <w:cols w:equalWidth="0" w:num="1">
            <w:col w:w="9360"/>
          </w:cols>
          <w:pgMar w:left="1240" w:top="1255" w:right="1274" w:bottom="0" w:gutter="0" w:footer="0" w:header="0"/>
          <w:type w:val="continuous"/>
        </w:sectPr>
      </w:pPr>
    </w:p>
    <w:bookmarkStart w:id="158" w:name="page159"/>
    <w:bookmarkEnd w:id="158"/>
    <w:p>
      <w:pPr>
        <w:jc w:val="both"/>
        <w:ind w:left="980" w:hanging="491"/>
        <w:spacing w:after="0" w:line="261" w:lineRule="auto"/>
        <w:tabs>
          <w:tab w:leader="none" w:pos="980" w:val="left"/>
        </w:tabs>
        <w:numPr>
          <w:ilvl w:val="0"/>
          <w:numId w:val="70"/>
        </w:numPr>
        <w:rPr>
          <w:rFonts w:ascii="Arial" w:cs="Arial" w:eastAsia="Arial" w:hAnsi="Arial"/>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—The risk-free interest rate is based on the U.S. Treasury zero coupon</w:t>
      </w:r>
      <w:r>
        <w:rPr>
          <w:rFonts w:ascii="Arial" w:cs="Arial" w:eastAsia="Arial" w:hAnsi="Arial"/>
          <w:sz w:val="20"/>
          <w:szCs w:val="20"/>
          <w:i w:val="1"/>
          <w:iCs w:val="1"/>
          <w:color w:val="auto"/>
        </w:rPr>
        <w:t xml:space="preserve"> </w:t>
      </w:r>
      <w:r>
        <w:rPr>
          <w:rFonts w:ascii="Arial" w:cs="Arial" w:eastAsia="Arial" w:hAnsi="Arial"/>
          <w:sz w:val="20"/>
          <w:szCs w:val="20"/>
          <w:color w:val="auto"/>
        </w:rPr>
        <w:t>issues in effect at the time of grant for periods corresponding with the expected term of the option.</w:t>
      </w:r>
    </w:p>
    <w:p>
      <w:pPr>
        <w:spacing w:after="0" w:line="72" w:lineRule="exact"/>
        <w:rPr>
          <w:rFonts w:ascii="Arial" w:cs="Arial" w:eastAsia="Arial" w:hAnsi="Arial"/>
          <w:sz w:val="20"/>
          <w:szCs w:val="20"/>
          <w:color w:val="auto"/>
        </w:rPr>
      </w:pPr>
    </w:p>
    <w:p>
      <w:pPr>
        <w:jc w:val="both"/>
        <w:ind w:left="980" w:hanging="491"/>
        <w:spacing w:after="0" w:line="247" w:lineRule="auto"/>
        <w:tabs>
          <w:tab w:leader="none" w:pos="980" w:val="left"/>
        </w:tabs>
        <w:numPr>
          <w:ilvl w:val="0"/>
          <w:numId w:val="70"/>
        </w:numPr>
        <w:rPr>
          <w:rFonts w:ascii="Arial" w:cs="Arial" w:eastAsia="Arial" w:hAnsi="Arial"/>
          <w:sz w:val="20"/>
          <w:szCs w:val="20"/>
          <w:color w:val="auto"/>
        </w:rPr>
      </w:pPr>
      <w:r>
        <w:rPr>
          <w:rFonts w:ascii="Arial" w:cs="Arial" w:eastAsia="Arial" w:hAnsi="Arial"/>
          <w:sz w:val="20"/>
          <w:szCs w:val="20"/>
          <w:i w:val="1"/>
          <w:iCs w:val="1"/>
          <w:color w:val="auto"/>
        </w:rPr>
        <w:t>Expected Volatility</w:t>
      </w:r>
      <w:r>
        <w:rPr>
          <w:rFonts w:ascii="Arial" w:cs="Arial" w:eastAsia="Arial" w:hAnsi="Arial"/>
          <w:sz w:val="20"/>
          <w:szCs w:val="20"/>
          <w:color w:val="auto"/>
        </w:rPr>
        <w:t>—Because the Company was previously privately held and did not have any</w:t>
      </w:r>
      <w:r>
        <w:rPr>
          <w:rFonts w:ascii="Arial" w:cs="Arial" w:eastAsia="Arial" w:hAnsi="Arial"/>
          <w:sz w:val="20"/>
          <w:szCs w:val="20"/>
          <w:i w:val="1"/>
          <w:iCs w:val="1"/>
          <w:color w:val="auto"/>
        </w:rPr>
        <w:t xml:space="preserve"> </w:t>
      </w:r>
      <w:r>
        <w:rPr>
          <w:rFonts w:ascii="Arial" w:cs="Arial" w:eastAsia="Arial" w:hAnsi="Arial"/>
          <w:sz w:val="20"/>
          <w:szCs w:val="20"/>
          <w:color w:val="auto"/>
        </w:rPr>
        <w:t>trading history for its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87" w:lineRule="exact"/>
        <w:rPr>
          <w:rFonts w:ascii="Arial" w:cs="Arial" w:eastAsia="Arial" w:hAnsi="Arial"/>
          <w:sz w:val="20"/>
          <w:szCs w:val="20"/>
          <w:color w:val="auto"/>
        </w:rPr>
      </w:pPr>
    </w:p>
    <w:p>
      <w:pPr>
        <w:jc w:val="both"/>
        <w:ind w:left="980" w:hanging="491"/>
        <w:spacing w:after="0" w:line="254" w:lineRule="auto"/>
        <w:tabs>
          <w:tab w:leader="none" w:pos="980" w:val="left"/>
        </w:tabs>
        <w:numPr>
          <w:ilvl w:val="0"/>
          <w:numId w:val="70"/>
        </w:numPr>
        <w:rPr>
          <w:rFonts w:ascii="Arial" w:cs="Arial" w:eastAsia="Arial" w:hAnsi="Arial"/>
          <w:sz w:val="20"/>
          <w:szCs w:val="20"/>
          <w:color w:val="auto"/>
        </w:rPr>
      </w:pPr>
      <w:r>
        <w:rPr>
          <w:rFonts w:ascii="Arial" w:cs="Arial" w:eastAsia="Arial" w:hAnsi="Arial"/>
          <w:sz w:val="20"/>
          <w:szCs w:val="20"/>
          <w:i w:val="1"/>
          <w:iCs w:val="1"/>
          <w:color w:val="auto"/>
        </w:rPr>
        <w:t>Expected Term</w:t>
      </w:r>
      <w:r>
        <w:rPr>
          <w:rFonts w:ascii="Arial" w:cs="Arial" w:eastAsia="Arial" w:hAnsi="Arial"/>
          <w:sz w:val="20"/>
          <w:szCs w:val="20"/>
          <w:color w:val="auto"/>
        </w:rPr>
        <w:t>—The expected term represents the period that the stock-based awards are</w:t>
      </w:r>
      <w:r>
        <w:rPr>
          <w:rFonts w:ascii="Arial" w:cs="Arial" w:eastAsia="Arial" w:hAnsi="Arial"/>
          <w:sz w:val="20"/>
          <w:szCs w:val="20"/>
          <w:i w:val="1"/>
          <w:iCs w:val="1"/>
          <w:color w:val="auto"/>
        </w:rPr>
        <w:t xml:space="preserve"> </w:t>
      </w:r>
      <w:r>
        <w:rPr>
          <w:rFonts w:ascii="Arial" w:cs="Arial" w:eastAsia="Arial" w:hAnsi="Arial"/>
          <w:sz w:val="20"/>
          <w:szCs w:val="20"/>
          <w:color w:val="auto"/>
        </w:rPr>
        <w:t>expected to be outstanding and is determined using the simplified method (based on the midpoint between the vesting date and the end of the contractual term) as the Company has limited history of relevant stock option exercise activity.</w:t>
      </w:r>
    </w:p>
    <w:p>
      <w:pPr>
        <w:spacing w:after="0" w:line="80" w:lineRule="exact"/>
        <w:rPr>
          <w:rFonts w:ascii="Arial" w:cs="Arial" w:eastAsia="Arial" w:hAnsi="Arial"/>
          <w:sz w:val="20"/>
          <w:szCs w:val="20"/>
          <w:color w:val="auto"/>
        </w:rPr>
      </w:pPr>
    </w:p>
    <w:p>
      <w:pPr>
        <w:jc w:val="both"/>
        <w:ind w:left="980" w:hanging="492"/>
        <w:spacing w:after="0" w:line="261" w:lineRule="auto"/>
        <w:tabs>
          <w:tab w:leader="none" w:pos="980" w:val="left"/>
        </w:tabs>
        <w:numPr>
          <w:ilvl w:val="0"/>
          <w:numId w:val="70"/>
        </w:numPr>
        <w:rPr>
          <w:rFonts w:ascii="Arial" w:cs="Arial" w:eastAsia="Arial" w:hAnsi="Arial"/>
          <w:sz w:val="20"/>
          <w:szCs w:val="20"/>
          <w:color w:val="auto"/>
        </w:rPr>
      </w:pPr>
      <w:r>
        <w:rPr>
          <w:rFonts w:ascii="Arial" w:cs="Arial" w:eastAsia="Arial" w:hAnsi="Arial"/>
          <w:sz w:val="20"/>
          <w:szCs w:val="20"/>
          <w:i w:val="1"/>
          <w:iCs w:val="1"/>
          <w:color w:val="auto"/>
        </w:rPr>
        <w:t>Expected Dividend Yield</w:t>
      </w:r>
      <w:r>
        <w:rPr>
          <w:rFonts w:ascii="Arial" w:cs="Arial" w:eastAsia="Arial" w:hAnsi="Arial"/>
          <w:sz w:val="20"/>
          <w:szCs w:val="20"/>
          <w:color w:val="auto"/>
        </w:rPr>
        <w:t>—The Company has never paid dividends on its common stock and</w:t>
      </w:r>
      <w:r>
        <w:rPr>
          <w:rFonts w:ascii="Arial" w:cs="Arial" w:eastAsia="Arial" w:hAnsi="Arial"/>
          <w:sz w:val="20"/>
          <w:szCs w:val="20"/>
          <w:i w:val="1"/>
          <w:iCs w:val="1"/>
          <w:color w:val="auto"/>
        </w:rPr>
        <w:t xml:space="preserve"> </w:t>
      </w:r>
      <w:r>
        <w:rPr>
          <w:rFonts w:ascii="Arial" w:cs="Arial" w:eastAsia="Arial" w:hAnsi="Arial"/>
          <w:sz w:val="20"/>
          <w:szCs w:val="20"/>
          <w:color w:val="auto"/>
        </w:rPr>
        <w:t>has no plans to pay dividends going forward. Therefore, it used an expected dividend yield of zero.</w:t>
      </w:r>
    </w:p>
    <w:p>
      <w:pPr>
        <w:spacing w:after="0" w:line="180"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The fair value of each stock option was estimated using the Black-Scholes option-pricing model with the following weighted-average assumptions:</w:t>
      </w:r>
    </w:p>
    <w:p>
      <w:pPr>
        <w:spacing w:after="0" w:line="149"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2100" w:type="dxa"/>
            <w:vAlign w:val="bottom"/>
            <w:gridSpan w:val="4"/>
          </w:tcPr>
          <w:p>
            <w:pPr>
              <w:jc w:val="right"/>
              <w:ind w:right="700"/>
              <w:spacing w:after="0"/>
              <w:rPr>
                <w:sz w:val="20"/>
                <w:szCs w:val="20"/>
                <w:color w:val="auto"/>
              </w:rPr>
            </w:pPr>
            <w:r>
              <w:rPr>
                <w:rFonts w:ascii="Arial" w:cs="Arial" w:eastAsia="Arial" w:hAnsi="Arial"/>
                <w:sz w:val="16"/>
                <w:szCs w:val="16"/>
                <w:b w:val="1"/>
                <w:bCs w:val="1"/>
                <w:color w:val="auto"/>
              </w:rPr>
              <w:t>Year Ended</w:t>
            </w:r>
          </w:p>
        </w:tc>
      </w:tr>
      <w:tr>
        <w:trPr>
          <w:trHeight w:val="203"/>
        </w:trPr>
        <w:tc>
          <w:tcPr>
            <w:tcW w:w="4460" w:type="dxa"/>
            <w:vAlign w:val="bottom"/>
          </w:tcPr>
          <w:p>
            <w:pPr>
              <w:spacing w:after="0"/>
              <w:rPr>
                <w:sz w:val="17"/>
                <w:szCs w:val="17"/>
                <w:color w:val="auto"/>
              </w:rPr>
            </w:pPr>
          </w:p>
        </w:tc>
        <w:tc>
          <w:tcPr>
            <w:tcW w:w="210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December 31,</w:t>
            </w:r>
          </w:p>
        </w:tc>
      </w:tr>
      <w:tr>
        <w:trPr>
          <w:trHeight w:val="173"/>
        </w:trPr>
        <w:tc>
          <w:tcPr>
            <w:tcW w:w="4460" w:type="dxa"/>
            <w:vAlign w:val="bottom"/>
            <w:tcBorders>
              <w:bottom w:val="single" w:sz="8" w:color="E4E4E4"/>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49"/>
              <w:spacing w:after="0" w:line="173" w:lineRule="exact"/>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bottom w:val="single" w:sz="8" w:color="E4E4E4"/>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44"/>
              <w:spacing w:after="0" w:line="173" w:lineRule="exact"/>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E4E4E4"/>
            </w:tcBorders>
          </w:tcPr>
          <w:p>
            <w:pPr>
              <w:spacing w:after="0"/>
              <w:rPr>
                <w:sz w:val="15"/>
                <w:szCs w:val="15"/>
                <w:color w:val="auto"/>
              </w:rPr>
            </w:pPr>
          </w:p>
        </w:tc>
      </w:tr>
      <w:tr>
        <w:trPr>
          <w:trHeight w:val="220"/>
        </w:trPr>
        <w:tc>
          <w:tcPr>
            <w:tcW w:w="4460" w:type="dxa"/>
            <w:vAlign w:val="bottom"/>
            <w:shd w:val="clear" w:color="auto" w:fill="E4E4E4"/>
          </w:tcPr>
          <w:p>
            <w:pPr>
              <w:spacing w:after="0" w:line="220" w:lineRule="exact"/>
              <w:rPr>
                <w:sz w:val="20"/>
                <w:szCs w:val="20"/>
                <w:color w:val="auto"/>
              </w:rPr>
            </w:pPr>
            <w:r>
              <w:rPr>
                <w:rFonts w:ascii="Arial" w:cs="Arial" w:eastAsia="Arial" w:hAnsi="Arial"/>
                <w:sz w:val="20"/>
                <w:szCs w:val="20"/>
                <w:color w:val="auto"/>
              </w:rPr>
              <w:t>Risk-free interest rate</w:t>
            </w:r>
          </w:p>
        </w:tc>
        <w:tc>
          <w:tcPr>
            <w:tcW w:w="1080" w:type="dxa"/>
            <w:vAlign w:val="bottom"/>
            <w:gridSpan w:val="2"/>
            <w:shd w:val="clear" w:color="auto" w:fill="E4E4E4"/>
          </w:tcPr>
          <w:p>
            <w:pPr>
              <w:jc w:val="right"/>
              <w:ind w:right="60"/>
              <w:spacing w:after="0" w:line="220" w:lineRule="exact"/>
              <w:rPr>
                <w:sz w:val="20"/>
                <w:szCs w:val="20"/>
                <w:color w:val="auto"/>
              </w:rPr>
            </w:pPr>
            <w:r>
              <w:rPr>
                <w:rFonts w:ascii="Arial" w:cs="Arial" w:eastAsia="Arial" w:hAnsi="Arial"/>
                <w:sz w:val="20"/>
                <w:szCs w:val="20"/>
                <w:color w:val="auto"/>
              </w:rPr>
              <w:t>3.54%</w:t>
            </w:r>
          </w:p>
        </w:tc>
        <w:tc>
          <w:tcPr>
            <w:tcW w:w="1020" w:type="dxa"/>
            <w:vAlign w:val="bottom"/>
            <w:gridSpan w:val="2"/>
            <w:shd w:val="clear" w:color="auto" w:fill="E4E4E4"/>
          </w:tcPr>
          <w:p>
            <w:pPr>
              <w:jc w:val="right"/>
              <w:spacing w:after="0" w:line="220" w:lineRule="exact"/>
              <w:rPr>
                <w:sz w:val="20"/>
                <w:szCs w:val="20"/>
                <w:color w:val="auto"/>
              </w:rPr>
            </w:pPr>
            <w:r>
              <w:rPr>
                <w:rFonts w:ascii="Arial" w:cs="Arial" w:eastAsia="Arial" w:hAnsi="Arial"/>
                <w:sz w:val="20"/>
                <w:szCs w:val="20"/>
                <w:color w:val="auto"/>
              </w:rPr>
              <w:t>2.15 %</w:t>
            </w:r>
          </w:p>
        </w:tc>
      </w:tr>
      <w:tr>
        <w:trPr>
          <w:trHeight w:val="230"/>
        </w:trPr>
        <w:tc>
          <w:tcPr>
            <w:tcW w:w="4460" w:type="dxa"/>
            <w:vAlign w:val="bottom"/>
          </w:tcPr>
          <w:p>
            <w:pPr>
              <w:spacing w:after="0"/>
              <w:rPr>
                <w:sz w:val="20"/>
                <w:szCs w:val="20"/>
                <w:color w:val="auto"/>
              </w:rPr>
            </w:pPr>
            <w:r>
              <w:rPr>
                <w:rFonts w:ascii="Arial" w:cs="Arial" w:eastAsia="Arial" w:hAnsi="Arial"/>
                <w:sz w:val="20"/>
                <w:szCs w:val="20"/>
                <w:color w:val="auto"/>
              </w:rPr>
              <w:t>Expected volatility</w:t>
            </w:r>
          </w:p>
        </w:tc>
        <w:tc>
          <w:tcPr>
            <w:tcW w:w="1080" w:type="dxa"/>
            <w:vAlign w:val="bottom"/>
            <w:gridSpan w:val="2"/>
          </w:tcPr>
          <w:p>
            <w:pPr>
              <w:jc w:val="right"/>
              <w:ind w:right="60"/>
              <w:spacing w:after="0"/>
              <w:rPr>
                <w:sz w:val="20"/>
                <w:szCs w:val="20"/>
                <w:color w:val="auto"/>
              </w:rPr>
            </w:pPr>
            <w:r>
              <w:rPr>
                <w:rFonts w:ascii="Arial" w:cs="Arial" w:eastAsia="Arial" w:hAnsi="Arial"/>
                <w:sz w:val="20"/>
                <w:szCs w:val="20"/>
                <w:color w:val="auto"/>
              </w:rPr>
              <w:t>99.18%</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92.95 %</w:t>
            </w:r>
          </w:p>
        </w:tc>
      </w:tr>
      <w:tr>
        <w:trPr>
          <w:trHeight w:val="230"/>
        </w:trPr>
        <w:tc>
          <w:tcPr>
            <w:tcW w:w="4460" w:type="dxa"/>
            <w:vAlign w:val="bottom"/>
            <w:shd w:val="clear" w:color="auto" w:fill="E4E4E4"/>
          </w:tcPr>
          <w:p>
            <w:pPr>
              <w:spacing w:after="0"/>
              <w:rPr>
                <w:sz w:val="20"/>
                <w:szCs w:val="20"/>
                <w:color w:val="auto"/>
              </w:rPr>
            </w:pPr>
            <w:r>
              <w:rPr>
                <w:rFonts w:ascii="Arial" w:cs="Arial" w:eastAsia="Arial" w:hAnsi="Arial"/>
                <w:sz w:val="20"/>
                <w:szCs w:val="20"/>
                <w:color w:val="auto"/>
              </w:rPr>
              <w:t>Expected term (in years)</w:t>
            </w:r>
          </w:p>
        </w:tc>
        <w:tc>
          <w:tcPr>
            <w:tcW w:w="1080" w:type="dxa"/>
            <w:vAlign w:val="bottom"/>
            <w:gridSpan w:val="2"/>
            <w:shd w:val="clear" w:color="auto" w:fill="E4E4E4"/>
          </w:tcPr>
          <w:p>
            <w:pPr>
              <w:jc w:val="right"/>
              <w:ind w:right="240"/>
              <w:spacing w:after="0"/>
              <w:rPr>
                <w:sz w:val="20"/>
                <w:szCs w:val="20"/>
                <w:color w:val="auto"/>
              </w:rPr>
            </w:pPr>
            <w:r>
              <w:rPr>
                <w:rFonts w:ascii="Arial" w:cs="Arial" w:eastAsia="Arial" w:hAnsi="Arial"/>
                <w:sz w:val="20"/>
                <w:szCs w:val="20"/>
                <w:color w:val="auto"/>
              </w:rPr>
              <w:t>5.84</w:t>
            </w:r>
          </w:p>
        </w:tc>
        <w:tc>
          <w:tcPr>
            <w:tcW w:w="8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6.02</w:t>
            </w:r>
          </w:p>
        </w:tc>
        <w:tc>
          <w:tcPr>
            <w:tcW w:w="180" w:type="dxa"/>
            <w:vAlign w:val="bottom"/>
            <w:shd w:val="clear" w:color="auto" w:fill="E4E4E4"/>
          </w:tcPr>
          <w:p>
            <w:pPr>
              <w:spacing w:after="0"/>
              <w:rPr>
                <w:sz w:val="20"/>
                <w:szCs w:val="20"/>
                <w:color w:val="auto"/>
              </w:rPr>
            </w:pPr>
          </w:p>
        </w:tc>
      </w:tr>
      <w:tr>
        <w:trPr>
          <w:trHeight w:val="271"/>
        </w:trPr>
        <w:tc>
          <w:tcPr>
            <w:tcW w:w="4460" w:type="dxa"/>
            <w:vAlign w:val="bottom"/>
          </w:tcPr>
          <w:p>
            <w:pPr>
              <w:spacing w:after="0"/>
              <w:rPr>
                <w:sz w:val="20"/>
                <w:szCs w:val="20"/>
                <w:color w:val="auto"/>
              </w:rPr>
            </w:pPr>
            <w:r>
              <w:rPr>
                <w:rFonts w:ascii="Arial" w:cs="Arial" w:eastAsia="Arial" w:hAnsi="Arial"/>
                <w:sz w:val="20"/>
                <w:szCs w:val="20"/>
                <w:color w:val="auto"/>
              </w:rPr>
              <w:t>Expected dividend yield</w:t>
            </w:r>
          </w:p>
        </w:tc>
        <w:tc>
          <w:tcPr>
            <w:tcW w:w="10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r>
    </w:tbl>
    <w:p>
      <w:pPr>
        <w:spacing w:after="0" w:line="209"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The grant date fair value of restricted stock units is based upon the fair market value of the Company’s common stock based on its closing price as reported on the date of grant on the Nasdaq Global Select Market.</w:t>
      </w:r>
    </w:p>
    <w:p>
      <w:pPr>
        <w:spacing w:after="0" w:line="249"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The fair value of options granted during the years ended December 31, 2023 and 2022 were $9.8 million and $16.3 million, respectively. The fair value of restricted stock units granted during the year ended December 31, 2023 and 2022 was $0.5 million and $0.1 million, respectively.</w:t>
      </w:r>
    </w:p>
    <w:p>
      <w:pPr>
        <w:spacing w:after="0" w:line="304"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Stock Option Activity</w:t>
      </w:r>
    </w:p>
    <w:p>
      <w:pPr>
        <w:spacing w:after="0" w:line="116"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Changes in shares available for grant under the 2020 Plan during the year ended December 31, 2023 were as follows:</w:t>
      </w:r>
    </w:p>
    <w:p>
      <w:pPr>
        <w:spacing w:after="0" w:line="150"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85"/>
        </w:trPr>
        <w:tc>
          <w:tcPr>
            <w:tcW w:w="5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9"/>
              </w:rPr>
              <w:t>Available</w:t>
            </w:r>
          </w:p>
        </w:tc>
        <w:tc>
          <w:tcPr>
            <w:tcW w:w="0" w:type="dxa"/>
            <w:vAlign w:val="bottom"/>
          </w:tcPr>
          <w:p>
            <w:pPr>
              <w:spacing w:after="0"/>
              <w:rPr>
                <w:sz w:val="1"/>
                <w:szCs w:val="1"/>
                <w:color w:val="auto"/>
              </w:rPr>
            </w:pPr>
          </w:p>
        </w:tc>
      </w:tr>
      <w:tr>
        <w:trPr>
          <w:trHeight w:val="202"/>
        </w:trPr>
        <w:tc>
          <w:tcPr>
            <w:tcW w:w="5300" w:type="dxa"/>
            <w:vAlign w:val="bottom"/>
            <w:tcBorders>
              <w:bottom w:val="single" w:sz="8" w:color="E4E4E4"/>
            </w:tcBorders>
          </w:tcPr>
          <w:p>
            <w:pPr>
              <w:spacing w:after="0"/>
              <w:rPr>
                <w:sz w:val="17"/>
                <w:szCs w:val="17"/>
                <w:color w:val="auto"/>
              </w:rPr>
            </w:pPr>
          </w:p>
        </w:tc>
        <w:tc>
          <w:tcPr>
            <w:tcW w:w="60" w:type="dxa"/>
            <w:vAlign w:val="bottom"/>
            <w:tcBorders>
              <w:bottom w:val="single" w:sz="8" w:color="E4E4E4"/>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 Grant</w:t>
            </w:r>
          </w:p>
        </w:tc>
        <w:tc>
          <w:tcPr>
            <w:tcW w:w="80" w:type="dxa"/>
            <w:vAlign w:val="bottom"/>
            <w:tcBorders>
              <w:bottom w:val="single" w:sz="8" w:color="E4E4E4"/>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300" w:type="dxa"/>
            <w:vAlign w:val="bottom"/>
            <w:shd w:val="clear" w:color="auto" w:fill="E4E4E4"/>
          </w:tcPr>
          <w:p>
            <w:pPr>
              <w:spacing w:after="0" w:line="220" w:lineRule="exact"/>
              <w:rPr>
                <w:sz w:val="20"/>
                <w:szCs w:val="20"/>
                <w:color w:val="auto"/>
              </w:rPr>
            </w:pPr>
            <w:r>
              <w:rPr>
                <w:rFonts w:ascii="Arial" w:cs="Arial" w:eastAsia="Arial" w:hAnsi="Arial"/>
                <w:sz w:val="20"/>
                <w:szCs w:val="20"/>
                <w:color w:val="auto"/>
              </w:rPr>
              <w:t>Shares available for grant at December 31, 2022</w:t>
            </w:r>
          </w:p>
        </w:tc>
        <w:tc>
          <w:tcPr>
            <w:tcW w:w="1260" w:type="dxa"/>
            <w:vAlign w:val="bottom"/>
            <w:gridSpan w:val="3"/>
            <w:shd w:val="clear" w:color="auto" w:fill="E4E4E4"/>
          </w:tcPr>
          <w:p>
            <w:pPr>
              <w:jc w:val="right"/>
              <w:ind w:right="80"/>
              <w:spacing w:after="0" w:line="220" w:lineRule="exact"/>
              <w:rPr>
                <w:sz w:val="20"/>
                <w:szCs w:val="20"/>
                <w:color w:val="auto"/>
              </w:rPr>
            </w:pPr>
            <w:r>
              <w:rPr>
                <w:rFonts w:ascii="Arial" w:cs="Arial" w:eastAsia="Arial" w:hAnsi="Arial"/>
                <w:sz w:val="20"/>
                <w:szCs w:val="20"/>
                <w:color w:val="auto"/>
                <w:shd w:val="clear" w:color="auto" w:fill="E4E4E4"/>
              </w:rPr>
              <w:t>4,253,854</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20"/>
                <w:szCs w:val="20"/>
                <w:color w:val="auto"/>
              </w:rPr>
              <w:t>2020 Plan reserve increase on January 1, 2023</w:t>
            </w:r>
          </w:p>
        </w:tc>
        <w:tc>
          <w:tcPr>
            <w:tcW w:w="1260" w:type="dxa"/>
            <w:vAlign w:val="bottom"/>
            <w:gridSpan w:val="3"/>
          </w:tcPr>
          <w:p>
            <w:pPr>
              <w:jc w:val="right"/>
              <w:ind w:right="80"/>
              <w:spacing w:after="0"/>
              <w:rPr>
                <w:sz w:val="20"/>
                <w:szCs w:val="20"/>
                <w:color w:val="auto"/>
              </w:rPr>
            </w:pPr>
            <w:r>
              <w:rPr>
                <w:rFonts w:ascii="Arial" w:cs="Arial" w:eastAsia="Arial" w:hAnsi="Arial"/>
                <w:sz w:val="20"/>
                <w:szCs w:val="20"/>
                <w:color w:val="auto"/>
              </w:rPr>
              <w:t>1,893,869</w:t>
            </w:r>
          </w:p>
        </w:tc>
        <w:tc>
          <w:tcPr>
            <w:tcW w:w="0" w:type="dxa"/>
            <w:vAlign w:val="bottom"/>
          </w:tcPr>
          <w:p>
            <w:pPr>
              <w:spacing w:after="0"/>
              <w:rPr>
                <w:sz w:val="1"/>
                <w:szCs w:val="1"/>
                <w:color w:val="auto"/>
              </w:rPr>
            </w:pPr>
          </w:p>
        </w:tc>
      </w:tr>
      <w:tr>
        <w:trPr>
          <w:trHeight w:val="229"/>
        </w:trPr>
        <w:tc>
          <w:tcPr>
            <w:tcW w:w="5300" w:type="dxa"/>
            <w:vAlign w:val="bottom"/>
            <w:shd w:val="clear" w:color="auto" w:fill="E4E4E4"/>
          </w:tcPr>
          <w:p>
            <w:pPr>
              <w:spacing w:after="0"/>
              <w:rPr>
                <w:sz w:val="20"/>
                <w:szCs w:val="20"/>
                <w:color w:val="auto"/>
              </w:rPr>
            </w:pPr>
            <w:r>
              <w:rPr>
                <w:rFonts w:ascii="Arial" w:cs="Arial" w:eastAsia="Arial" w:hAnsi="Arial"/>
                <w:sz w:val="20"/>
                <w:szCs w:val="20"/>
                <w:color w:val="auto"/>
              </w:rPr>
              <w:t>Options and restricted stock units granted</w:t>
            </w:r>
          </w:p>
        </w:tc>
        <w:tc>
          <w:tcPr>
            <w:tcW w:w="1260" w:type="dxa"/>
            <w:vAlign w:val="bottom"/>
            <w:gridSpan w:val="3"/>
            <w:shd w:val="clear" w:color="auto" w:fill="E4E4E4"/>
          </w:tcPr>
          <w:p>
            <w:pPr>
              <w:jc w:val="right"/>
              <w:spacing w:after="0"/>
              <w:rPr>
                <w:sz w:val="20"/>
                <w:szCs w:val="20"/>
                <w:color w:val="auto"/>
              </w:rPr>
            </w:pPr>
            <w:r>
              <w:rPr>
                <w:rFonts w:ascii="Arial" w:cs="Arial" w:eastAsia="Arial" w:hAnsi="Arial"/>
                <w:sz w:val="20"/>
                <w:szCs w:val="20"/>
                <w:color w:val="auto"/>
                <w:shd w:val="clear" w:color="auto" w:fill="E4E4E4"/>
              </w:rPr>
              <w:t>(3,834,783)</w:t>
            </w:r>
          </w:p>
        </w:tc>
        <w:tc>
          <w:tcPr>
            <w:tcW w:w="0" w:type="dxa"/>
            <w:vAlign w:val="bottom"/>
          </w:tcPr>
          <w:p>
            <w:pPr>
              <w:spacing w:after="0"/>
              <w:rPr>
                <w:sz w:val="1"/>
                <w:szCs w:val="1"/>
                <w:color w:val="auto"/>
              </w:rPr>
            </w:pPr>
          </w:p>
        </w:tc>
      </w:tr>
      <w:tr>
        <w:trPr>
          <w:trHeight w:val="211"/>
        </w:trPr>
        <w:tc>
          <w:tcPr>
            <w:tcW w:w="5300" w:type="dxa"/>
            <w:vAlign w:val="bottom"/>
          </w:tcPr>
          <w:p>
            <w:pPr>
              <w:spacing w:after="0" w:line="211" w:lineRule="exact"/>
              <w:rPr>
                <w:sz w:val="20"/>
                <w:szCs w:val="20"/>
                <w:color w:val="auto"/>
              </w:rPr>
            </w:pPr>
            <w:r>
              <w:rPr>
                <w:rFonts w:ascii="Arial" w:cs="Arial" w:eastAsia="Arial" w:hAnsi="Arial"/>
                <w:sz w:val="20"/>
                <w:szCs w:val="20"/>
                <w:color w:val="auto"/>
              </w:rPr>
              <w:t>Options and restricted stock units forfeited,</w:t>
            </w: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00" w:type="dxa"/>
            <w:vAlign w:val="bottom"/>
          </w:tcPr>
          <w:p>
            <w:pPr>
              <w:ind w:left="160"/>
              <w:spacing w:after="0"/>
              <w:rPr>
                <w:sz w:val="20"/>
                <w:szCs w:val="20"/>
                <w:color w:val="auto"/>
              </w:rPr>
            </w:pPr>
            <w:r>
              <w:rPr>
                <w:rFonts w:ascii="Arial" w:cs="Arial" w:eastAsia="Arial" w:hAnsi="Arial"/>
                <w:sz w:val="20"/>
                <w:szCs w:val="20"/>
                <w:color w:val="auto"/>
              </w:rPr>
              <w:t>cancelled, or expired</w:t>
            </w:r>
          </w:p>
        </w:tc>
        <w:tc>
          <w:tcPr>
            <w:tcW w:w="6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20"/>
                <w:szCs w:val="20"/>
                <w:color w:val="auto"/>
              </w:rPr>
              <w:t>845,154</w:t>
            </w:r>
          </w:p>
        </w:tc>
        <w:tc>
          <w:tcPr>
            <w:tcW w:w="0" w:type="dxa"/>
            <w:vAlign w:val="bottom"/>
          </w:tcPr>
          <w:p>
            <w:pPr>
              <w:spacing w:after="0"/>
              <w:rPr>
                <w:sz w:val="1"/>
                <w:szCs w:val="1"/>
                <w:color w:val="auto"/>
              </w:rPr>
            </w:pPr>
          </w:p>
        </w:tc>
      </w:tr>
      <w:tr>
        <w:trPr>
          <w:trHeight w:val="20"/>
        </w:trPr>
        <w:tc>
          <w:tcPr>
            <w:tcW w:w="5300" w:type="dxa"/>
            <w:vAlign w:val="bottom"/>
            <w:vMerge w:val="restart"/>
            <w:shd w:val="clear" w:color="auto" w:fill="E4E4E4"/>
          </w:tcPr>
          <w:p>
            <w:pPr>
              <w:spacing w:after="0"/>
              <w:rPr>
                <w:sz w:val="20"/>
                <w:szCs w:val="20"/>
                <w:color w:val="auto"/>
              </w:rPr>
            </w:pPr>
            <w:r>
              <w:rPr>
                <w:rFonts w:ascii="Arial" w:cs="Arial" w:eastAsia="Arial" w:hAnsi="Arial"/>
                <w:sz w:val="20"/>
                <w:szCs w:val="20"/>
                <w:color w:val="auto"/>
              </w:rPr>
              <w:t>Shares available for grant at December 31, 2023</w:t>
            </w:r>
          </w:p>
        </w:tc>
        <w:tc>
          <w:tcPr>
            <w:tcW w:w="60" w:type="dxa"/>
            <w:vAlign w:val="bottom"/>
            <w:tcBorders>
              <w:right w:val="single" w:sz="8" w:color="E4E4E4"/>
            </w:tcBorders>
            <w:shd w:val="clear" w:color="auto" w:fill="E4E4E4"/>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300" w:type="dxa"/>
            <w:vAlign w:val="bottom"/>
            <w:vMerge w:val="continue"/>
            <w:shd w:val="clear" w:color="auto" w:fill="E4E4E4"/>
          </w:tcPr>
          <w:p>
            <w:pPr>
              <w:spacing w:after="0"/>
              <w:rPr>
                <w:sz w:val="19"/>
                <w:szCs w:val="19"/>
                <w:color w:val="auto"/>
              </w:rPr>
            </w:pPr>
          </w:p>
        </w:tc>
        <w:tc>
          <w:tcPr>
            <w:tcW w:w="60" w:type="dxa"/>
            <w:vAlign w:val="bottom"/>
            <w:tcBorders>
              <w:right w:val="single" w:sz="8" w:color="E4E4E4"/>
            </w:tcBorders>
            <w:shd w:val="clear" w:color="auto" w:fill="E4E4E4"/>
          </w:tcPr>
          <w:p>
            <w:pPr>
              <w:spacing w:after="0"/>
              <w:rPr>
                <w:sz w:val="19"/>
                <w:szCs w:val="19"/>
                <w:color w:val="auto"/>
              </w:rPr>
            </w:pPr>
          </w:p>
        </w:tc>
        <w:tc>
          <w:tcPr>
            <w:tcW w:w="1200" w:type="dxa"/>
            <w:vAlign w:val="bottom"/>
            <w:gridSpan w:val="2"/>
            <w:shd w:val="clear" w:color="auto" w:fill="E4E4E4"/>
          </w:tcPr>
          <w:p>
            <w:pPr>
              <w:jc w:val="right"/>
              <w:ind w:right="80"/>
              <w:spacing w:after="0" w:line="220" w:lineRule="exact"/>
              <w:rPr>
                <w:sz w:val="20"/>
                <w:szCs w:val="20"/>
                <w:color w:val="auto"/>
              </w:rPr>
            </w:pPr>
            <w:r>
              <w:rPr>
                <w:rFonts w:ascii="Arial" w:cs="Arial" w:eastAsia="Arial" w:hAnsi="Arial"/>
                <w:sz w:val="20"/>
                <w:szCs w:val="20"/>
                <w:color w:val="auto"/>
                <w:shd w:val="clear" w:color="auto" w:fill="E4E4E4"/>
              </w:rPr>
              <w:t>3,158,094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74" w:orient="portrait"/>
          <w:cols w:equalWidth="0" w:num="1">
            <w:col w:w="9360"/>
          </w:cols>
          <w:pgMar w:left="1240" w:top="1268"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153</w:t>
      </w:r>
    </w:p>
    <w:p>
      <w:pPr>
        <w:sectPr>
          <w:pgSz w:w="11880" w:h="15474" w:orient="portrait"/>
          <w:cols w:equalWidth="0" w:num="1">
            <w:col w:w="9360"/>
          </w:cols>
          <w:pgMar w:left="1240" w:top="1268" w:right="1274" w:bottom="0" w:gutter="0" w:footer="0" w:header="0"/>
          <w:type w:val="continuous"/>
        </w:sectPr>
      </w:pPr>
    </w:p>
    <w:bookmarkStart w:id="159" w:name="page160"/>
    <w:bookmarkEnd w:id="159"/>
    <w:p>
      <w:pPr>
        <w:spacing w:after="0" w:line="8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 summary of option activity for the year ended December 31, 2023 was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Weighted-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48"/>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5"/>
                <w:szCs w:val="15"/>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Average</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48"/>
              <w:spacing w:after="0"/>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5"/>
                <w:szCs w:val="15"/>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Remaining</w:t>
            </w:r>
          </w:p>
        </w:tc>
        <w:tc>
          <w:tcPr>
            <w:tcW w:w="1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185"/>
        </w:trPr>
        <w:tc>
          <w:tcPr>
            <w:tcW w:w="3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Arial" w:cs="Arial" w:eastAsia="Arial" w:hAnsi="Arial"/>
                <w:sz w:val="16"/>
                <w:szCs w:val="16"/>
                <w:b w:val="1"/>
                <w:bCs w:val="1"/>
                <w:color w:val="auto"/>
              </w:rPr>
              <w:t>Exercise</w:t>
            </w:r>
          </w:p>
        </w:tc>
        <w:tc>
          <w:tcPr>
            <w:tcW w:w="18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8"/>
              </w:rPr>
              <w:t>Contractual</w:t>
            </w:r>
          </w:p>
        </w:tc>
        <w:tc>
          <w:tcPr>
            <w:tcW w:w="14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48"/>
              <w:spacing w:after="0"/>
              <w:rPr>
                <w:sz w:val="20"/>
                <w:szCs w:val="20"/>
                <w:color w:val="auto"/>
              </w:rPr>
            </w:pPr>
            <w:r>
              <w:rPr>
                <w:rFonts w:ascii="Arial" w:cs="Arial" w:eastAsia="Arial" w:hAnsi="Arial"/>
                <w:sz w:val="16"/>
                <w:szCs w:val="16"/>
                <w:b w:val="1"/>
                <w:bCs w:val="1"/>
                <w:color w:val="auto"/>
                <w:w w:val="99"/>
              </w:rPr>
              <w:t>price</w:t>
            </w:r>
          </w:p>
        </w:tc>
        <w:tc>
          <w:tcPr>
            <w:tcW w:w="180" w:type="dxa"/>
            <w:vAlign w:val="bottom"/>
          </w:tcPr>
          <w:p>
            <w:pPr>
              <w:spacing w:after="0"/>
              <w:rPr>
                <w:sz w:val="15"/>
                <w:szCs w:val="15"/>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Term</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w:t>
            </w:r>
          </w:p>
        </w:tc>
        <w:tc>
          <w:tcPr>
            <w:tcW w:w="0" w:type="dxa"/>
            <w:vAlign w:val="bottom"/>
          </w:tcPr>
          <w:p>
            <w:pPr>
              <w:spacing w:after="0"/>
              <w:rPr>
                <w:sz w:val="1"/>
                <w:szCs w:val="1"/>
                <w:color w:val="auto"/>
              </w:rPr>
            </w:pPr>
          </w:p>
        </w:tc>
      </w:tr>
      <w:tr>
        <w:trPr>
          <w:trHeight w:val="202"/>
        </w:trPr>
        <w:tc>
          <w:tcPr>
            <w:tcW w:w="324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114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Shares</w:t>
            </w:r>
          </w:p>
        </w:tc>
        <w:tc>
          <w:tcPr>
            <w:tcW w:w="140" w:type="dxa"/>
            <w:vAlign w:val="bottom"/>
            <w:tcBorders>
              <w:bottom w:val="single" w:sz="8" w:color="E4E4E4"/>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6"/>
                <w:szCs w:val="16"/>
                <w:b w:val="1"/>
                <w:bCs w:val="1"/>
                <w:color w:val="auto"/>
              </w:rPr>
              <w:t>per Share</w:t>
            </w:r>
          </w:p>
        </w:tc>
        <w:tc>
          <w:tcPr>
            <w:tcW w:w="180" w:type="dxa"/>
            <w:vAlign w:val="bottom"/>
            <w:tcBorders>
              <w:bottom w:val="single" w:sz="8" w:color="E4E4E4"/>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160" w:type="dxa"/>
            <w:vAlign w:val="bottom"/>
            <w:tcBorders>
              <w:bottom w:val="single" w:sz="8" w:color="E4E4E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99"/>
              </w:rPr>
              <w:t>thousands)</w:t>
            </w:r>
          </w:p>
        </w:tc>
        <w:tc>
          <w:tcPr>
            <w:tcW w:w="100" w:type="dxa"/>
            <w:vAlign w:val="bottom"/>
            <w:tcBorders>
              <w:bottom w:val="single" w:sz="8" w:color="E4E4E4"/>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40" w:type="dxa"/>
            <w:vAlign w:val="bottom"/>
            <w:shd w:val="clear" w:color="auto" w:fill="E4E4E4"/>
          </w:tcPr>
          <w:p>
            <w:pPr>
              <w:spacing w:after="0" w:line="220" w:lineRule="exact"/>
              <w:rPr>
                <w:sz w:val="20"/>
                <w:szCs w:val="20"/>
                <w:color w:val="auto"/>
              </w:rPr>
            </w:pPr>
            <w:r>
              <w:rPr>
                <w:rFonts w:ascii="Arial" w:cs="Arial" w:eastAsia="Arial" w:hAnsi="Arial"/>
                <w:sz w:val="20"/>
                <w:szCs w:val="20"/>
                <w:color w:val="auto"/>
              </w:rPr>
              <w:t>Balance at December 31, 2022</w:t>
            </w:r>
          </w:p>
        </w:tc>
        <w:tc>
          <w:tcPr>
            <w:tcW w:w="1140" w:type="dxa"/>
            <w:vAlign w:val="bottom"/>
            <w:gridSpan w:val="2"/>
            <w:shd w:val="clear" w:color="auto" w:fill="E4E4E4"/>
          </w:tcPr>
          <w:p>
            <w:pPr>
              <w:jc w:val="right"/>
              <w:spacing w:after="0" w:line="220" w:lineRule="exact"/>
              <w:rPr>
                <w:sz w:val="20"/>
                <w:szCs w:val="20"/>
                <w:color w:val="auto"/>
              </w:rPr>
            </w:pPr>
            <w:r>
              <w:rPr>
                <w:rFonts w:ascii="Arial" w:cs="Arial" w:eastAsia="Arial" w:hAnsi="Arial"/>
                <w:sz w:val="20"/>
                <w:szCs w:val="20"/>
                <w:color w:val="auto"/>
              </w:rPr>
              <w:t>4,033,522</w:t>
            </w:r>
          </w:p>
        </w:tc>
        <w:tc>
          <w:tcPr>
            <w:tcW w:w="20" w:type="dxa"/>
            <w:vAlign w:val="bottom"/>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6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rPr>
              <w:t>11.75</w:t>
            </w:r>
          </w:p>
        </w:tc>
        <w:tc>
          <w:tcPr>
            <w:tcW w:w="1480" w:type="dxa"/>
            <w:vAlign w:val="bottom"/>
            <w:gridSpan w:val="3"/>
            <w:shd w:val="clear" w:color="auto" w:fill="E4E4E4"/>
          </w:tcPr>
          <w:p>
            <w:pPr>
              <w:jc w:val="right"/>
              <w:ind w:right="160"/>
              <w:spacing w:after="0" w:line="220" w:lineRule="exact"/>
              <w:rPr>
                <w:sz w:val="20"/>
                <w:szCs w:val="20"/>
                <w:color w:val="auto"/>
              </w:rPr>
            </w:pPr>
            <w:r>
              <w:rPr>
                <w:rFonts w:ascii="Arial" w:cs="Arial" w:eastAsia="Arial" w:hAnsi="Arial"/>
                <w:sz w:val="20"/>
                <w:szCs w:val="20"/>
                <w:color w:val="auto"/>
              </w:rPr>
              <w:t>8.40</w:t>
            </w:r>
          </w:p>
        </w:tc>
        <w:tc>
          <w:tcPr>
            <w:tcW w:w="14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w w:val="89"/>
              </w:rPr>
              <w:t>$</w:t>
            </w:r>
          </w:p>
        </w:tc>
        <w:tc>
          <w:tcPr>
            <w:tcW w:w="1120" w:type="dxa"/>
            <w:vAlign w:val="bottom"/>
            <w:gridSpan w:val="2"/>
            <w:shd w:val="clear" w:color="auto" w:fill="E4E4E4"/>
          </w:tcPr>
          <w:p>
            <w:pPr>
              <w:jc w:val="right"/>
              <w:ind w:right="100"/>
              <w:spacing w:after="0" w:line="220" w:lineRule="exact"/>
              <w:rPr>
                <w:sz w:val="20"/>
                <w:szCs w:val="20"/>
                <w:color w:val="auto"/>
              </w:rPr>
            </w:pPr>
            <w:r>
              <w:rPr>
                <w:rFonts w:ascii="Arial" w:cs="Arial" w:eastAsia="Arial" w:hAnsi="Arial"/>
                <w:sz w:val="20"/>
                <w:szCs w:val="20"/>
                <w:color w:val="auto"/>
              </w:rPr>
              <w:t>827</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20"/>
                <w:szCs w:val="20"/>
                <w:color w:val="auto"/>
              </w:rPr>
              <w:t>Granted</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3,696,783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3.34</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E4E4E4"/>
          </w:tcPr>
          <w:p>
            <w:pPr>
              <w:spacing w:after="0"/>
              <w:rPr>
                <w:sz w:val="20"/>
                <w:szCs w:val="20"/>
                <w:color w:val="auto"/>
              </w:rPr>
            </w:pPr>
            <w:r>
              <w:rPr>
                <w:rFonts w:ascii="Arial" w:cs="Arial" w:eastAsia="Arial" w:hAnsi="Arial"/>
                <w:sz w:val="20"/>
                <w:szCs w:val="20"/>
                <w:color w:val="auto"/>
              </w:rPr>
              <w:t>Exercised</w:t>
            </w:r>
          </w:p>
        </w:tc>
        <w:tc>
          <w:tcPr>
            <w:tcW w:w="11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(128,534</w:t>
            </w:r>
          </w:p>
        </w:tc>
        <w:tc>
          <w:tcPr>
            <w:tcW w:w="20" w:type="dxa"/>
            <w:vAlign w:val="bottom"/>
          </w:tcPr>
          <w:p>
            <w:pPr>
              <w:spacing w:after="0"/>
              <w:rPr>
                <w:sz w:val="19"/>
                <w:szCs w:val="19"/>
                <w:color w:val="auto"/>
              </w:rPr>
            </w:pPr>
          </w:p>
        </w:tc>
        <w:tc>
          <w:tcPr>
            <w:tcW w:w="140" w:type="dxa"/>
            <w:vAlign w:val="bottom"/>
            <w:shd w:val="clear" w:color="auto" w:fill="E4E4E4"/>
          </w:tcPr>
          <w:p>
            <w:pPr>
              <w:jc w:val="right"/>
              <w:ind w:right="60"/>
              <w:spacing w:after="0"/>
              <w:rPr>
                <w:sz w:val="20"/>
                <w:szCs w:val="20"/>
                <w:color w:val="auto"/>
              </w:rPr>
            </w:pPr>
            <w:r>
              <w:rPr>
                <w:rFonts w:ascii="Arial" w:cs="Arial" w:eastAsia="Arial" w:hAnsi="Arial"/>
                <w:sz w:val="8"/>
                <w:szCs w:val="8"/>
                <w:color w:val="auto"/>
                <w:w w:val="73"/>
              </w:rPr>
              <w:t>)</w:t>
            </w:r>
          </w:p>
        </w:tc>
        <w:tc>
          <w:tcPr>
            <w:tcW w:w="16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1.29</w:t>
            </w:r>
          </w:p>
        </w:tc>
        <w:tc>
          <w:tcPr>
            <w:tcW w:w="180" w:type="dxa"/>
            <w:vAlign w:val="bottom"/>
            <w:shd w:val="clear" w:color="auto" w:fill="E4E4E4"/>
          </w:tcPr>
          <w:p>
            <w:pPr>
              <w:spacing w:after="0"/>
              <w:rPr>
                <w:sz w:val="19"/>
                <w:szCs w:val="19"/>
                <w:color w:val="auto"/>
              </w:rPr>
            </w:pPr>
          </w:p>
        </w:tc>
        <w:tc>
          <w:tcPr>
            <w:tcW w:w="114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0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E4E4E4"/>
            </w:tcBorders>
          </w:tcPr>
          <w:p>
            <w:pPr>
              <w:spacing w:after="0"/>
              <w:rPr>
                <w:sz w:val="20"/>
                <w:szCs w:val="20"/>
                <w:color w:val="auto"/>
              </w:rPr>
            </w:pPr>
            <w:r>
              <w:rPr>
                <w:rFonts w:ascii="Arial" w:cs="Arial" w:eastAsia="Arial" w:hAnsi="Arial"/>
                <w:sz w:val="20"/>
                <w:szCs w:val="20"/>
                <w:color w:val="auto"/>
              </w:rPr>
              <w:t>Forfeited/expired</w:t>
            </w:r>
          </w:p>
        </w:tc>
        <w:tc>
          <w:tcPr>
            <w:tcW w:w="20" w:type="dxa"/>
            <w:vAlign w:val="bottom"/>
            <w:tcBorders>
              <w:bottom w:val="single" w:sz="8" w:color="E4E4E4"/>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(780,902</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E4E4E4"/>
            </w:tcBorders>
          </w:tcPr>
          <w:p>
            <w:pPr>
              <w:jc w:val="right"/>
              <w:ind w:right="60"/>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E4E4E4"/>
            </w:tcBorders>
          </w:tcPr>
          <w:p>
            <w:pPr>
              <w:spacing w:after="0"/>
              <w:rPr>
                <w:sz w:val="20"/>
                <w:szCs w:val="20"/>
                <w:color w:val="auto"/>
              </w:rPr>
            </w:pPr>
          </w:p>
        </w:tc>
        <w:tc>
          <w:tcPr>
            <w:tcW w:w="1000" w:type="dxa"/>
            <w:vAlign w:val="bottom"/>
            <w:tcBorders>
              <w:bottom w:val="single" w:sz="8" w:color="E4E4E4"/>
            </w:tcBorders>
          </w:tcPr>
          <w:p>
            <w:pPr>
              <w:jc w:val="right"/>
              <w:spacing w:after="0"/>
              <w:rPr>
                <w:sz w:val="20"/>
                <w:szCs w:val="20"/>
                <w:color w:val="auto"/>
              </w:rPr>
            </w:pPr>
            <w:r>
              <w:rPr>
                <w:rFonts w:ascii="Arial" w:cs="Arial" w:eastAsia="Arial" w:hAnsi="Arial"/>
                <w:sz w:val="20"/>
                <w:szCs w:val="20"/>
                <w:color w:val="auto"/>
              </w:rPr>
              <w:t>6.72</w:t>
            </w:r>
          </w:p>
        </w:tc>
        <w:tc>
          <w:tcPr>
            <w:tcW w:w="180" w:type="dxa"/>
            <w:vAlign w:val="bottom"/>
            <w:tcBorders>
              <w:bottom w:val="single" w:sz="8" w:color="E4E4E4"/>
            </w:tcBorders>
          </w:tcPr>
          <w:p>
            <w:pPr>
              <w:spacing w:after="0"/>
              <w:rPr>
                <w:sz w:val="20"/>
                <w:szCs w:val="20"/>
                <w:color w:val="auto"/>
              </w:rPr>
            </w:pPr>
          </w:p>
        </w:tc>
        <w:tc>
          <w:tcPr>
            <w:tcW w:w="1140" w:type="dxa"/>
            <w:vAlign w:val="bottom"/>
            <w:tcBorders>
              <w:bottom w:val="single" w:sz="8" w:color="E4E4E4"/>
            </w:tcBorders>
          </w:tcPr>
          <w:p>
            <w:pPr>
              <w:spacing w:after="0"/>
              <w:rPr>
                <w:sz w:val="20"/>
                <w:szCs w:val="20"/>
                <w:color w:val="auto"/>
              </w:rPr>
            </w:pPr>
          </w:p>
        </w:tc>
        <w:tc>
          <w:tcPr>
            <w:tcW w:w="160" w:type="dxa"/>
            <w:vAlign w:val="bottom"/>
            <w:tcBorders>
              <w:bottom w:val="single" w:sz="8" w:color="E4E4E4"/>
            </w:tcBorders>
          </w:tcPr>
          <w:p>
            <w:pPr>
              <w:spacing w:after="0"/>
              <w:rPr>
                <w:sz w:val="20"/>
                <w:szCs w:val="20"/>
                <w:color w:val="auto"/>
              </w:rPr>
            </w:pPr>
          </w:p>
        </w:tc>
        <w:tc>
          <w:tcPr>
            <w:tcW w:w="140" w:type="dxa"/>
            <w:vAlign w:val="bottom"/>
            <w:tcBorders>
              <w:bottom w:val="single" w:sz="8" w:color="E4E4E4"/>
            </w:tcBorders>
          </w:tcPr>
          <w:p>
            <w:pPr>
              <w:spacing w:after="0"/>
              <w:rPr>
                <w:sz w:val="20"/>
                <w:szCs w:val="20"/>
                <w:color w:val="auto"/>
              </w:rPr>
            </w:pPr>
          </w:p>
        </w:tc>
        <w:tc>
          <w:tcPr>
            <w:tcW w:w="102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40" w:type="dxa"/>
            <w:vAlign w:val="bottom"/>
            <w:shd w:val="clear" w:color="auto" w:fill="E4E4E4"/>
          </w:tcPr>
          <w:p>
            <w:pPr>
              <w:spacing w:after="0" w:line="220" w:lineRule="exact"/>
              <w:rPr>
                <w:sz w:val="20"/>
                <w:szCs w:val="20"/>
                <w:color w:val="auto"/>
              </w:rPr>
            </w:pPr>
            <w:r>
              <w:rPr>
                <w:rFonts w:ascii="Arial" w:cs="Arial" w:eastAsia="Arial" w:hAnsi="Arial"/>
                <w:sz w:val="20"/>
                <w:szCs w:val="20"/>
                <w:color w:val="auto"/>
              </w:rPr>
              <w:t>Balance at December 31, 2023</w:t>
            </w:r>
          </w:p>
        </w:tc>
        <w:tc>
          <w:tcPr>
            <w:tcW w:w="1140" w:type="dxa"/>
            <w:vAlign w:val="bottom"/>
            <w:gridSpan w:val="2"/>
            <w:shd w:val="clear" w:color="auto" w:fill="E4E4E4"/>
          </w:tcPr>
          <w:p>
            <w:pPr>
              <w:jc w:val="right"/>
              <w:spacing w:after="0" w:line="220" w:lineRule="exact"/>
              <w:rPr>
                <w:sz w:val="20"/>
                <w:szCs w:val="20"/>
                <w:color w:val="auto"/>
              </w:rPr>
            </w:pPr>
            <w:r>
              <w:rPr>
                <w:rFonts w:ascii="Arial" w:cs="Arial" w:eastAsia="Arial" w:hAnsi="Arial"/>
                <w:sz w:val="20"/>
                <w:szCs w:val="20"/>
                <w:color w:val="auto"/>
              </w:rPr>
              <w:t>6,820,869</w:t>
            </w:r>
          </w:p>
        </w:tc>
        <w:tc>
          <w:tcPr>
            <w:tcW w:w="20" w:type="dxa"/>
            <w:vAlign w:val="bottom"/>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6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rPr>
              <w:t>7.97</w:t>
            </w:r>
          </w:p>
        </w:tc>
        <w:tc>
          <w:tcPr>
            <w:tcW w:w="1480" w:type="dxa"/>
            <w:vAlign w:val="bottom"/>
            <w:gridSpan w:val="3"/>
            <w:shd w:val="clear" w:color="auto" w:fill="E4E4E4"/>
          </w:tcPr>
          <w:p>
            <w:pPr>
              <w:jc w:val="right"/>
              <w:ind w:right="160"/>
              <w:spacing w:after="0" w:line="220" w:lineRule="exact"/>
              <w:rPr>
                <w:sz w:val="20"/>
                <w:szCs w:val="20"/>
                <w:color w:val="auto"/>
              </w:rPr>
            </w:pPr>
            <w:r>
              <w:rPr>
                <w:rFonts w:ascii="Arial" w:cs="Arial" w:eastAsia="Arial" w:hAnsi="Arial"/>
                <w:sz w:val="20"/>
                <w:szCs w:val="20"/>
                <w:color w:val="auto"/>
              </w:rPr>
              <w:t>8.24</w:t>
            </w:r>
          </w:p>
        </w:tc>
        <w:tc>
          <w:tcPr>
            <w:tcW w:w="14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w w:val="89"/>
              </w:rPr>
              <w:t>$</w:t>
            </w:r>
          </w:p>
        </w:tc>
        <w:tc>
          <w:tcPr>
            <w:tcW w:w="1120" w:type="dxa"/>
            <w:vAlign w:val="bottom"/>
            <w:gridSpan w:val="2"/>
            <w:shd w:val="clear" w:color="auto" w:fill="E4E4E4"/>
          </w:tcPr>
          <w:p>
            <w:pPr>
              <w:jc w:val="right"/>
              <w:ind w:right="100"/>
              <w:spacing w:after="0" w:line="220" w:lineRule="exact"/>
              <w:rPr>
                <w:sz w:val="20"/>
                <w:szCs w:val="20"/>
                <w:color w:val="auto"/>
              </w:rPr>
            </w:pPr>
            <w:r>
              <w:rPr>
                <w:rFonts w:ascii="Arial" w:cs="Arial" w:eastAsia="Arial" w:hAnsi="Arial"/>
                <w:sz w:val="20"/>
                <w:szCs w:val="20"/>
                <w:color w:val="auto"/>
              </w:rPr>
              <w:t>387</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20"/>
                <w:szCs w:val="20"/>
                <w:color w:val="auto"/>
              </w:rPr>
              <w:t>Expected to vest</w:t>
            </w:r>
          </w:p>
        </w:tc>
        <w:tc>
          <w:tcPr>
            <w:tcW w:w="20" w:type="dxa"/>
            <w:vAlign w:val="bottom"/>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6.41</w:t>
            </w:r>
          </w:p>
        </w:tc>
        <w:tc>
          <w:tcPr>
            <w:tcW w:w="1480" w:type="dxa"/>
            <w:vAlign w:val="bottom"/>
            <w:gridSpan w:val="3"/>
            <w:vMerge w:val="restart"/>
          </w:tcPr>
          <w:p>
            <w:pPr>
              <w:jc w:val="right"/>
              <w:ind w:right="160"/>
              <w:spacing w:after="0"/>
              <w:rPr>
                <w:sz w:val="20"/>
                <w:szCs w:val="20"/>
                <w:color w:val="auto"/>
              </w:rPr>
            </w:pPr>
            <w:r>
              <w:rPr>
                <w:rFonts w:ascii="Arial" w:cs="Arial" w:eastAsia="Arial" w:hAnsi="Arial"/>
                <w:sz w:val="20"/>
                <w:szCs w:val="20"/>
                <w:color w:val="auto"/>
              </w:rPr>
              <w:t>8.72</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255"/>
        </w:trPr>
        <w:tc>
          <w:tcPr>
            <w:tcW w:w="3240" w:type="dxa"/>
            <w:vAlign w:val="bottom"/>
            <w:tcBorders>
              <w:bottom w:val="single" w:sz="8" w:color="E4E4E4"/>
            </w:tcBorders>
            <w:vMerge w:val="continue"/>
          </w:tcPr>
          <w:p>
            <w:pPr>
              <w:spacing w:after="0"/>
              <w:rPr>
                <w:sz w:val="22"/>
                <w:szCs w:val="22"/>
                <w:color w:val="auto"/>
              </w:rPr>
            </w:pPr>
          </w:p>
        </w:tc>
        <w:tc>
          <w:tcPr>
            <w:tcW w:w="20" w:type="dxa"/>
            <w:vAlign w:val="bottom"/>
            <w:tcBorders>
              <w:bottom w:val="single" w:sz="8" w:color="E4E4E4"/>
            </w:tcBorders>
            <w:vMerge w:val="continue"/>
          </w:tcPr>
          <w:p>
            <w:pPr>
              <w:spacing w:after="0"/>
              <w:rPr>
                <w:sz w:val="22"/>
                <w:szCs w:val="22"/>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color w:val="auto"/>
              </w:rPr>
              <w:t>4,000,554</w:t>
            </w:r>
          </w:p>
        </w:tc>
        <w:tc>
          <w:tcPr>
            <w:tcW w:w="20" w:type="dxa"/>
            <w:vAlign w:val="bottom"/>
            <w:vMerge w:val="continue"/>
          </w:tcPr>
          <w:p>
            <w:pPr>
              <w:spacing w:after="0"/>
              <w:rPr>
                <w:sz w:val="22"/>
                <w:szCs w:val="22"/>
                <w:color w:val="auto"/>
              </w:rPr>
            </w:pPr>
          </w:p>
        </w:tc>
        <w:tc>
          <w:tcPr>
            <w:tcW w:w="140" w:type="dxa"/>
            <w:vAlign w:val="bottom"/>
            <w:tcBorders>
              <w:bottom w:val="single" w:sz="8" w:color="E4E4E4"/>
            </w:tcBorders>
            <w:vMerge w:val="continue"/>
          </w:tcPr>
          <w:p>
            <w:pPr>
              <w:spacing w:after="0"/>
              <w:rPr>
                <w:sz w:val="22"/>
                <w:szCs w:val="22"/>
                <w:color w:val="auto"/>
              </w:rPr>
            </w:pPr>
          </w:p>
        </w:tc>
        <w:tc>
          <w:tcPr>
            <w:tcW w:w="160" w:type="dxa"/>
            <w:vAlign w:val="bottom"/>
            <w:tcBorders>
              <w:bottom w:val="single" w:sz="8" w:color="E4E4E4"/>
            </w:tcBorders>
            <w:vMerge w:val="continue"/>
          </w:tcPr>
          <w:p>
            <w:pPr>
              <w:spacing w:after="0"/>
              <w:rPr>
                <w:sz w:val="22"/>
                <w:szCs w:val="22"/>
                <w:color w:val="auto"/>
              </w:rPr>
            </w:pPr>
          </w:p>
        </w:tc>
        <w:tc>
          <w:tcPr>
            <w:tcW w:w="1000" w:type="dxa"/>
            <w:vAlign w:val="bottom"/>
            <w:tcBorders>
              <w:bottom w:val="single" w:sz="8" w:color="E4E4E4"/>
            </w:tcBorders>
            <w:vMerge w:val="continue"/>
          </w:tcPr>
          <w:p>
            <w:pPr>
              <w:spacing w:after="0"/>
              <w:rPr>
                <w:sz w:val="22"/>
                <w:szCs w:val="22"/>
                <w:color w:val="auto"/>
              </w:rPr>
            </w:pPr>
          </w:p>
        </w:tc>
        <w:tc>
          <w:tcPr>
            <w:tcW w:w="1480" w:type="dxa"/>
            <w:vAlign w:val="bottom"/>
            <w:tcBorders>
              <w:bottom w:val="single" w:sz="8" w:color="E4E4E4"/>
            </w:tcBorders>
            <w:gridSpan w:val="3"/>
            <w:vMerge w:val="continue"/>
          </w:tcPr>
          <w:p>
            <w:pPr>
              <w:spacing w:after="0"/>
              <w:rPr>
                <w:sz w:val="22"/>
                <w:szCs w:val="22"/>
                <w:color w:val="auto"/>
              </w:rPr>
            </w:pPr>
          </w:p>
        </w:tc>
        <w:tc>
          <w:tcPr>
            <w:tcW w:w="140" w:type="dxa"/>
            <w:vAlign w:val="bottom"/>
            <w:tcBorders>
              <w:bottom w:val="single" w:sz="8" w:color="E4E4E4"/>
            </w:tcBorders>
            <w:vMerge w:val="continue"/>
          </w:tcPr>
          <w:p>
            <w:pPr>
              <w:spacing w:after="0"/>
              <w:rPr>
                <w:sz w:val="22"/>
                <w:szCs w:val="22"/>
                <w:color w:val="auto"/>
              </w:rPr>
            </w:pPr>
          </w:p>
        </w:tc>
        <w:tc>
          <w:tcPr>
            <w:tcW w:w="1120" w:type="dxa"/>
            <w:vAlign w:val="bottom"/>
            <w:tcBorders>
              <w:bottom w:val="single" w:sz="8" w:color="E4E4E4"/>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E4E4E4"/>
          </w:tcPr>
          <w:p>
            <w:pPr>
              <w:spacing w:after="0" w:line="216" w:lineRule="exact"/>
              <w:rPr>
                <w:sz w:val="20"/>
                <w:szCs w:val="20"/>
                <w:color w:val="auto"/>
              </w:rPr>
            </w:pPr>
            <w:r>
              <w:rPr>
                <w:rFonts w:ascii="Arial" w:cs="Arial" w:eastAsia="Arial" w:hAnsi="Arial"/>
                <w:sz w:val="20"/>
                <w:szCs w:val="20"/>
                <w:color w:val="auto"/>
              </w:rPr>
              <w:t>Options exercisable</w:t>
            </w:r>
          </w:p>
        </w:tc>
        <w:tc>
          <w:tcPr>
            <w:tcW w:w="1140" w:type="dxa"/>
            <w:vAlign w:val="bottom"/>
            <w:tcBorders>
              <w:bottom w:val="single" w:sz="8" w:color="auto"/>
            </w:tcBorders>
            <w:gridSpan w:val="2"/>
            <w:shd w:val="clear" w:color="auto" w:fill="E4E4E4"/>
          </w:tcPr>
          <w:p>
            <w:pPr>
              <w:jc w:val="right"/>
              <w:spacing w:after="0" w:line="216" w:lineRule="exact"/>
              <w:rPr>
                <w:sz w:val="20"/>
                <w:szCs w:val="20"/>
                <w:color w:val="auto"/>
              </w:rPr>
            </w:pPr>
            <w:r>
              <w:rPr>
                <w:rFonts w:ascii="Arial" w:cs="Arial" w:eastAsia="Arial" w:hAnsi="Arial"/>
                <w:sz w:val="20"/>
                <w:szCs w:val="20"/>
                <w:color w:val="auto"/>
              </w:rPr>
              <w:t>2,820,315</w:t>
            </w:r>
          </w:p>
        </w:tc>
        <w:tc>
          <w:tcPr>
            <w:tcW w:w="20" w:type="dxa"/>
            <w:vAlign w:val="bottom"/>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60" w:type="dxa"/>
            <w:vAlign w:val="bottom"/>
            <w:shd w:val="clear" w:color="auto" w:fill="E4E4E4"/>
          </w:tcPr>
          <w:p>
            <w:pPr>
              <w:jc w:val="right"/>
              <w:spacing w:after="0" w:line="216" w:lineRule="exact"/>
              <w:rPr>
                <w:sz w:val="20"/>
                <w:szCs w:val="20"/>
                <w:color w:val="auto"/>
              </w:rPr>
            </w:pPr>
            <w:r>
              <w:rPr>
                <w:rFonts w:ascii="Arial" w:cs="Arial" w:eastAsia="Arial" w:hAnsi="Arial"/>
                <w:sz w:val="20"/>
                <w:szCs w:val="20"/>
                <w:color w:val="auto"/>
                <w:w w:val="89"/>
              </w:rPr>
              <w:t>$</w:t>
            </w:r>
          </w:p>
        </w:tc>
        <w:tc>
          <w:tcPr>
            <w:tcW w:w="1000" w:type="dxa"/>
            <w:vAlign w:val="bottom"/>
            <w:shd w:val="clear" w:color="auto" w:fill="E4E4E4"/>
          </w:tcPr>
          <w:p>
            <w:pPr>
              <w:jc w:val="right"/>
              <w:spacing w:after="0" w:line="216" w:lineRule="exact"/>
              <w:rPr>
                <w:sz w:val="20"/>
                <w:szCs w:val="20"/>
                <w:color w:val="auto"/>
              </w:rPr>
            </w:pPr>
            <w:r>
              <w:rPr>
                <w:rFonts w:ascii="Arial" w:cs="Arial" w:eastAsia="Arial" w:hAnsi="Arial"/>
                <w:sz w:val="20"/>
                <w:szCs w:val="20"/>
                <w:color w:val="auto"/>
              </w:rPr>
              <w:t>10.18</w:t>
            </w:r>
          </w:p>
        </w:tc>
        <w:tc>
          <w:tcPr>
            <w:tcW w:w="1480" w:type="dxa"/>
            <w:vAlign w:val="bottom"/>
            <w:gridSpan w:val="3"/>
            <w:shd w:val="clear" w:color="auto" w:fill="E4E4E4"/>
          </w:tcPr>
          <w:p>
            <w:pPr>
              <w:jc w:val="right"/>
              <w:ind w:right="160"/>
              <w:spacing w:after="0" w:line="216" w:lineRule="exact"/>
              <w:rPr>
                <w:sz w:val="20"/>
                <w:szCs w:val="20"/>
                <w:color w:val="auto"/>
              </w:rPr>
            </w:pPr>
            <w:r>
              <w:rPr>
                <w:rFonts w:ascii="Arial" w:cs="Arial" w:eastAsia="Arial" w:hAnsi="Arial"/>
                <w:sz w:val="20"/>
                <w:szCs w:val="20"/>
                <w:color w:val="auto"/>
              </w:rPr>
              <w:t>7.56</w:t>
            </w:r>
          </w:p>
        </w:tc>
        <w:tc>
          <w:tcPr>
            <w:tcW w:w="140" w:type="dxa"/>
            <w:vAlign w:val="bottom"/>
            <w:shd w:val="clear" w:color="auto" w:fill="E4E4E4"/>
          </w:tcPr>
          <w:p>
            <w:pPr>
              <w:jc w:val="right"/>
              <w:spacing w:after="0" w:line="216" w:lineRule="exact"/>
              <w:rPr>
                <w:sz w:val="20"/>
                <w:szCs w:val="20"/>
                <w:color w:val="auto"/>
              </w:rPr>
            </w:pPr>
            <w:r>
              <w:rPr>
                <w:rFonts w:ascii="Arial" w:cs="Arial" w:eastAsia="Arial" w:hAnsi="Arial"/>
                <w:sz w:val="20"/>
                <w:szCs w:val="20"/>
                <w:color w:val="auto"/>
                <w:w w:val="89"/>
              </w:rPr>
              <w:t>$</w:t>
            </w:r>
          </w:p>
        </w:tc>
        <w:tc>
          <w:tcPr>
            <w:tcW w:w="1120" w:type="dxa"/>
            <w:vAlign w:val="bottom"/>
            <w:gridSpan w:val="2"/>
            <w:shd w:val="clear" w:color="auto" w:fill="E4E4E4"/>
          </w:tcPr>
          <w:p>
            <w:pPr>
              <w:jc w:val="right"/>
              <w:ind w:right="100"/>
              <w:spacing w:after="0" w:line="216" w:lineRule="exact"/>
              <w:rPr>
                <w:sz w:val="20"/>
                <w:szCs w:val="20"/>
                <w:color w:val="auto"/>
              </w:rPr>
            </w:pPr>
            <w:r>
              <w:rPr>
                <w:rFonts w:ascii="Arial" w:cs="Arial" w:eastAsia="Arial" w:hAnsi="Arial"/>
                <w:sz w:val="20"/>
                <w:szCs w:val="20"/>
                <w:color w:val="auto"/>
              </w:rPr>
              <w:t>387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firstLine="490"/>
        <w:spacing w:after="0" w:line="282" w:lineRule="auto"/>
        <w:rPr>
          <w:sz w:val="20"/>
          <w:szCs w:val="20"/>
          <w:color w:val="auto"/>
        </w:rPr>
      </w:pPr>
      <w:r>
        <w:rPr>
          <w:rFonts w:ascii="Arial" w:cs="Arial" w:eastAsia="Arial" w:hAnsi="Arial"/>
          <w:sz w:val="20"/>
          <w:szCs w:val="20"/>
          <w:color w:val="auto"/>
        </w:rPr>
        <w:t>The total fair value of options granted that vested during the years ended December 31, 2023 and 2022 was $9.8 million and $6.8 million, respectively.</w:t>
      </w:r>
    </w:p>
    <w:p>
      <w:pPr>
        <w:spacing w:after="0" w:line="159"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The aggregate intrinsic value in the table above is calculated as the difference between the exercise price of the underlying options and the estimated fair value of the Company’s common stock underlying all options that were in-the-money at December 31, 2023. The aggregate intrinsic value of options exercised was $0.2 million and $3.0 million during the year ended December 31, 2023 and 2022, respectively, determined as of the date of option exercise. As of December 31, 2023, there was $16.0 million of total unrecognized compensation cost related to non-vested stock options. The Company expects to recognize this cost over a remaining weighted-average period of 1.99 years. The Company utilizes newly issued shares to satisfy option exercises.</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Stock options outstanding and exercisable consisted of the following at December 31, 2023:</w:t>
      </w:r>
    </w:p>
    <w:p>
      <w:pPr>
        <w:spacing w:after="0" w:line="200" w:lineRule="exact"/>
        <w:rPr>
          <w:sz w:val="20"/>
          <w:szCs w:val="20"/>
          <w:color w:val="auto"/>
        </w:rPr>
      </w:pPr>
    </w:p>
    <w:p>
      <w:pPr>
        <w:spacing w:after="0" w:line="215"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13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Shares</w:t>
            </w:r>
          </w:p>
        </w:tc>
        <w:tc>
          <w:tcPr>
            <w:tcW w:w="14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85"/>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8"/>
              </w:rPr>
              <w:t xml:space="preserve">Exercise Price </w:t>
            </w:r>
            <w:r>
              <w:rPr>
                <w:rFonts w:ascii="Arial" w:cs="Arial" w:eastAsia="Arial" w:hAnsi="Arial"/>
                <w:sz w:val="16"/>
                <w:szCs w:val="16"/>
                <w:b w:val="1"/>
                <w:bCs w:val="1"/>
                <w:u w:val="single" w:color="auto"/>
                <w:color w:val="auto"/>
                <w:w w:val="98"/>
              </w:rPr>
              <w:t>($</w:t>
            </w:r>
            <w:r>
              <w:rPr>
                <w:rFonts w:ascii="Arial" w:cs="Arial" w:eastAsia="Arial" w:hAnsi="Arial"/>
                <w:sz w:val="16"/>
                <w:szCs w:val="16"/>
                <w:b w:val="1"/>
                <w:bCs w:val="1"/>
                <w:color w:val="auto"/>
                <w:w w:val="98"/>
              </w:rPr>
              <w:t>)</w:t>
            </w:r>
          </w:p>
        </w:tc>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Outstanding</w:t>
            </w:r>
          </w:p>
        </w:tc>
        <w:tc>
          <w:tcPr>
            <w:tcW w:w="14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Exercisable</w:t>
            </w:r>
          </w:p>
        </w:tc>
        <w:tc>
          <w:tcPr>
            <w:tcW w:w="0" w:type="dxa"/>
            <w:vAlign w:val="bottom"/>
          </w:tcPr>
          <w:p>
            <w:pPr>
              <w:spacing w:after="0"/>
              <w:rPr>
                <w:sz w:val="1"/>
                <w:szCs w:val="1"/>
                <w:color w:val="auto"/>
              </w:rPr>
            </w:pPr>
          </w:p>
        </w:tc>
      </w:tr>
      <w:tr>
        <w:trPr>
          <w:trHeight w:val="20"/>
        </w:trPr>
        <w:tc>
          <w:tcPr>
            <w:tcW w:w="1340" w:type="dxa"/>
            <w:vAlign w:val="bottom"/>
            <w:vMerge w:val="restart"/>
            <w:shd w:val="clear" w:color="auto" w:fill="E4E4E4"/>
          </w:tcPr>
          <w:p>
            <w:pPr>
              <w:spacing w:after="0"/>
              <w:rPr>
                <w:sz w:val="20"/>
                <w:szCs w:val="20"/>
                <w:color w:val="auto"/>
              </w:rPr>
            </w:pPr>
            <w:r>
              <w:rPr>
                <w:rFonts w:ascii="Arial" w:cs="Arial" w:eastAsia="Arial" w:hAnsi="Arial"/>
                <w:sz w:val="20"/>
                <w:szCs w:val="20"/>
                <w:color w:val="auto"/>
              </w:rPr>
              <w:t>0.16 to 4.22</w:t>
            </w:r>
          </w:p>
        </w:tc>
        <w:tc>
          <w:tcPr>
            <w:tcW w:w="2240" w:type="dxa"/>
            <w:vAlign w:val="bottom"/>
            <w:shd w:val="clear" w:color="auto" w:fill="E4E4E4"/>
          </w:tcPr>
          <w:p>
            <w:pPr>
              <w:spacing w:after="0" w:line="20" w:lineRule="exact"/>
              <w:rPr>
                <w:sz w:val="1"/>
                <w:szCs w:val="1"/>
                <w:color w:val="auto"/>
              </w:rPr>
            </w:pPr>
          </w:p>
        </w:tc>
        <w:tc>
          <w:tcPr>
            <w:tcW w:w="80" w:type="dxa"/>
            <w:vAlign w:val="bottom"/>
            <w:tcBorders>
              <w:right w:val="single" w:sz="8" w:color="E4E4E4"/>
            </w:tcBorders>
            <w:shd w:val="clear" w:color="auto" w:fill="E4E4E4"/>
          </w:tcPr>
          <w:p>
            <w:pPr>
              <w:spacing w:after="0" w:line="20" w:lineRule="exact"/>
              <w:rPr>
                <w:sz w:val="1"/>
                <w:szCs w:val="1"/>
                <w:color w:val="auto"/>
              </w:rPr>
            </w:pPr>
          </w:p>
        </w:tc>
        <w:tc>
          <w:tcPr>
            <w:tcW w:w="1360" w:type="dxa"/>
            <w:vAlign w:val="bottom"/>
            <w:tcBorders>
              <w:right w:val="single" w:sz="8" w:color="E4E4E4"/>
            </w:tcBorders>
            <w:shd w:val="clear" w:color="auto" w:fill="000000"/>
          </w:tcPr>
          <w:p>
            <w:pPr>
              <w:spacing w:after="0" w:line="20" w:lineRule="exact"/>
              <w:rPr>
                <w:sz w:val="1"/>
                <w:szCs w:val="1"/>
                <w:color w:val="auto"/>
              </w:rPr>
            </w:pPr>
          </w:p>
        </w:tc>
        <w:tc>
          <w:tcPr>
            <w:tcW w:w="120" w:type="dxa"/>
            <w:vAlign w:val="bottom"/>
            <w:tcBorders>
              <w:right w:val="single" w:sz="8" w:color="E4E4E4"/>
            </w:tcBorders>
            <w:shd w:val="clear" w:color="auto" w:fill="E4E4E4"/>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340" w:type="dxa"/>
            <w:vAlign w:val="bottom"/>
            <w:vMerge w:val="continue"/>
            <w:shd w:val="clear" w:color="auto" w:fill="E4E4E4"/>
          </w:tcPr>
          <w:p>
            <w:pPr>
              <w:spacing w:after="0"/>
              <w:rPr>
                <w:sz w:val="18"/>
                <w:szCs w:val="18"/>
                <w:color w:val="auto"/>
              </w:rPr>
            </w:pPr>
          </w:p>
        </w:tc>
        <w:tc>
          <w:tcPr>
            <w:tcW w:w="2240" w:type="dxa"/>
            <w:vAlign w:val="bottom"/>
            <w:shd w:val="clear" w:color="auto" w:fill="E4E4E4"/>
          </w:tcPr>
          <w:p>
            <w:pPr>
              <w:spacing w:after="0"/>
              <w:rPr>
                <w:sz w:val="18"/>
                <w:szCs w:val="18"/>
                <w:color w:val="auto"/>
              </w:rPr>
            </w:pPr>
          </w:p>
        </w:tc>
        <w:tc>
          <w:tcPr>
            <w:tcW w:w="80" w:type="dxa"/>
            <w:vAlign w:val="bottom"/>
            <w:tcBorders>
              <w:right w:val="single" w:sz="8" w:color="E4E4E4"/>
            </w:tcBorders>
            <w:shd w:val="clear" w:color="auto" w:fill="E4E4E4"/>
          </w:tcPr>
          <w:p>
            <w:pPr>
              <w:spacing w:after="0"/>
              <w:rPr>
                <w:sz w:val="18"/>
                <w:szCs w:val="18"/>
                <w:color w:val="auto"/>
              </w:rPr>
            </w:pPr>
          </w:p>
        </w:tc>
        <w:tc>
          <w:tcPr>
            <w:tcW w:w="1360" w:type="dxa"/>
            <w:vAlign w:val="bottom"/>
            <w:tcBorders>
              <w:right w:val="single" w:sz="8" w:color="E4E4E4"/>
            </w:tcBorders>
            <w:shd w:val="clear" w:color="auto" w:fill="E4E4E4"/>
          </w:tcPr>
          <w:p>
            <w:pPr>
              <w:jc w:val="right"/>
              <w:spacing w:after="0" w:line="218" w:lineRule="exact"/>
              <w:rPr>
                <w:sz w:val="20"/>
                <w:szCs w:val="20"/>
                <w:color w:val="auto"/>
              </w:rPr>
            </w:pPr>
            <w:r>
              <w:rPr>
                <w:rFonts w:ascii="Arial" w:cs="Arial" w:eastAsia="Arial" w:hAnsi="Arial"/>
                <w:sz w:val="20"/>
                <w:szCs w:val="20"/>
                <w:color w:val="auto"/>
              </w:rPr>
              <w:t>3,709,593</w:t>
            </w:r>
          </w:p>
        </w:tc>
        <w:tc>
          <w:tcPr>
            <w:tcW w:w="120" w:type="dxa"/>
            <w:vAlign w:val="bottom"/>
            <w:tcBorders>
              <w:right w:val="single" w:sz="8" w:color="E4E4E4"/>
            </w:tcBorders>
            <w:shd w:val="clear" w:color="auto" w:fill="E4E4E4"/>
          </w:tcPr>
          <w:p>
            <w:pPr>
              <w:spacing w:after="0"/>
              <w:rPr>
                <w:sz w:val="18"/>
                <w:szCs w:val="18"/>
                <w:color w:val="auto"/>
              </w:rPr>
            </w:pPr>
          </w:p>
        </w:tc>
        <w:tc>
          <w:tcPr>
            <w:tcW w:w="1420" w:type="dxa"/>
            <w:vAlign w:val="bottom"/>
            <w:gridSpan w:val="2"/>
            <w:shd w:val="clear" w:color="auto" w:fill="E4E4E4"/>
          </w:tcPr>
          <w:p>
            <w:pPr>
              <w:jc w:val="right"/>
              <w:ind w:right="80"/>
              <w:spacing w:after="0" w:line="218" w:lineRule="exact"/>
              <w:rPr>
                <w:sz w:val="20"/>
                <w:szCs w:val="20"/>
                <w:color w:val="auto"/>
              </w:rPr>
            </w:pPr>
            <w:r>
              <w:rPr>
                <w:rFonts w:ascii="Arial" w:cs="Arial" w:eastAsia="Arial" w:hAnsi="Arial"/>
                <w:sz w:val="20"/>
                <w:szCs w:val="20"/>
                <w:color w:val="auto"/>
              </w:rPr>
              <w:t>1,005,785</w:t>
            </w:r>
          </w:p>
        </w:tc>
        <w:tc>
          <w:tcPr>
            <w:tcW w:w="0" w:type="dxa"/>
            <w:vAlign w:val="bottom"/>
          </w:tcPr>
          <w:p>
            <w:pPr>
              <w:spacing w:after="0"/>
              <w:rPr>
                <w:sz w:val="1"/>
                <w:szCs w:val="1"/>
                <w:color w:val="auto"/>
              </w:rPr>
            </w:pPr>
          </w:p>
        </w:tc>
      </w:tr>
      <w:tr>
        <w:trPr>
          <w:trHeight w:val="229"/>
        </w:trPr>
        <w:tc>
          <w:tcPr>
            <w:tcW w:w="1340" w:type="dxa"/>
            <w:vAlign w:val="bottom"/>
          </w:tcPr>
          <w:p>
            <w:pPr>
              <w:spacing w:after="0"/>
              <w:rPr>
                <w:sz w:val="20"/>
                <w:szCs w:val="20"/>
                <w:color w:val="auto"/>
              </w:rPr>
            </w:pPr>
            <w:r>
              <w:rPr>
                <w:rFonts w:ascii="Arial" w:cs="Arial" w:eastAsia="Arial" w:hAnsi="Arial"/>
                <w:sz w:val="20"/>
                <w:szCs w:val="20"/>
                <w:color w:val="auto"/>
              </w:rPr>
              <w:t>8.93 to 19.94</w:t>
            </w: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2,759,028</w:t>
            </w:r>
          </w:p>
        </w:tc>
        <w:tc>
          <w:tcPr>
            <w:tcW w:w="12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20"/>
                <w:szCs w:val="20"/>
                <w:color w:val="auto"/>
              </w:rPr>
              <w:t>1,615,758</w:t>
            </w:r>
          </w:p>
        </w:tc>
        <w:tc>
          <w:tcPr>
            <w:tcW w:w="0" w:type="dxa"/>
            <w:vAlign w:val="bottom"/>
          </w:tcPr>
          <w:p>
            <w:pPr>
              <w:spacing w:after="0"/>
              <w:rPr>
                <w:sz w:val="1"/>
                <w:szCs w:val="1"/>
                <w:color w:val="auto"/>
              </w:rPr>
            </w:pPr>
          </w:p>
        </w:tc>
      </w:tr>
      <w:tr>
        <w:trPr>
          <w:trHeight w:val="250"/>
        </w:trPr>
        <w:tc>
          <w:tcPr>
            <w:tcW w:w="1340" w:type="dxa"/>
            <w:vAlign w:val="bottom"/>
            <w:shd w:val="clear" w:color="auto" w:fill="E4E4E4"/>
          </w:tcPr>
          <w:p>
            <w:pPr>
              <w:spacing w:after="0"/>
              <w:rPr>
                <w:sz w:val="20"/>
                <w:szCs w:val="20"/>
                <w:color w:val="auto"/>
              </w:rPr>
            </w:pPr>
            <w:r>
              <w:rPr>
                <w:rFonts w:ascii="Arial" w:cs="Arial" w:eastAsia="Arial" w:hAnsi="Arial"/>
                <w:sz w:val="20"/>
                <w:szCs w:val="20"/>
                <w:color w:val="auto"/>
              </w:rPr>
              <w:t>20.55 to 29.41</w:t>
            </w:r>
          </w:p>
        </w:tc>
        <w:tc>
          <w:tcPr>
            <w:tcW w:w="2240" w:type="dxa"/>
            <w:vAlign w:val="bottom"/>
            <w:shd w:val="clear" w:color="auto" w:fill="E4E4E4"/>
          </w:tcPr>
          <w:p>
            <w:pPr>
              <w:spacing w:after="0"/>
              <w:rPr>
                <w:sz w:val="21"/>
                <w:szCs w:val="21"/>
                <w:color w:val="auto"/>
              </w:rPr>
            </w:pPr>
          </w:p>
        </w:tc>
        <w:tc>
          <w:tcPr>
            <w:tcW w:w="80" w:type="dxa"/>
            <w:vAlign w:val="bottom"/>
            <w:tcBorders>
              <w:right w:val="single" w:sz="8" w:color="E4E4E4"/>
            </w:tcBorders>
            <w:shd w:val="clear" w:color="auto" w:fill="E4E4E4"/>
          </w:tcPr>
          <w:p>
            <w:pPr>
              <w:spacing w:after="0"/>
              <w:rPr>
                <w:sz w:val="21"/>
                <w:szCs w:val="21"/>
                <w:color w:val="auto"/>
              </w:rPr>
            </w:pPr>
          </w:p>
        </w:tc>
        <w:tc>
          <w:tcPr>
            <w:tcW w:w="136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352,248</w:t>
            </w:r>
          </w:p>
        </w:tc>
        <w:tc>
          <w:tcPr>
            <w:tcW w:w="120" w:type="dxa"/>
            <w:vAlign w:val="bottom"/>
            <w:tcBorders>
              <w:right w:val="single" w:sz="8" w:color="E4E4E4"/>
            </w:tcBorders>
            <w:shd w:val="clear" w:color="auto" w:fill="E4E4E4"/>
          </w:tcPr>
          <w:p>
            <w:pPr>
              <w:spacing w:after="0"/>
              <w:rPr>
                <w:sz w:val="21"/>
                <w:szCs w:val="21"/>
                <w:color w:val="auto"/>
              </w:rPr>
            </w:pPr>
          </w:p>
        </w:tc>
        <w:tc>
          <w:tcPr>
            <w:tcW w:w="1420" w:type="dxa"/>
            <w:vAlign w:val="bottom"/>
            <w:gridSpan w:val="2"/>
            <w:shd w:val="clear" w:color="auto" w:fill="E4E4E4"/>
          </w:tcPr>
          <w:p>
            <w:pPr>
              <w:jc w:val="right"/>
              <w:ind w:right="80"/>
              <w:spacing w:after="0"/>
              <w:rPr>
                <w:sz w:val="20"/>
                <w:szCs w:val="20"/>
                <w:color w:val="auto"/>
              </w:rPr>
            </w:pPr>
            <w:r>
              <w:rPr>
                <w:rFonts w:ascii="Arial" w:cs="Arial" w:eastAsia="Arial" w:hAnsi="Arial"/>
                <w:sz w:val="20"/>
                <w:szCs w:val="20"/>
                <w:color w:val="auto"/>
              </w:rPr>
              <w:t>198,772</w:t>
            </w:r>
          </w:p>
        </w:tc>
        <w:tc>
          <w:tcPr>
            <w:tcW w:w="0" w:type="dxa"/>
            <w:vAlign w:val="bottom"/>
          </w:tcPr>
          <w:p>
            <w:pPr>
              <w:spacing w:after="0"/>
              <w:rPr>
                <w:sz w:val="1"/>
                <w:szCs w:val="1"/>
                <w:color w:val="auto"/>
              </w:rPr>
            </w:pPr>
          </w:p>
        </w:tc>
      </w:tr>
      <w:tr>
        <w:trPr>
          <w:trHeight w:val="201"/>
        </w:trPr>
        <w:tc>
          <w:tcPr>
            <w:tcW w:w="1340" w:type="dxa"/>
            <w:vAlign w:val="bottom"/>
            <w:tcBorders>
              <w:top w:val="single" w:sz="8" w:color="E4E4E4"/>
            </w:tcBorders>
          </w:tcPr>
          <w:p>
            <w:pPr>
              <w:ind w:left="280"/>
              <w:spacing w:after="0" w:line="201" w:lineRule="exact"/>
              <w:rPr>
                <w:sz w:val="20"/>
                <w:szCs w:val="20"/>
                <w:color w:val="auto"/>
              </w:rPr>
            </w:pPr>
            <w:r>
              <w:rPr>
                <w:rFonts w:ascii="Arial" w:cs="Arial" w:eastAsia="Arial" w:hAnsi="Arial"/>
                <w:sz w:val="20"/>
                <w:szCs w:val="20"/>
                <w:color w:val="auto"/>
              </w:rPr>
              <w:t>Total</w:t>
            </w:r>
          </w:p>
        </w:tc>
        <w:tc>
          <w:tcPr>
            <w:tcW w:w="2240" w:type="dxa"/>
            <w:vAlign w:val="bottom"/>
            <w:tcBorders>
              <w:top w:val="single" w:sz="8" w:color="E4E4E4"/>
            </w:tcBorders>
          </w:tcPr>
          <w:p>
            <w:pPr>
              <w:spacing w:after="0"/>
              <w:rPr>
                <w:sz w:val="17"/>
                <w:szCs w:val="17"/>
                <w:color w:val="auto"/>
              </w:rPr>
            </w:pPr>
          </w:p>
        </w:tc>
        <w:tc>
          <w:tcPr>
            <w:tcW w:w="80" w:type="dxa"/>
            <w:vAlign w:val="bottom"/>
            <w:tcBorders>
              <w:top w:val="single" w:sz="8" w:color="E4E4E4"/>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20"/>
                <w:szCs w:val="20"/>
                <w:color w:val="auto"/>
              </w:rPr>
              <w:t>6,820,869</w:t>
            </w:r>
          </w:p>
        </w:tc>
        <w:tc>
          <w:tcPr>
            <w:tcW w:w="120" w:type="dxa"/>
            <w:vAlign w:val="bottom"/>
            <w:tcBorders>
              <w:top w:val="single" w:sz="8" w:color="E4E4E4"/>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20"/>
                <w:szCs w:val="20"/>
                <w:color w:val="auto"/>
              </w:rPr>
              <w:t>2,820,315</w:t>
            </w:r>
          </w:p>
        </w:tc>
        <w:tc>
          <w:tcPr>
            <w:tcW w:w="80" w:type="dxa"/>
            <w:vAlign w:val="bottom"/>
            <w:tcBorders>
              <w:top w:val="single" w:sz="8" w:color="E4E4E4"/>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890905</wp:posOffset>
                </wp:positionH>
                <wp:positionV relativeFrom="paragraph">
                  <wp:posOffset>-177165</wp:posOffset>
                </wp:positionV>
                <wp:extent cx="231521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521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15pt,-13.9499pt" to="252.45pt,-13.9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4064000</wp:posOffset>
                </wp:positionH>
                <wp:positionV relativeFrom="paragraph">
                  <wp:posOffset>-177165</wp:posOffset>
                </wp:positionV>
                <wp:extent cx="8699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99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pt,-13.9499pt" to="326.85pt,-13.9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5008245</wp:posOffset>
                </wp:positionH>
                <wp:positionV relativeFrom="paragraph">
                  <wp:posOffset>-177165</wp:posOffset>
                </wp:positionV>
                <wp:extent cx="4318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18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35pt,-13.9499pt" to="397.75pt,-13.9499pt" o:allowincell="f" strokecolor="#FFFFFF" strokeweight="0.48pt"/>
            </w:pict>
          </mc:Fallback>
        </mc:AlternateContent>
      </w:r>
    </w:p>
    <w:p>
      <w:pPr>
        <w:spacing w:after="0" w:line="355"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212121"/>
        </w:rPr>
        <w:t>Restricted Stock Unit Activity</w:t>
      </w:r>
    </w:p>
    <w:p>
      <w:pPr>
        <w:spacing w:after="0" w:line="236" w:lineRule="exact"/>
        <w:rPr>
          <w:sz w:val="20"/>
          <w:szCs w:val="20"/>
          <w:color w:val="auto"/>
        </w:rPr>
      </w:pPr>
    </w:p>
    <w:p>
      <w:pPr>
        <w:ind w:left="480"/>
        <w:spacing w:after="0"/>
        <w:rPr>
          <w:sz w:val="20"/>
          <w:szCs w:val="20"/>
          <w:color w:val="auto"/>
        </w:rPr>
      </w:pPr>
      <w:r>
        <w:rPr>
          <w:rFonts w:ascii="Arial" w:cs="Arial" w:eastAsia="Arial" w:hAnsi="Arial"/>
          <w:sz w:val="20"/>
          <w:szCs w:val="20"/>
          <w:color w:val="212121"/>
        </w:rPr>
        <w:t>A summary of RSU activity for the year ended December 31, 2023 is as follows:</w:t>
      </w:r>
    </w:p>
    <w:p>
      <w:pPr>
        <w:spacing w:after="0" w:line="230" w:lineRule="exact"/>
        <w:rPr>
          <w:sz w:val="20"/>
          <w:szCs w:val="20"/>
          <w:color w:val="auto"/>
        </w:rPr>
      </w:pPr>
    </w:p>
    <w:tbl>
      <w:tblPr>
        <w:tblLayout w:type="fixed"/>
        <w:tblInd w:w="140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Weighted-</w:t>
            </w:r>
          </w:p>
        </w:tc>
      </w:tr>
      <w:tr>
        <w:trPr>
          <w:trHeight w:val="184"/>
        </w:trPr>
        <w:tc>
          <w:tcPr>
            <w:tcW w:w="4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Average</w:t>
            </w:r>
          </w:p>
        </w:tc>
      </w:tr>
      <w:tr>
        <w:trPr>
          <w:trHeight w:val="184"/>
        </w:trPr>
        <w:tc>
          <w:tcPr>
            <w:tcW w:w="4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3"/>
          </w:tcPr>
          <w:p>
            <w:pPr>
              <w:ind w:left="240"/>
              <w:spacing w:after="0"/>
              <w:rPr>
                <w:sz w:val="20"/>
                <w:szCs w:val="20"/>
                <w:color w:val="auto"/>
              </w:rPr>
            </w:pPr>
            <w:r>
              <w:rPr>
                <w:rFonts w:ascii="Arial" w:cs="Arial" w:eastAsia="Arial" w:hAnsi="Arial"/>
                <w:sz w:val="16"/>
                <w:szCs w:val="16"/>
                <w:b w:val="1"/>
                <w:bCs w:val="1"/>
                <w:color w:val="auto"/>
              </w:rPr>
              <w:t>Share</w:t>
            </w:r>
          </w:p>
        </w:tc>
        <w:tc>
          <w:tcPr>
            <w:tcW w:w="9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Grant Date</w:t>
            </w:r>
          </w:p>
        </w:tc>
      </w:tr>
      <w:tr>
        <w:trPr>
          <w:trHeight w:val="203"/>
        </w:trPr>
        <w:tc>
          <w:tcPr>
            <w:tcW w:w="4460" w:type="dxa"/>
            <w:vAlign w:val="bottom"/>
            <w:tcBorders>
              <w:bottom w:val="single" w:sz="8" w:color="E4E4E4"/>
            </w:tcBorders>
          </w:tcPr>
          <w:p>
            <w:pPr>
              <w:spacing w:after="0"/>
              <w:rPr>
                <w:sz w:val="17"/>
                <w:szCs w:val="17"/>
                <w:color w:val="auto"/>
              </w:rPr>
            </w:pPr>
          </w:p>
        </w:tc>
        <w:tc>
          <w:tcPr>
            <w:tcW w:w="4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Equivalent</w:t>
            </w:r>
          </w:p>
        </w:tc>
        <w:tc>
          <w:tcPr>
            <w:tcW w:w="120" w:type="dxa"/>
            <w:vAlign w:val="bottom"/>
            <w:tcBorders>
              <w:bottom w:val="single" w:sz="8" w:color="E4E4E4"/>
            </w:tcBorders>
            <w:gridSpan w:val="2"/>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Fair Value</w:t>
            </w:r>
          </w:p>
        </w:tc>
        <w:tc>
          <w:tcPr>
            <w:tcW w:w="60" w:type="dxa"/>
            <w:vAlign w:val="bottom"/>
            <w:tcBorders>
              <w:bottom w:val="single" w:sz="8" w:color="E4E4E4"/>
            </w:tcBorders>
          </w:tcPr>
          <w:p>
            <w:pPr>
              <w:spacing w:after="0"/>
              <w:rPr>
                <w:sz w:val="17"/>
                <w:szCs w:val="17"/>
                <w:color w:val="auto"/>
              </w:rPr>
            </w:pPr>
          </w:p>
        </w:tc>
      </w:tr>
      <w:tr>
        <w:trPr>
          <w:trHeight w:val="220"/>
        </w:trPr>
        <w:tc>
          <w:tcPr>
            <w:tcW w:w="4460" w:type="dxa"/>
            <w:vAlign w:val="bottom"/>
            <w:shd w:val="clear" w:color="auto" w:fill="E4E4E4"/>
          </w:tcPr>
          <w:p>
            <w:pPr>
              <w:spacing w:after="0" w:line="220" w:lineRule="exact"/>
              <w:rPr>
                <w:sz w:val="20"/>
                <w:szCs w:val="20"/>
                <w:color w:val="auto"/>
              </w:rPr>
            </w:pPr>
            <w:r>
              <w:rPr>
                <w:rFonts w:ascii="Arial" w:cs="Arial" w:eastAsia="Arial" w:hAnsi="Arial"/>
                <w:sz w:val="20"/>
                <w:szCs w:val="20"/>
                <w:color w:val="auto"/>
              </w:rPr>
              <w:t>Non-vested at December 31, 2022</w:t>
            </w:r>
          </w:p>
        </w:tc>
        <w:tc>
          <w:tcPr>
            <w:tcW w:w="1100" w:type="dxa"/>
            <w:vAlign w:val="bottom"/>
            <w:gridSpan w:val="4"/>
            <w:shd w:val="clear" w:color="auto" w:fill="E4E4E4"/>
          </w:tcPr>
          <w:p>
            <w:pPr>
              <w:jc w:val="right"/>
              <w:ind w:right="100"/>
              <w:spacing w:after="0" w:line="220" w:lineRule="exact"/>
              <w:rPr>
                <w:sz w:val="20"/>
                <w:szCs w:val="20"/>
                <w:color w:val="auto"/>
              </w:rPr>
            </w:pPr>
            <w:r>
              <w:rPr>
                <w:rFonts w:ascii="Arial" w:cs="Arial" w:eastAsia="Arial" w:hAnsi="Arial"/>
                <w:sz w:val="20"/>
                <w:szCs w:val="20"/>
                <w:color w:val="auto"/>
                <w:shd w:val="clear" w:color="auto" w:fill="E4E4E4"/>
              </w:rPr>
              <w:t>236,339</w:t>
            </w: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w w:val="71"/>
                <w:shd w:val="clear" w:color="auto" w:fill="E4E4E4"/>
              </w:rPr>
              <w:t>$</w:t>
            </w:r>
          </w:p>
        </w:tc>
        <w:tc>
          <w:tcPr>
            <w:tcW w:w="860" w:type="dxa"/>
            <w:vAlign w:val="bottom"/>
            <w:gridSpan w:val="2"/>
            <w:shd w:val="clear" w:color="auto" w:fill="E4E4E4"/>
          </w:tcPr>
          <w:p>
            <w:pPr>
              <w:jc w:val="right"/>
              <w:ind w:right="60"/>
              <w:spacing w:after="0" w:line="220" w:lineRule="exact"/>
              <w:rPr>
                <w:sz w:val="20"/>
                <w:szCs w:val="20"/>
                <w:color w:val="auto"/>
              </w:rPr>
            </w:pPr>
            <w:r>
              <w:rPr>
                <w:rFonts w:ascii="Arial" w:cs="Arial" w:eastAsia="Arial" w:hAnsi="Arial"/>
                <w:sz w:val="20"/>
                <w:szCs w:val="20"/>
                <w:color w:val="auto"/>
                <w:shd w:val="clear" w:color="auto" w:fill="E4E4E4"/>
              </w:rPr>
              <w:t>15.16</w:t>
            </w:r>
          </w:p>
        </w:tc>
      </w:tr>
      <w:tr>
        <w:trPr>
          <w:trHeight w:val="229"/>
        </w:trPr>
        <w:tc>
          <w:tcPr>
            <w:tcW w:w="4460" w:type="dxa"/>
            <w:vAlign w:val="bottom"/>
          </w:tcPr>
          <w:p>
            <w:pPr>
              <w:spacing w:after="0"/>
              <w:rPr>
                <w:sz w:val="20"/>
                <w:szCs w:val="20"/>
                <w:color w:val="auto"/>
              </w:rPr>
            </w:pPr>
            <w:r>
              <w:rPr>
                <w:rFonts w:ascii="Arial" w:cs="Arial" w:eastAsia="Arial" w:hAnsi="Arial"/>
                <w:sz w:val="20"/>
                <w:szCs w:val="20"/>
                <w:color w:val="auto"/>
              </w:rPr>
              <w:t>Granted</w:t>
            </w:r>
          </w:p>
        </w:tc>
        <w:tc>
          <w:tcPr>
            <w:tcW w:w="1100" w:type="dxa"/>
            <w:vAlign w:val="bottom"/>
            <w:gridSpan w:val="4"/>
          </w:tcPr>
          <w:p>
            <w:pPr>
              <w:jc w:val="right"/>
              <w:ind w:right="100"/>
              <w:spacing w:after="0"/>
              <w:rPr>
                <w:sz w:val="20"/>
                <w:szCs w:val="20"/>
                <w:color w:val="auto"/>
              </w:rPr>
            </w:pPr>
            <w:r>
              <w:rPr>
                <w:rFonts w:ascii="Arial" w:cs="Arial" w:eastAsia="Arial" w:hAnsi="Arial"/>
                <w:sz w:val="20"/>
                <w:szCs w:val="20"/>
                <w:color w:val="auto"/>
              </w:rPr>
              <w:t>138,000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20"/>
                <w:szCs w:val="20"/>
                <w:color w:val="auto"/>
              </w:rPr>
              <w:t>3.28</w:t>
            </w:r>
          </w:p>
        </w:tc>
      </w:tr>
      <w:tr>
        <w:trPr>
          <w:trHeight w:val="230"/>
        </w:trPr>
        <w:tc>
          <w:tcPr>
            <w:tcW w:w="4460" w:type="dxa"/>
            <w:vAlign w:val="bottom"/>
            <w:shd w:val="clear" w:color="auto" w:fill="E4E4E4"/>
          </w:tcPr>
          <w:p>
            <w:pPr>
              <w:spacing w:after="0"/>
              <w:rPr>
                <w:sz w:val="20"/>
                <w:szCs w:val="20"/>
                <w:color w:val="auto"/>
              </w:rPr>
            </w:pPr>
            <w:r>
              <w:rPr>
                <w:rFonts w:ascii="Arial" w:cs="Arial" w:eastAsia="Arial" w:hAnsi="Arial"/>
                <w:sz w:val="20"/>
                <w:szCs w:val="20"/>
                <w:color w:val="auto"/>
              </w:rPr>
              <w:t>Cancelled</w:t>
            </w:r>
          </w:p>
        </w:tc>
        <w:tc>
          <w:tcPr>
            <w:tcW w:w="1100" w:type="dxa"/>
            <w:vAlign w:val="bottom"/>
            <w:gridSpan w:val="4"/>
            <w:shd w:val="clear" w:color="auto" w:fill="E4E4E4"/>
          </w:tcPr>
          <w:p>
            <w:pPr>
              <w:jc w:val="right"/>
              <w:ind w:right="40"/>
              <w:spacing w:after="0"/>
              <w:rPr>
                <w:sz w:val="20"/>
                <w:szCs w:val="20"/>
                <w:color w:val="auto"/>
              </w:rPr>
            </w:pPr>
            <w:r>
              <w:rPr>
                <w:rFonts w:ascii="Arial" w:cs="Arial" w:eastAsia="Arial" w:hAnsi="Arial"/>
                <w:sz w:val="20"/>
                <w:szCs w:val="20"/>
                <w:color w:val="auto"/>
              </w:rPr>
              <w:t>(64,252)</w:t>
            </w: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860" w:type="dxa"/>
            <w:vAlign w:val="bottom"/>
            <w:gridSpan w:val="2"/>
            <w:shd w:val="clear" w:color="auto" w:fill="E4E4E4"/>
          </w:tcPr>
          <w:p>
            <w:pPr>
              <w:jc w:val="right"/>
              <w:ind w:right="60"/>
              <w:spacing w:after="0"/>
              <w:rPr>
                <w:sz w:val="20"/>
                <w:szCs w:val="20"/>
                <w:color w:val="auto"/>
              </w:rPr>
            </w:pPr>
            <w:r>
              <w:rPr>
                <w:rFonts w:ascii="Arial" w:cs="Arial" w:eastAsia="Arial" w:hAnsi="Arial"/>
                <w:sz w:val="20"/>
                <w:szCs w:val="20"/>
                <w:color w:val="auto"/>
              </w:rPr>
              <w:t>7.63</w:t>
            </w:r>
          </w:p>
        </w:tc>
      </w:tr>
      <w:tr>
        <w:trPr>
          <w:trHeight w:val="230"/>
        </w:trPr>
        <w:tc>
          <w:tcPr>
            <w:tcW w:w="4460" w:type="dxa"/>
            <w:vAlign w:val="bottom"/>
            <w:tcBorders>
              <w:bottom w:val="single" w:sz="8" w:color="E4E4E4"/>
            </w:tcBorders>
          </w:tcPr>
          <w:p>
            <w:pPr>
              <w:spacing w:after="0"/>
              <w:rPr>
                <w:sz w:val="20"/>
                <w:szCs w:val="20"/>
                <w:color w:val="auto"/>
              </w:rPr>
            </w:pPr>
            <w:r>
              <w:rPr>
                <w:rFonts w:ascii="Arial" w:cs="Arial" w:eastAsia="Arial" w:hAnsi="Arial"/>
                <w:sz w:val="20"/>
                <w:szCs w:val="20"/>
                <w:color w:val="auto"/>
              </w:rPr>
              <w:t>Vested</w:t>
            </w:r>
          </w:p>
        </w:tc>
        <w:tc>
          <w:tcPr>
            <w:tcW w:w="4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E4E4E4"/>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4E4E4"/>
            </w:tcBorders>
          </w:tcPr>
          <w:p>
            <w:pPr>
              <w:spacing w:after="0"/>
              <w:rPr>
                <w:sz w:val="20"/>
                <w:szCs w:val="20"/>
                <w:color w:val="auto"/>
              </w:rPr>
            </w:pPr>
          </w:p>
        </w:tc>
      </w:tr>
      <w:tr>
        <w:trPr>
          <w:trHeight w:val="221"/>
        </w:trPr>
        <w:tc>
          <w:tcPr>
            <w:tcW w:w="4460" w:type="dxa"/>
            <w:vAlign w:val="bottom"/>
            <w:shd w:val="clear" w:color="auto" w:fill="E4E4E4"/>
          </w:tcPr>
          <w:p>
            <w:pPr>
              <w:spacing w:after="0" w:line="220" w:lineRule="exact"/>
              <w:rPr>
                <w:sz w:val="20"/>
                <w:szCs w:val="20"/>
                <w:color w:val="auto"/>
              </w:rPr>
            </w:pPr>
            <w:r>
              <w:rPr>
                <w:rFonts w:ascii="Arial" w:cs="Arial" w:eastAsia="Arial" w:hAnsi="Arial"/>
                <w:sz w:val="20"/>
                <w:szCs w:val="20"/>
                <w:color w:val="auto"/>
              </w:rPr>
              <w:t>Non-vested at December 31, 2023</w:t>
            </w:r>
          </w:p>
        </w:tc>
        <w:tc>
          <w:tcPr>
            <w:tcW w:w="1100" w:type="dxa"/>
            <w:vAlign w:val="bottom"/>
            <w:gridSpan w:val="4"/>
            <w:shd w:val="clear" w:color="auto" w:fill="E4E4E4"/>
          </w:tcPr>
          <w:p>
            <w:pPr>
              <w:jc w:val="right"/>
              <w:ind w:right="100"/>
              <w:spacing w:after="0" w:line="221" w:lineRule="exact"/>
              <w:rPr>
                <w:sz w:val="20"/>
                <w:szCs w:val="20"/>
                <w:color w:val="auto"/>
              </w:rPr>
            </w:pPr>
            <w:r>
              <w:rPr>
                <w:rFonts w:ascii="Arial" w:cs="Arial" w:eastAsia="Arial" w:hAnsi="Arial"/>
                <w:sz w:val="20"/>
                <w:szCs w:val="20"/>
                <w:color w:val="auto"/>
                <w:shd w:val="clear" w:color="auto" w:fill="E4E4E4"/>
              </w:rPr>
              <w:t>310,087</w:t>
            </w: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line="221" w:lineRule="exact"/>
              <w:rPr>
                <w:sz w:val="20"/>
                <w:szCs w:val="20"/>
                <w:color w:val="auto"/>
              </w:rPr>
            </w:pPr>
            <w:r>
              <w:rPr>
                <w:rFonts w:ascii="Arial" w:cs="Arial" w:eastAsia="Arial" w:hAnsi="Arial"/>
                <w:sz w:val="20"/>
                <w:szCs w:val="20"/>
                <w:color w:val="auto"/>
                <w:w w:val="71"/>
                <w:shd w:val="clear" w:color="auto" w:fill="E4E4E4"/>
              </w:rPr>
              <w:t>$</w:t>
            </w:r>
          </w:p>
        </w:tc>
        <w:tc>
          <w:tcPr>
            <w:tcW w:w="860" w:type="dxa"/>
            <w:vAlign w:val="bottom"/>
            <w:gridSpan w:val="2"/>
            <w:shd w:val="clear" w:color="auto" w:fill="E4E4E4"/>
          </w:tcPr>
          <w:p>
            <w:pPr>
              <w:jc w:val="right"/>
              <w:ind w:right="60"/>
              <w:spacing w:after="0" w:line="221" w:lineRule="exact"/>
              <w:rPr>
                <w:sz w:val="20"/>
                <w:szCs w:val="20"/>
                <w:color w:val="auto"/>
              </w:rPr>
            </w:pPr>
            <w:r>
              <w:rPr>
                <w:rFonts w:ascii="Arial" w:cs="Arial" w:eastAsia="Arial" w:hAnsi="Arial"/>
                <w:sz w:val="20"/>
                <w:szCs w:val="20"/>
                <w:color w:val="auto"/>
                <w:shd w:val="clear" w:color="auto" w:fill="E4E4E4"/>
              </w:rPr>
              <w:t>11.</w:t>
            </w:r>
            <w:r>
              <w:rPr>
                <w:rFonts w:ascii="Arial" w:cs="Arial" w:eastAsia="Arial" w:hAnsi="Arial"/>
                <w:sz w:val="20"/>
                <w:szCs w:val="20"/>
                <w:u w:val="single" w:color="auto"/>
                <w:color w:val="auto"/>
                <w:shd w:val="clear" w:color="auto" w:fill="E4E4E4"/>
              </w:rPr>
              <w:t>44</w:t>
            </w:r>
          </w:p>
        </w:tc>
      </w:tr>
      <w:tr>
        <w:trPr>
          <w:trHeight w:val="20"/>
        </w:trPr>
        <w:tc>
          <w:tcPr>
            <w:tcW w:w="4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154</w:t>
      </w:r>
    </w:p>
    <w:p>
      <w:pPr>
        <w:sectPr>
          <w:pgSz w:w="11880" w:h="15474" w:orient="portrait"/>
          <w:cols w:equalWidth="0" w:num="1">
            <w:col w:w="9360"/>
          </w:cols>
          <w:pgMar w:left="1240" w:top="1440" w:right="1274" w:bottom="0" w:gutter="0" w:footer="0" w:header="0"/>
        </w:sectPr>
      </w:pPr>
    </w:p>
    <w:bookmarkStart w:id="160" w:name="page161"/>
    <w:bookmarkEnd w:id="160"/>
    <w:p>
      <w:pPr>
        <w:ind w:left="480"/>
        <w:spacing w:after="0"/>
        <w:rPr>
          <w:sz w:val="20"/>
          <w:szCs w:val="20"/>
          <w:color w:val="auto"/>
        </w:rPr>
      </w:pPr>
      <w:r>
        <w:rPr>
          <w:rFonts w:ascii="Arial" w:cs="Arial" w:eastAsia="Arial" w:hAnsi="Arial"/>
          <w:sz w:val="20"/>
          <w:szCs w:val="20"/>
          <w:b w:val="1"/>
          <w:bCs w:val="1"/>
          <w:i w:val="1"/>
          <w:iCs w:val="1"/>
          <w:color w:val="212121"/>
        </w:rPr>
        <w:t>Employee Stock Purchase Plan</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9"/>
          <w:szCs w:val="19"/>
          <w:color w:val="212121"/>
        </w:rPr>
        <w:t>Under the ESPP, eligible employees can authorize payroll deductions for amounts up to the lesser of</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212121"/>
        </w:rPr>
        <w:t xml:space="preserve">15% of their qualifying wages or the statutory limit under the U.S. Internal Revenue Code. The ESPP provides for offering periods of six months in duration with one purchase period per offering period beginning May 18 and November 18 of each year. Participants in an offering period will be granted the right to purchase shares of our common stock at a price per share that is 85% of the lesser of the fair market value of the shares at (1) the first day of the offering period or (2) the end of each purchase period within the offering period. A maximum of 10,000 shares of common stock may be purchased by each participant at the purchase date during the offering period. The fair market value of the ESPP options granted is determined using the Black-Scholes model and is amortized on a straight-line basis. Stock-based compensation expense recognized during the years ended December 31, 2023 and 2022 associated with the ESPP was $0.1 million and $0.2 million, respectively. </w:t>
      </w:r>
      <w:r>
        <w:rPr>
          <w:rFonts w:ascii="Arial" w:cs="Arial" w:eastAsia="Arial" w:hAnsi="Arial"/>
          <w:sz w:val="19"/>
          <w:szCs w:val="19"/>
          <w:color w:val="000000"/>
        </w:rPr>
        <w:t>During the year ended December 31, 2023, the</w:t>
      </w:r>
      <w:r>
        <w:rPr>
          <w:rFonts w:ascii="Arial" w:cs="Arial" w:eastAsia="Arial" w:hAnsi="Arial"/>
          <w:sz w:val="19"/>
          <w:szCs w:val="19"/>
          <w:color w:val="212121"/>
        </w:rPr>
        <w:t xml:space="preserve"> </w:t>
      </w:r>
      <w:r>
        <w:rPr>
          <w:rFonts w:ascii="Arial" w:cs="Arial" w:eastAsia="Arial" w:hAnsi="Arial"/>
          <w:sz w:val="19"/>
          <w:szCs w:val="19"/>
          <w:color w:val="000000"/>
        </w:rPr>
        <w:t>Company issued 166,682 shares of common stock to employees under the ESPP.</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color w:val="212121"/>
        </w:rPr>
        <w:t>10. Income Taxes</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Components of Income and Income Tax</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The Company did not record a provision (benefit) for income taxes for the years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2023 and 2022. Net loss is attributable to the following tax jurisdictions (in thousands):</w:t>
      </w:r>
    </w:p>
    <w:p>
      <w:pPr>
        <w:spacing w:after="0" w:line="205"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202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02"/>
        </w:trPr>
        <w:tc>
          <w:tcPr>
            <w:tcW w:w="4540" w:type="dxa"/>
            <w:vAlign w:val="bottom"/>
          </w:tcPr>
          <w:p>
            <w:pPr>
              <w:spacing w:after="0"/>
              <w:rPr>
                <w:sz w:val="17"/>
                <w:szCs w:val="17"/>
                <w:color w:val="auto"/>
              </w:rPr>
            </w:pPr>
          </w:p>
        </w:tc>
        <w:tc>
          <w:tcPr>
            <w:tcW w:w="202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4540" w:type="dxa"/>
            <w:vAlign w:val="bottom"/>
            <w:tcBorders>
              <w:bottom w:val="single" w:sz="8" w:color="E4E4E4"/>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190"/>
              <w:spacing w:after="0" w:line="175"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E4E4E4"/>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85"/>
              <w:spacing w:after="0" w:line="175" w:lineRule="exact"/>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540" w:type="dxa"/>
            <w:vAlign w:val="bottom"/>
            <w:tcBorders>
              <w:right w:val="single" w:sz="8" w:color="E4E4E4"/>
            </w:tcBorders>
            <w:shd w:val="clear" w:color="auto" w:fill="E4E4E4"/>
          </w:tcPr>
          <w:p>
            <w:pPr>
              <w:spacing w:after="0" w:line="220" w:lineRule="exact"/>
              <w:rPr>
                <w:sz w:val="20"/>
                <w:szCs w:val="20"/>
                <w:color w:val="auto"/>
              </w:rPr>
            </w:pPr>
            <w:r>
              <w:rPr>
                <w:rFonts w:ascii="Arial" w:cs="Arial" w:eastAsia="Arial" w:hAnsi="Arial"/>
                <w:sz w:val="20"/>
                <w:szCs w:val="20"/>
                <w:color w:val="auto"/>
              </w:rPr>
              <w:t>United States</w:t>
            </w:r>
          </w:p>
        </w:tc>
        <w:tc>
          <w:tcPr>
            <w:tcW w:w="1200" w:type="dxa"/>
            <w:vAlign w:val="bottom"/>
            <w:gridSpan w:val="3"/>
            <w:shd w:val="clear" w:color="auto" w:fill="E4E4E4"/>
          </w:tcPr>
          <w:p>
            <w:pPr>
              <w:jc w:val="right"/>
              <w:ind w:right="60"/>
              <w:spacing w:after="0" w:line="220" w:lineRule="exact"/>
              <w:rPr>
                <w:sz w:val="20"/>
                <w:szCs w:val="20"/>
                <w:color w:val="auto"/>
              </w:rPr>
            </w:pPr>
            <w:r>
              <w:rPr>
                <w:rFonts w:ascii="Arial" w:cs="Arial" w:eastAsia="Arial" w:hAnsi="Arial"/>
                <w:sz w:val="20"/>
                <w:szCs w:val="20"/>
                <w:color w:val="auto"/>
                <w:w w:val="94"/>
              </w:rPr>
              <w:t>$ (117,440) $</w:t>
            </w:r>
          </w:p>
        </w:tc>
        <w:tc>
          <w:tcPr>
            <w:tcW w:w="74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rPr>
              <w:t>(95,778</w:t>
            </w:r>
          </w:p>
        </w:tc>
        <w:tc>
          <w:tcPr>
            <w:tcW w:w="8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w w:val="89"/>
                <w:shd w:val="clear" w:color="auto" w:fill="E4E4E4"/>
              </w:rPr>
              <w:t>)</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20"/>
                <w:szCs w:val="20"/>
                <w:color w:val="auto"/>
              </w:rPr>
              <w:t>Foreign</w:t>
            </w:r>
          </w:p>
        </w:tc>
        <w:tc>
          <w:tcPr>
            <w:tcW w:w="1040" w:type="dxa"/>
            <w:vAlign w:val="bottom"/>
            <w:gridSpan w:val="2"/>
          </w:tcPr>
          <w:p>
            <w:pPr>
              <w:jc w:val="right"/>
              <w:ind w:right="60"/>
              <w:spacing w:after="0"/>
              <w:rPr>
                <w:sz w:val="20"/>
                <w:szCs w:val="20"/>
                <w:color w:val="auto"/>
              </w:rPr>
            </w:pPr>
            <w:r>
              <w:rPr>
                <w:rFonts w:ascii="Arial" w:cs="Arial" w:eastAsia="Arial" w:hAnsi="Arial"/>
                <w:sz w:val="20"/>
                <w:szCs w:val="20"/>
                <w:color w:val="auto"/>
              </w:rPr>
              <w:t>(232)</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Borders>
              <w:right w:val="single" w:sz="8" w:color="E4E4E4"/>
            </w:tcBorders>
            <w:vMerge w:val="restart"/>
            <w:shd w:val="clear" w:color="auto" w:fill="E4E4E4"/>
          </w:tcPr>
          <w:p>
            <w:pPr>
              <w:ind w:left="340"/>
              <w:spacing w:after="0"/>
              <w:rPr>
                <w:sz w:val="20"/>
                <w:szCs w:val="20"/>
                <w:color w:val="auto"/>
              </w:rPr>
            </w:pPr>
            <w:r>
              <w:rPr>
                <w:rFonts w:ascii="Arial" w:cs="Arial" w:eastAsia="Arial" w:hAnsi="Arial"/>
                <w:sz w:val="20"/>
                <w:szCs w:val="20"/>
                <w:color w:val="auto"/>
              </w:rPr>
              <w:t>Net Loss</w:t>
            </w: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E4E4E4"/>
            </w:tcBorders>
            <w:shd w:val="clear" w:color="auto" w:fill="E4E4E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w w:val="89"/>
                <w:shd w:val="clear" w:color="auto" w:fill="E4E4E4"/>
              </w:rPr>
              <w:t>)</w:t>
            </w:r>
          </w:p>
        </w:tc>
        <w:tc>
          <w:tcPr>
            <w:tcW w:w="0" w:type="dxa"/>
            <w:vAlign w:val="bottom"/>
          </w:tcPr>
          <w:p>
            <w:pPr>
              <w:spacing w:after="0" w:line="20" w:lineRule="exact"/>
              <w:rPr>
                <w:sz w:val="1"/>
                <w:szCs w:val="1"/>
                <w:color w:val="auto"/>
              </w:rPr>
            </w:pPr>
          </w:p>
        </w:tc>
      </w:tr>
      <w:tr>
        <w:trPr>
          <w:trHeight w:val="221"/>
        </w:trPr>
        <w:tc>
          <w:tcPr>
            <w:tcW w:w="4540" w:type="dxa"/>
            <w:vAlign w:val="bottom"/>
            <w:tcBorders>
              <w:right w:val="single" w:sz="8" w:color="E4E4E4"/>
            </w:tcBorders>
            <w:vMerge w:val="continue"/>
            <w:shd w:val="clear" w:color="auto" w:fill="E4E4E4"/>
          </w:tcPr>
          <w:p>
            <w:pPr>
              <w:spacing w:after="0"/>
              <w:rPr>
                <w:sz w:val="19"/>
                <w:szCs w:val="19"/>
                <w:color w:val="auto"/>
              </w:rPr>
            </w:pPr>
          </w:p>
        </w:tc>
        <w:tc>
          <w:tcPr>
            <w:tcW w:w="1200" w:type="dxa"/>
            <w:vAlign w:val="bottom"/>
            <w:gridSpan w:val="3"/>
            <w:shd w:val="clear" w:color="auto" w:fill="E4E4E4"/>
          </w:tcPr>
          <w:p>
            <w:pPr>
              <w:jc w:val="right"/>
              <w:ind w:right="60"/>
              <w:spacing w:after="0" w:line="221" w:lineRule="exact"/>
              <w:rPr>
                <w:sz w:val="20"/>
                <w:szCs w:val="20"/>
                <w:color w:val="auto"/>
              </w:rPr>
            </w:pPr>
            <w:r>
              <w:rPr>
                <w:rFonts w:ascii="Arial" w:cs="Arial" w:eastAsia="Arial" w:hAnsi="Arial"/>
                <w:sz w:val="20"/>
                <w:szCs w:val="20"/>
                <w:color w:val="auto"/>
                <w:w w:val="94"/>
              </w:rPr>
              <w:t>$ (117,672) $</w:t>
            </w:r>
          </w:p>
        </w:tc>
        <w:tc>
          <w:tcPr>
            <w:tcW w:w="740" w:type="dxa"/>
            <w:vAlign w:val="bottom"/>
            <w:shd w:val="clear" w:color="auto" w:fill="E4E4E4"/>
          </w:tcPr>
          <w:p>
            <w:pPr>
              <w:jc w:val="right"/>
              <w:spacing w:after="0" w:line="221" w:lineRule="exact"/>
              <w:rPr>
                <w:sz w:val="20"/>
                <w:szCs w:val="20"/>
                <w:color w:val="auto"/>
              </w:rPr>
            </w:pPr>
            <w:r>
              <w:rPr>
                <w:rFonts w:ascii="Arial" w:cs="Arial" w:eastAsia="Arial" w:hAnsi="Arial"/>
                <w:sz w:val="20"/>
                <w:szCs w:val="20"/>
                <w:color w:val="auto"/>
              </w:rPr>
              <w:t>(95,639</w:t>
            </w:r>
          </w:p>
        </w:tc>
        <w:tc>
          <w:tcPr>
            <w:tcW w:w="80" w:type="dxa"/>
            <w:vAlign w:val="bottom"/>
            <w:vMerge w:val="continue"/>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firstLine="490"/>
        <w:spacing w:after="0" w:line="282" w:lineRule="auto"/>
        <w:rPr>
          <w:sz w:val="20"/>
          <w:szCs w:val="20"/>
          <w:color w:val="auto"/>
        </w:rPr>
      </w:pPr>
      <w:r>
        <w:rPr>
          <w:rFonts w:ascii="Arial" w:cs="Arial" w:eastAsia="Arial" w:hAnsi="Arial"/>
          <w:sz w:val="20"/>
          <w:szCs w:val="20"/>
          <w:color w:val="auto"/>
        </w:rPr>
        <w:t>The provision for income taxes differs from the amount expected by applying the federal statutory rates to the net loss before taxes as follows:</w:t>
      </w:r>
    </w:p>
    <w:p>
      <w:pPr>
        <w:spacing w:after="0" w:line="150"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3"/>
        </w:trPr>
        <w:tc>
          <w:tcPr>
            <w:tcW w:w="4480" w:type="dxa"/>
            <w:vAlign w:val="bottom"/>
            <w:tcBorders>
              <w:bottom w:val="single" w:sz="8" w:color="E4E4E4"/>
            </w:tcBorders>
          </w:tcPr>
          <w:p>
            <w:pPr>
              <w:spacing w:after="0"/>
              <w:rPr>
                <w:sz w:val="15"/>
                <w:szCs w:val="15"/>
                <w:color w:val="auto"/>
              </w:rPr>
            </w:pPr>
          </w:p>
        </w:tc>
        <w:tc>
          <w:tcPr>
            <w:tcW w:w="60" w:type="dxa"/>
            <w:vAlign w:val="bottom"/>
            <w:tcBorders>
              <w:bottom w:val="single" w:sz="8" w:color="E4E4E4"/>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46"/>
              <w:spacing w:after="0" w:line="173" w:lineRule="exact"/>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bottom w:val="single" w:sz="8" w:color="E4E4E4"/>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42"/>
              <w:spacing w:after="0" w:line="173" w:lineRule="exact"/>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480" w:type="dxa"/>
            <w:vAlign w:val="bottom"/>
            <w:shd w:val="clear" w:color="auto" w:fill="E4E4E4"/>
          </w:tcPr>
          <w:p>
            <w:pPr>
              <w:spacing w:after="0" w:line="220" w:lineRule="exact"/>
              <w:rPr>
                <w:sz w:val="20"/>
                <w:szCs w:val="20"/>
                <w:color w:val="auto"/>
              </w:rPr>
            </w:pPr>
            <w:r>
              <w:rPr>
                <w:rFonts w:ascii="Arial" w:cs="Arial" w:eastAsia="Arial" w:hAnsi="Arial"/>
                <w:sz w:val="20"/>
                <w:szCs w:val="20"/>
                <w:color w:val="auto"/>
              </w:rPr>
              <w:t>Federal statutory income tax rate</w:t>
            </w:r>
          </w:p>
        </w:tc>
        <w:tc>
          <w:tcPr>
            <w:tcW w:w="60" w:type="dxa"/>
            <w:vAlign w:val="bottom"/>
            <w:tcBorders>
              <w:right w:val="single" w:sz="8" w:color="E4E4E4"/>
            </w:tcBorders>
            <w:shd w:val="clear" w:color="auto" w:fill="E4E4E4"/>
          </w:tcPr>
          <w:p>
            <w:pPr>
              <w:spacing w:after="0"/>
              <w:rPr>
                <w:sz w:val="19"/>
                <w:szCs w:val="19"/>
                <w:color w:val="auto"/>
              </w:rPr>
            </w:pPr>
          </w:p>
        </w:tc>
        <w:tc>
          <w:tcPr>
            <w:tcW w:w="1040" w:type="dxa"/>
            <w:vAlign w:val="bottom"/>
            <w:tcBorders>
              <w:right w:val="single" w:sz="8" w:color="E4E4E4"/>
            </w:tcBorders>
            <w:gridSpan w:val="2"/>
            <w:shd w:val="clear" w:color="auto" w:fill="E4E4E4"/>
          </w:tcPr>
          <w:p>
            <w:pPr>
              <w:jc w:val="right"/>
              <w:ind w:right="60"/>
              <w:spacing w:after="0" w:line="220" w:lineRule="exact"/>
              <w:rPr>
                <w:sz w:val="20"/>
                <w:szCs w:val="20"/>
                <w:color w:val="auto"/>
              </w:rPr>
            </w:pPr>
            <w:r>
              <w:rPr>
                <w:rFonts w:ascii="Arial" w:cs="Arial" w:eastAsia="Arial" w:hAnsi="Arial"/>
                <w:sz w:val="20"/>
                <w:szCs w:val="20"/>
                <w:color w:val="auto"/>
              </w:rPr>
              <w:t>21.0%</w:t>
            </w:r>
          </w:p>
        </w:tc>
        <w:tc>
          <w:tcPr>
            <w:tcW w:w="980" w:type="dxa"/>
            <w:vAlign w:val="bottom"/>
            <w:gridSpan w:val="2"/>
            <w:shd w:val="clear" w:color="auto" w:fill="E4E4E4"/>
          </w:tcPr>
          <w:p>
            <w:pPr>
              <w:jc w:val="right"/>
              <w:spacing w:after="0" w:line="220" w:lineRule="exact"/>
              <w:rPr>
                <w:sz w:val="20"/>
                <w:szCs w:val="20"/>
                <w:color w:val="auto"/>
              </w:rPr>
            </w:pPr>
            <w:r>
              <w:rPr>
                <w:rFonts w:ascii="Arial" w:cs="Arial" w:eastAsia="Arial" w:hAnsi="Arial"/>
                <w:sz w:val="20"/>
                <w:szCs w:val="20"/>
                <w:color w:val="auto"/>
              </w:rPr>
              <w:t>21.0%</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20"/>
                <w:szCs w:val="20"/>
                <w:color w:val="auto"/>
              </w:rPr>
              <w:t>State taxes</w:t>
            </w:r>
          </w:p>
        </w:tc>
        <w:tc>
          <w:tcPr>
            <w:tcW w:w="6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20"/>
                <w:szCs w:val="20"/>
                <w:color w:val="auto"/>
              </w:rPr>
              <w:t>(0.4)</w:t>
            </w:r>
          </w:p>
        </w:tc>
        <w:tc>
          <w:tcPr>
            <w:tcW w:w="0" w:type="dxa"/>
            <w:vAlign w:val="bottom"/>
          </w:tcPr>
          <w:p>
            <w:pPr>
              <w:spacing w:after="0"/>
              <w:rPr>
                <w:sz w:val="1"/>
                <w:szCs w:val="1"/>
                <w:color w:val="auto"/>
              </w:rPr>
            </w:pPr>
          </w:p>
        </w:tc>
      </w:tr>
      <w:tr>
        <w:trPr>
          <w:trHeight w:val="230"/>
        </w:trPr>
        <w:tc>
          <w:tcPr>
            <w:tcW w:w="4480" w:type="dxa"/>
            <w:vAlign w:val="bottom"/>
            <w:shd w:val="clear" w:color="auto" w:fill="E4E4E4"/>
          </w:tcPr>
          <w:p>
            <w:pPr>
              <w:spacing w:after="0"/>
              <w:rPr>
                <w:sz w:val="20"/>
                <w:szCs w:val="20"/>
                <w:color w:val="auto"/>
              </w:rPr>
            </w:pPr>
            <w:r>
              <w:rPr>
                <w:rFonts w:ascii="Arial" w:cs="Arial" w:eastAsia="Arial" w:hAnsi="Arial"/>
                <w:sz w:val="20"/>
                <w:szCs w:val="20"/>
                <w:color w:val="auto"/>
              </w:rPr>
              <w:t>Stock-based compensation</w:t>
            </w:r>
          </w:p>
        </w:tc>
        <w:tc>
          <w:tcPr>
            <w:tcW w:w="60" w:type="dxa"/>
            <w:vAlign w:val="bottom"/>
            <w:tcBorders>
              <w:right w:val="single" w:sz="8" w:color="E4E4E4"/>
            </w:tcBorders>
            <w:shd w:val="clear" w:color="auto" w:fill="E4E4E4"/>
          </w:tcPr>
          <w:p>
            <w:pPr>
              <w:spacing w:after="0"/>
              <w:rPr>
                <w:sz w:val="20"/>
                <w:szCs w:val="20"/>
                <w:color w:val="auto"/>
              </w:rPr>
            </w:pPr>
          </w:p>
        </w:tc>
        <w:tc>
          <w:tcPr>
            <w:tcW w:w="1040" w:type="dxa"/>
            <w:vAlign w:val="bottom"/>
            <w:tcBorders>
              <w:right w:val="single" w:sz="8" w:color="E4E4E4"/>
            </w:tcBorders>
            <w:gridSpan w:val="2"/>
            <w:shd w:val="clear" w:color="auto" w:fill="E4E4E4"/>
          </w:tcPr>
          <w:p>
            <w:pPr>
              <w:jc w:val="right"/>
              <w:ind w:right="180"/>
              <w:spacing w:after="0"/>
              <w:rPr>
                <w:sz w:val="20"/>
                <w:szCs w:val="20"/>
                <w:color w:val="auto"/>
              </w:rPr>
            </w:pPr>
            <w:r>
              <w:rPr>
                <w:rFonts w:ascii="Arial" w:cs="Arial" w:eastAsia="Arial" w:hAnsi="Arial"/>
                <w:sz w:val="20"/>
                <w:szCs w:val="20"/>
                <w:color w:val="auto"/>
              </w:rPr>
              <w:t>(1.1)</w:t>
            </w:r>
          </w:p>
        </w:tc>
        <w:tc>
          <w:tcPr>
            <w:tcW w:w="980" w:type="dxa"/>
            <w:vAlign w:val="bottom"/>
            <w:gridSpan w:val="2"/>
            <w:shd w:val="clear" w:color="auto" w:fill="E4E4E4"/>
          </w:tcPr>
          <w:p>
            <w:pPr>
              <w:jc w:val="right"/>
              <w:ind w:right="120"/>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09"/>
        </w:trPr>
        <w:tc>
          <w:tcPr>
            <w:tcW w:w="4480" w:type="dxa"/>
            <w:vAlign w:val="bottom"/>
          </w:tcPr>
          <w:p>
            <w:pPr>
              <w:spacing w:after="0" w:line="209" w:lineRule="exact"/>
              <w:rPr>
                <w:sz w:val="20"/>
                <w:szCs w:val="20"/>
                <w:color w:val="auto"/>
              </w:rPr>
            </w:pPr>
            <w:r>
              <w:rPr>
                <w:rFonts w:ascii="Arial" w:cs="Arial" w:eastAsia="Arial" w:hAnsi="Arial"/>
                <w:sz w:val="20"/>
                <w:szCs w:val="20"/>
                <w:color w:val="auto"/>
              </w:rPr>
              <w:t>Non-deductible expenses and others</w:t>
            </w:r>
          </w:p>
        </w:tc>
        <w:tc>
          <w:tcPr>
            <w:tcW w:w="60" w:type="dxa"/>
            <w:vAlign w:val="bottom"/>
            <w:tcBorders>
              <w:top w:val="single" w:sz="8" w:color="E4E4E4"/>
            </w:tcBorders>
          </w:tcPr>
          <w:p>
            <w:pPr>
              <w:spacing w:after="0"/>
              <w:rPr>
                <w:sz w:val="18"/>
                <w:szCs w:val="18"/>
                <w:color w:val="auto"/>
              </w:rPr>
            </w:pPr>
          </w:p>
        </w:tc>
        <w:tc>
          <w:tcPr>
            <w:tcW w:w="1040" w:type="dxa"/>
            <w:vAlign w:val="bottom"/>
            <w:gridSpan w:val="2"/>
          </w:tcPr>
          <w:p>
            <w:pPr>
              <w:jc w:val="right"/>
              <w:ind w:right="180"/>
              <w:spacing w:after="0" w:line="209" w:lineRule="exact"/>
              <w:rPr>
                <w:sz w:val="20"/>
                <w:szCs w:val="20"/>
                <w:color w:val="auto"/>
              </w:rPr>
            </w:pPr>
            <w:r>
              <w:rPr>
                <w:rFonts w:ascii="Arial" w:cs="Arial" w:eastAsia="Arial" w:hAnsi="Arial"/>
                <w:sz w:val="20"/>
                <w:szCs w:val="20"/>
                <w:color w:val="auto"/>
              </w:rPr>
              <w:t>(0.1)</w:t>
            </w:r>
          </w:p>
        </w:tc>
        <w:tc>
          <w:tcPr>
            <w:tcW w:w="980" w:type="dxa"/>
            <w:vAlign w:val="bottom"/>
            <w:gridSpan w:val="2"/>
          </w:tcPr>
          <w:p>
            <w:pPr>
              <w:jc w:val="right"/>
              <w:ind w:right="120"/>
              <w:spacing w:after="0" w:line="209" w:lineRule="exact"/>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30"/>
        </w:trPr>
        <w:tc>
          <w:tcPr>
            <w:tcW w:w="4480" w:type="dxa"/>
            <w:vAlign w:val="bottom"/>
            <w:shd w:val="clear" w:color="auto" w:fill="E4E4E4"/>
          </w:tcPr>
          <w:p>
            <w:pPr>
              <w:spacing w:after="0"/>
              <w:rPr>
                <w:sz w:val="20"/>
                <w:szCs w:val="20"/>
                <w:color w:val="auto"/>
              </w:rPr>
            </w:pPr>
            <w:r>
              <w:rPr>
                <w:rFonts w:ascii="Arial" w:cs="Arial" w:eastAsia="Arial" w:hAnsi="Arial"/>
                <w:sz w:val="20"/>
                <w:szCs w:val="20"/>
                <w:color w:val="auto"/>
              </w:rPr>
              <w:t>Tax credits</w:t>
            </w:r>
          </w:p>
        </w:tc>
        <w:tc>
          <w:tcPr>
            <w:tcW w:w="60" w:type="dxa"/>
            <w:vAlign w:val="bottom"/>
            <w:tcBorders>
              <w:right w:val="single" w:sz="8" w:color="E4E4E4"/>
            </w:tcBorders>
            <w:shd w:val="clear" w:color="auto" w:fill="E4E4E4"/>
          </w:tcPr>
          <w:p>
            <w:pPr>
              <w:spacing w:after="0"/>
              <w:rPr>
                <w:sz w:val="20"/>
                <w:szCs w:val="20"/>
                <w:color w:val="auto"/>
              </w:rPr>
            </w:pPr>
          </w:p>
        </w:tc>
        <w:tc>
          <w:tcPr>
            <w:tcW w:w="1040" w:type="dxa"/>
            <w:vAlign w:val="bottom"/>
            <w:tcBorders>
              <w:right w:val="single" w:sz="8" w:color="E4E4E4"/>
            </w:tcBorders>
            <w:gridSpan w:val="2"/>
            <w:shd w:val="clear" w:color="auto" w:fill="E4E4E4"/>
          </w:tcPr>
          <w:p>
            <w:pPr>
              <w:jc w:val="right"/>
              <w:ind w:right="240"/>
              <w:spacing w:after="0"/>
              <w:rPr>
                <w:sz w:val="20"/>
                <w:szCs w:val="20"/>
                <w:color w:val="auto"/>
              </w:rPr>
            </w:pPr>
            <w:r>
              <w:rPr>
                <w:rFonts w:ascii="Arial" w:cs="Arial" w:eastAsia="Arial" w:hAnsi="Arial"/>
                <w:sz w:val="20"/>
                <w:szCs w:val="20"/>
                <w:color w:val="auto"/>
              </w:rPr>
              <w:t>4.2</w:t>
            </w:r>
          </w:p>
        </w:tc>
        <w:tc>
          <w:tcPr>
            <w:tcW w:w="980" w:type="dxa"/>
            <w:vAlign w:val="bottom"/>
            <w:gridSpan w:val="2"/>
            <w:shd w:val="clear" w:color="auto" w:fill="E4E4E4"/>
          </w:tcPr>
          <w:p>
            <w:pPr>
              <w:jc w:val="right"/>
              <w:ind w:right="180"/>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20"/>
                <w:szCs w:val="20"/>
                <w:color w:val="auto"/>
              </w:rPr>
              <w:t>Change in valuation allowance</w:t>
            </w:r>
          </w:p>
        </w:tc>
        <w:tc>
          <w:tcPr>
            <w:tcW w:w="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20"/>
                <w:szCs w:val="20"/>
                <w:color w:val="auto"/>
              </w:rPr>
              <w:t>(24.</w:t>
            </w:r>
            <w:r>
              <w:rPr>
                <w:rFonts w:ascii="Arial" w:cs="Arial" w:eastAsia="Arial" w:hAnsi="Arial"/>
                <w:sz w:val="20"/>
                <w:szCs w:val="20"/>
                <w:u w:val="single" w:color="auto"/>
                <w:color w:val="auto"/>
              </w:rPr>
              <w:t>0</w:t>
            </w:r>
            <w:r>
              <w:rPr>
                <w:rFonts w:ascii="Arial" w:cs="Arial" w:eastAsia="Arial" w:hAnsi="Arial"/>
                <w:sz w:val="20"/>
                <w:szCs w:val="20"/>
                <w:color w:val="auto"/>
              </w:rPr>
              <w:t xml:space="preserve"> )</w:t>
            </w:r>
          </w:p>
        </w:tc>
        <w:tc>
          <w:tcPr>
            <w:tcW w:w="980" w:type="dxa"/>
            <w:vAlign w:val="bottom"/>
            <w:gridSpan w:val="2"/>
          </w:tcPr>
          <w:p>
            <w:pPr>
              <w:jc w:val="right"/>
              <w:ind w:right="120"/>
              <w:spacing w:after="0"/>
              <w:rPr>
                <w:sz w:val="20"/>
                <w:szCs w:val="20"/>
                <w:color w:val="auto"/>
              </w:rPr>
            </w:pPr>
            <w:r>
              <w:rPr>
                <w:rFonts w:ascii="Arial" w:cs="Arial" w:eastAsia="Arial" w:hAnsi="Arial"/>
                <w:sz w:val="20"/>
                <w:szCs w:val="20"/>
                <w:color w:val="auto"/>
              </w:rPr>
              <w:t>(21.</w:t>
            </w:r>
            <w:r>
              <w:rPr>
                <w:rFonts w:ascii="Arial" w:cs="Arial" w:eastAsia="Arial" w:hAnsi="Arial"/>
                <w:sz w:val="20"/>
                <w:szCs w:val="20"/>
                <w:u w:val="single" w:color="auto"/>
                <w:color w:val="auto"/>
              </w:rPr>
              <w:t>4</w:t>
            </w:r>
            <w:r>
              <w:rPr>
                <w:rFonts w:ascii="Arial" w:cs="Arial" w:eastAsia="Arial" w:hAnsi="Arial"/>
                <w:sz w:val="20"/>
                <w:szCs w:val="20"/>
                <w:color w:val="auto"/>
              </w:rPr>
              <w:t xml:space="preserve"> )</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E4E4E4"/>
          </w:tcPr>
          <w:p>
            <w:pPr>
              <w:spacing w:after="0"/>
              <w:rPr>
                <w:sz w:val="20"/>
                <w:szCs w:val="20"/>
                <w:color w:val="auto"/>
              </w:rPr>
            </w:pPr>
            <w:r>
              <w:rPr>
                <w:rFonts w:ascii="Arial" w:cs="Arial" w:eastAsia="Arial" w:hAnsi="Arial"/>
                <w:sz w:val="20"/>
                <w:szCs w:val="20"/>
                <w:color w:val="auto"/>
              </w:rPr>
              <w:t>Effective income tax rate</w:t>
            </w:r>
          </w:p>
        </w:tc>
        <w:tc>
          <w:tcPr>
            <w:tcW w:w="60" w:type="dxa"/>
            <w:vAlign w:val="bottom"/>
            <w:tcBorders>
              <w:right w:val="single" w:sz="8" w:color="auto"/>
            </w:tcBorders>
            <w:shd w:val="clear" w:color="auto" w:fill="E4E4E4"/>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E4E4E4"/>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80" w:type="dxa"/>
            <w:vAlign w:val="bottom"/>
            <w:vMerge w:val="continue"/>
            <w:shd w:val="clear" w:color="auto" w:fill="E4E4E4"/>
          </w:tcPr>
          <w:p>
            <w:pPr>
              <w:spacing w:after="0"/>
              <w:rPr>
                <w:sz w:val="19"/>
                <w:szCs w:val="19"/>
                <w:color w:val="auto"/>
              </w:rPr>
            </w:pPr>
          </w:p>
        </w:tc>
        <w:tc>
          <w:tcPr>
            <w:tcW w:w="60" w:type="dxa"/>
            <w:vAlign w:val="bottom"/>
            <w:tcBorders>
              <w:right w:val="single" w:sz="8" w:color="E4E4E4"/>
            </w:tcBorders>
            <w:shd w:val="clear" w:color="auto" w:fill="E4E4E4"/>
          </w:tcPr>
          <w:p>
            <w:pPr>
              <w:spacing w:after="0"/>
              <w:rPr>
                <w:sz w:val="19"/>
                <w:szCs w:val="19"/>
                <w:color w:val="auto"/>
              </w:rPr>
            </w:pPr>
          </w:p>
        </w:tc>
        <w:tc>
          <w:tcPr>
            <w:tcW w:w="1040" w:type="dxa"/>
            <w:vAlign w:val="bottom"/>
            <w:tcBorders>
              <w:right w:val="single" w:sz="8" w:color="E4E4E4"/>
            </w:tcBorders>
            <w:gridSpan w:val="2"/>
            <w:shd w:val="clear" w:color="auto" w:fill="E4E4E4"/>
          </w:tcPr>
          <w:p>
            <w:pPr>
              <w:jc w:val="right"/>
              <w:ind w:right="60"/>
              <w:spacing w:after="0" w:line="221" w:lineRule="exact"/>
              <w:rPr>
                <w:sz w:val="20"/>
                <w:szCs w:val="20"/>
                <w:color w:val="auto"/>
              </w:rPr>
            </w:pPr>
            <w:r>
              <w:rPr>
                <w:rFonts w:ascii="Arial" w:cs="Arial" w:eastAsia="Arial" w:hAnsi="Arial"/>
                <w:sz w:val="20"/>
                <w:szCs w:val="20"/>
                <w:color w:val="auto"/>
              </w:rPr>
              <w:t>—%</w:t>
            </w:r>
          </w:p>
        </w:tc>
        <w:tc>
          <w:tcPr>
            <w:tcW w:w="980" w:type="dxa"/>
            <w:vAlign w:val="bottom"/>
            <w:gridSpan w:val="2"/>
            <w:shd w:val="clear" w:color="auto" w:fill="E4E4E4"/>
          </w:tcPr>
          <w:p>
            <w:pPr>
              <w:jc w:val="right"/>
              <w:spacing w:after="0" w:line="221"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3742055</wp:posOffset>
                </wp:positionH>
                <wp:positionV relativeFrom="paragraph">
                  <wp:posOffset>-618490</wp:posOffset>
                </wp:positionV>
                <wp:extent cx="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22859">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65pt,-48.6999pt" to="294.65pt,-48.6999pt" o:allowincell="f" strokecolor="#FFFFFF" strokeweight="1.7999pt"/>
            </w:pict>
          </mc:Fallback>
        </mc:AlternateContent>
        <mc:AlternateContent>
          <mc:Choice Requires="wps">
            <w:drawing>
              <wp:anchor simplePos="0" relativeHeight="251657728" behindDoc="1" locked="0" layoutInCell="0" allowOverlap="1">
                <wp:simplePos x="0" y="0"/>
                <wp:positionH relativeFrom="column">
                  <wp:posOffset>3765550</wp:posOffset>
                </wp:positionH>
                <wp:positionV relativeFrom="paragraph">
                  <wp:posOffset>-618490</wp:posOffset>
                </wp:positionV>
                <wp:extent cx="0" cy="145415"/>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23609">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5pt,-48.6999pt" to="296.5pt,-37.2499pt" o:allowincell="f" strokecolor="#FFFFFF" strokeweight="1.859pt"/>
            </w:pict>
          </mc:Fallback>
        </mc:AlternateContent>
        <mc:AlternateContent>
          <mc:Choice Requires="wps">
            <w:drawing>
              <wp:anchor simplePos="0" relativeHeight="251657728" behindDoc="1" locked="0" layoutInCell="0" allowOverlap="1">
                <wp:simplePos x="0" y="0"/>
                <wp:positionH relativeFrom="column">
                  <wp:posOffset>4425950</wp:posOffset>
                </wp:positionH>
                <wp:positionV relativeFrom="paragraph">
                  <wp:posOffset>-618490</wp:posOffset>
                </wp:positionV>
                <wp:extent cx="0" cy="145415"/>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23609">
                          <a:solidFill>
                            <a:srgbClr val="FFFFFF"/>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5pt,-48.6999pt" to="348.5pt,-37.2499pt" o:allowincell="f" strokecolor="#FFFFFF" strokeweight="1.859pt"/>
            </w:pict>
          </mc:Fallback>
        </mc:AlternateContent>
      </w:r>
    </w:p>
    <w:p>
      <w:pPr>
        <w:sectPr>
          <w:pgSz w:w="11880" w:h="15474" w:orient="portrait"/>
          <w:cols w:equalWidth="0" w:num="1">
            <w:col w:w="9360"/>
          </w:cols>
          <w:pgMar w:left="1240" w:top="1259"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155</w:t>
      </w:r>
    </w:p>
    <w:p>
      <w:pPr>
        <w:sectPr>
          <w:pgSz w:w="11880" w:h="15474" w:orient="portrait"/>
          <w:cols w:equalWidth="0" w:num="1">
            <w:col w:w="9360"/>
          </w:cols>
          <w:pgMar w:left="1240" w:top="1259" w:right="1274" w:bottom="0" w:gutter="0" w:footer="0" w:header="0"/>
          <w:type w:val="continuous"/>
        </w:sectPr>
      </w:pPr>
    </w:p>
    <w:bookmarkStart w:id="161" w:name="page162"/>
    <w:bookmarkEnd w:id="161"/>
    <w:p>
      <w:pPr>
        <w:spacing w:after="0" w:line="210"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Deferred Tax Assets and Liabilities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20"/>
          <w:szCs w:val="20"/>
          <w:color w:val="212121"/>
        </w:rPr>
        <w:t>The components of the Company’s deferred tax assets and liabilities were as follows (in thousands):</w:t>
      </w:r>
    </w:p>
    <w:p>
      <w:pPr>
        <w:spacing w:after="0" w:line="231"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99"/>
              </w:rPr>
              <w:t>Year Ended</w:t>
            </w:r>
          </w:p>
        </w:tc>
      </w:tr>
      <w:tr>
        <w:trPr>
          <w:trHeight w:val="203"/>
        </w:trPr>
        <w:tc>
          <w:tcPr>
            <w:tcW w:w="4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99"/>
              </w:rPr>
              <w:t>December 31,</w:t>
            </w:r>
          </w:p>
        </w:tc>
      </w:tr>
      <w:tr>
        <w:trPr>
          <w:trHeight w:val="173"/>
        </w:trPr>
        <w:tc>
          <w:tcPr>
            <w:tcW w:w="4540" w:type="dxa"/>
            <w:vAlign w:val="bottom"/>
            <w:tcBorders>
              <w:bottom w:val="single" w:sz="8" w:color="E4E4E4"/>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03"/>
              <w:spacing w:after="0" w:line="173"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E4E4E4"/>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01"/>
              <w:spacing w:after="0" w:line="173" w:lineRule="exact"/>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E4E4E4"/>
            </w:tcBorders>
          </w:tcPr>
          <w:p>
            <w:pPr>
              <w:spacing w:after="0"/>
              <w:rPr>
                <w:sz w:val="15"/>
                <w:szCs w:val="15"/>
                <w:color w:val="auto"/>
              </w:rPr>
            </w:pPr>
          </w:p>
        </w:tc>
      </w:tr>
      <w:tr>
        <w:trPr>
          <w:trHeight w:val="220"/>
        </w:trPr>
        <w:tc>
          <w:tcPr>
            <w:tcW w:w="4540" w:type="dxa"/>
            <w:vAlign w:val="bottom"/>
            <w:tcBorders>
              <w:right w:val="single" w:sz="8" w:color="E4E4E4"/>
            </w:tcBorders>
            <w:shd w:val="clear" w:color="auto" w:fill="E4E4E4"/>
          </w:tcPr>
          <w:p>
            <w:pPr>
              <w:spacing w:after="0" w:line="220" w:lineRule="exact"/>
              <w:rPr>
                <w:sz w:val="20"/>
                <w:szCs w:val="20"/>
                <w:color w:val="auto"/>
              </w:rPr>
            </w:pPr>
            <w:r>
              <w:rPr>
                <w:rFonts w:ascii="Arial" w:cs="Arial" w:eastAsia="Arial" w:hAnsi="Arial"/>
                <w:sz w:val="20"/>
                <w:szCs w:val="20"/>
                <w:color w:val="auto"/>
              </w:rPr>
              <w:t>Deferred tax assets:</w:t>
            </w:r>
          </w:p>
        </w:tc>
        <w:tc>
          <w:tcPr>
            <w:tcW w:w="180" w:type="dxa"/>
            <w:vAlign w:val="bottom"/>
            <w:shd w:val="clear" w:color="auto" w:fill="E4E4E4"/>
          </w:tcPr>
          <w:p>
            <w:pPr>
              <w:spacing w:after="0"/>
              <w:rPr>
                <w:sz w:val="19"/>
                <w:szCs w:val="19"/>
                <w:color w:val="auto"/>
              </w:rPr>
            </w:pPr>
          </w:p>
        </w:tc>
        <w:tc>
          <w:tcPr>
            <w:tcW w:w="760" w:type="dxa"/>
            <w:vAlign w:val="bottom"/>
            <w:tcBorders>
              <w:right w:val="single" w:sz="8" w:color="E4E4E4"/>
            </w:tcBorders>
            <w:shd w:val="clear" w:color="auto" w:fill="E4E4E4"/>
          </w:tcPr>
          <w:p>
            <w:pPr>
              <w:spacing w:after="0"/>
              <w:rPr>
                <w:sz w:val="19"/>
                <w:szCs w:val="19"/>
                <w:color w:val="auto"/>
              </w:rPr>
            </w:pPr>
          </w:p>
        </w:tc>
        <w:tc>
          <w:tcPr>
            <w:tcW w:w="100" w:type="dxa"/>
            <w:vAlign w:val="bottom"/>
            <w:tcBorders>
              <w:right w:val="single" w:sz="8" w:color="E4E4E4"/>
            </w:tcBorders>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760" w:type="dxa"/>
            <w:vAlign w:val="bottom"/>
            <w:tcBorders>
              <w:right w:val="single" w:sz="8" w:color="E4E4E4"/>
            </w:tcBorders>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r>
      <w:tr>
        <w:trPr>
          <w:trHeight w:val="230"/>
        </w:trPr>
        <w:tc>
          <w:tcPr>
            <w:tcW w:w="4540" w:type="dxa"/>
            <w:vAlign w:val="bottom"/>
          </w:tcPr>
          <w:p>
            <w:pPr>
              <w:ind w:left="280"/>
              <w:spacing w:after="0"/>
              <w:rPr>
                <w:sz w:val="20"/>
                <w:szCs w:val="20"/>
                <w:color w:val="auto"/>
              </w:rPr>
            </w:pPr>
            <w:r>
              <w:rPr>
                <w:rFonts w:ascii="Arial" w:cs="Arial" w:eastAsia="Arial" w:hAnsi="Arial"/>
                <w:sz w:val="20"/>
                <w:szCs w:val="20"/>
                <w:color w:val="auto"/>
              </w:rPr>
              <w:t>Net operating loss carryforwards</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60" w:type="dxa"/>
            <w:vAlign w:val="bottom"/>
            <w:gridSpan w:val="2"/>
          </w:tcPr>
          <w:p>
            <w:pPr>
              <w:jc w:val="right"/>
              <w:ind w:right="40"/>
              <w:spacing w:after="0"/>
              <w:rPr>
                <w:sz w:val="20"/>
                <w:szCs w:val="20"/>
                <w:color w:val="auto"/>
              </w:rPr>
            </w:pPr>
            <w:r>
              <w:rPr>
                <w:rFonts w:ascii="Arial" w:cs="Arial" w:eastAsia="Arial" w:hAnsi="Arial"/>
                <w:sz w:val="20"/>
                <w:szCs w:val="20"/>
                <w:color w:val="auto"/>
              </w:rPr>
              <w:t>31,342</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24,092</w:t>
            </w:r>
          </w:p>
        </w:tc>
      </w:tr>
      <w:tr>
        <w:trPr>
          <w:trHeight w:val="230"/>
        </w:trPr>
        <w:tc>
          <w:tcPr>
            <w:tcW w:w="4540" w:type="dxa"/>
            <w:vAlign w:val="bottom"/>
            <w:tcBorders>
              <w:right w:val="single" w:sz="8" w:color="E4E4E4"/>
            </w:tcBorders>
            <w:shd w:val="clear" w:color="auto" w:fill="E4E4E4"/>
          </w:tcPr>
          <w:p>
            <w:pPr>
              <w:ind w:left="280"/>
              <w:spacing w:after="0"/>
              <w:rPr>
                <w:sz w:val="20"/>
                <w:szCs w:val="20"/>
                <w:color w:val="auto"/>
              </w:rPr>
            </w:pPr>
            <w:r>
              <w:rPr>
                <w:rFonts w:ascii="Arial" w:cs="Arial" w:eastAsia="Arial" w:hAnsi="Arial"/>
                <w:sz w:val="20"/>
                <w:szCs w:val="20"/>
                <w:color w:val="auto"/>
              </w:rPr>
              <w:t>Research and development tax credit</w:t>
            </w:r>
          </w:p>
        </w:tc>
        <w:tc>
          <w:tcPr>
            <w:tcW w:w="180" w:type="dxa"/>
            <w:vAlign w:val="bottom"/>
            <w:shd w:val="clear" w:color="auto" w:fill="E4E4E4"/>
          </w:tcPr>
          <w:p>
            <w:pPr>
              <w:spacing w:after="0"/>
              <w:rPr>
                <w:sz w:val="20"/>
                <w:szCs w:val="20"/>
                <w:color w:val="auto"/>
              </w:rPr>
            </w:pPr>
          </w:p>
        </w:tc>
        <w:tc>
          <w:tcPr>
            <w:tcW w:w="760" w:type="dxa"/>
            <w:vAlign w:val="bottom"/>
            <w:tcBorders>
              <w:right w:val="single" w:sz="8" w:color="E4E4E4"/>
            </w:tcBorders>
            <w:shd w:val="clear" w:color="auto" w:fill="E4E4E4"/>
          </w:tcPr>
          <w:p>
            <w:pPr>
              <w:spacing w:after="0"/>
              <w:rPr>
                <w:sz w:val="20"/>
                <w:szCs w:val="20"/>
                <w:color w:val="auto"/>
              </w:rPr>
            </w:pPr>
          </w:p>
        </w:tc>
        <w:tc>
          <w:tcPr>
            <w:tcW w:w="100" w:type="dxa"/>
            <w:vAlign w:val="bottom"/>
            <w:tcBorders>
              <w:right w:val="single" w:sz="8" w:color="E4E4E4"/>
            </w:tcBorders>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760" w:type="dxa"/>
            <w:vAlign w:val="bottom"/>
            <w:tcBorders>
              <w:right w:val="single" w:sz="8" w:color="E4E4E4"/>
            </w:tcBorders>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r>
      <w:tr>
        <w:trPr>
          <w:trHeight w:val="229"/>
        </w:trPr>
        <w:tc>
          <w:tcPr>
            <w:tcW w:w="4540" w:type="dxa"/>
            <w:vAlign w:val="bottom"/>
            <w:tcBorders>
              <w:right w:val="single" w:sz="8" w:color="E4E4E4"/>
            </w:tcBorders>
            <w:shd w:val="clear" w:color="auto" w:fill="E4E4E4"/>
          </w:tcPr>
          <w:p>
            <w:pPr>
              <w:ind w:left="440"/>
              <w:spacing w:after="0"/>
              <w:rPr>
                <w:sz w:val="20"/>
                <w:szCs w:val="20"/>
                <w:color w:val="auto"/>
              </w:rPr>
            </w:pPr>
            <w:r>
              <w:rPr>
                <w:rFonts w:ascii="Arial" w:cs="Arial" w:eastAsia="Arial" w:hAnsi="Arial"/>
                <w:sz w:val="20"/>
                <w:szCs w:val="20"/>
                <w:color w:val="auto"/>
              </w:rPr>
              <w:t>carryforwards</w:t>
            </w:r>
          </w:p>
        </w:tc>
        <w:tc>
          <w:tcPr>
            <w:tcW w:w="180" w:type="dxa"/>
            <w:vAlign w:val="bottom"/>
            <w:shd w:val="clear" w:color="auto" w:fill="E4E4E4"/>
          </w:tcPr>
          <w:p>
            <w:pPr>
              <w:spacing w:after="0"/>
              <w:rPr>
                <w:sz w:val="19"/>
                <w:szCs w:val="19"/>
                <w:color w:val="auto"/>
              </w:rPr>
            </w:pPr>
          </w:p>
        </w:tc>
        <w:tc>
          <w:tcPr>
            <w:tcW w:w="860" w:type="dxa"/>
            <w:vAlign w:val="bottom"/>
            <w:tcBorders>
              <w:right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20"/>
                <w:szCs w:val="20"/>
                <w:color w:val="auto"/>
              </w:rPr>
              <w:t>9,327</w:t>
            </w:r>
          </w:p>
        </w:tc>
        <w:tc>
          <w:tcPr>
            <w:tcW w:w="160" w:type="dxa"/>
            <w:vAlign w:val="bottom"/>
            <w:shd w:val="clear" w:color="auto" w:fill="E4E4E4"/>
          </w:tcPr>
          <w:p>
            <w:pPr>
              <w:spacing w:after="0"/>
              <w:rPr>
                <w:sz w:val="19"/>
                <w:szCs w:val="19"/>
                <w:color w:val="auto"/>
              </w:rPr>
            </w:pPr>
          </w:p>
        </w:tc>
        <w:tc>
          <w:tcPr>
            <w:tcW w:w="76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4,218</w:t>
            </w:r>
          </w:p>
        </w:tc>
        <w:tc>
          <w:tcPr>
            <w:tcW w:w="60" w:type="dxa"/>
            <w:vAlign w:val="bottom"/>
            <w:shd w:val="clear" w:color="auto" w:fill="E4E4E4"/>
          </w:tcPr>
          <w:p>
            <w:pPr>
              <w:spacing w:after="0"/>
              <w:rPr>
                <w:sz w:val="19"/>
                <w:szCs w:val="19"/>
                <w:color w:val="auto"/>
              </w:rPr>
            </w:pPr>
          </w:p>
        </w:tc>
      </w:tr>
      <w:tr>
        <w:trPr>
          <w:trHeight w:val="230"/>
        </w:trPr>
        <w:tc>
          <w:tcPr>
            <w:tcW w:w="4540" w:type="dxa"/>
            <w:vAlign w:val="bottom"/>
          </w:tcPr>
          <w:p>
            <w:pPr>
              <w:ind w:left="280"/>
              <w:spacing w:after="0"/>
              <w:rPr>
                <w:sz w:val="20"/>
                <w:szCs w:val="20"/>
                <w:color w:val="auto"/>
              </w:rPr>
            </w:pPr>
            <w:r>
              <w:rPr>
                <w:rFonts w:ascii="Arial" w:cs="Arial" w:eastAsia="Arial" w:hAnsi="Arial"/>
                <w:sz w:val="20"/>
                <w:szCs w:val="20"/>
                <w:color w:val="auto"/>
              </w:rPr>
              <w:t>Accrued liabilities</w:t>
            </w: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20"/>
                <w:szCs w:val="20"/>
                <w:color w:val="auto"/>
              </w:rPr>
              <w:t>2,828</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2,781</w:t>
            </w:r>
          </w:p>
        </w:tc>
        <w:tc>
          <w:tcPr>
            <w:tcW w:w="60" w:type="dxa"/>
            <w:vAlign w:val="bottom"/>
          </w:tcPr>
          <w:p>
            <w:pPr>
              <w:spacing w:after="0"/>
              <w:rPr>
                <w:sz w:val="20"/>
                <w:szCs w:val="20"/>
                <w:color w:val="auto"/>
              </w:rPr>
            </w:pPr>
          </w:p>
        </w:tc>
      </w:tr>
      <w:tr>
        <w:trPr>
          <w:trHeight w:val="229"/>
        </w:trPr>
        <w:tc>
          <w:tcPr>
            <w:tcW w:w="4540" w:type="dxa"/>
            <w:vAlign w:val="bottom"/>
            <w:tcBorders>
              <w:right w:val="single" w:sz="8" w:color="E4E4E4"/>
            </w:tcBorders>
            <w:shd w:val="clear" w:color="auto" w:fill="E4E4E4"/>
          </w:tcPr>
          <w:p>
            <w:pPr>
              <w:ind w:left="280"/>
              <w:spacing w:after="0"/>
              <w:rPr>
                <w:sz w:val="20"/>
                <w:szCs w:val="20"/>
                <w:color w:val="auto"/>
              </w:rPr>
            </w:pPr>
            <w:r>
              <w:rPr>
                <w:rFonts w:ascii="Arial" w:cs="Arial" w:eastAsia="Arial" w:hAnsi="Arial"/>
                <w:sz w:val="20"/>
                <w:szCs w:val="20"/>
                <w:color w:val="auto"/>
              </w:rPr>
              <w:t>Stock-based compensation</w:t>
            </w:r>
          </w:p>
        </w:tc>
        <w:tc>
          <w:tcPr>
            <w:tcW w:w="180" w:type="dxa"/>
            <w:vAlign w:val="bottom"/>
            <w:shd w:val="clear" w:color="auto" w:fill="E4E4E4"/>
          </w:tcPr>
          <w:p>
            <w:pPr>
              <w:spacing w:after="0"/>
              <w:rPr>
                <w:sz w:val="19"/>
                <w:szCs w:val="19"/>
                <w:color w:val="auto"/>
              </w:rPr>
            </w:pPr>
          </w:p>
        </w:tc>
        <w:tc>
          <w:tcPr>
            <w:tcW w:w="860" w:type="dxa"/>
            <w:vAlign w:val="bottom"/>
            <w:tcBorders>
              <w:right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20"/>
                <w:szCs w:val="20"/>
                <w:color w:val="auto"/>
              </w:rPr>
              <w:t>2,564</w:t>
            </w:r>
          </w:p>
        </w:tc>
        <w:tc>
          <w:tcPr>
            <w:tcW w:w="160" w:type="dxa"/>
            <w:vAlign w:val="bottom"/>
            <w:shd w:val="clear" w:color="auto" w:fill="E4E4E4"/>
          </w:tcPr>
          <w:p>
            <w:pPr>
              <w:spacing w:after="0"/>
              <w:rPr>
                <w:sz w:val="19"/>
                <w:szCs w:val="19"/>
                <w:color w:val="auto"/>
              </w:rPr>
            </w:pPr>
          </w:p>
        </w:tc>
        <w:tc>
          <w:tcPr>
            <w:tcW w:w="76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1,676</w:t>
            </w:r>
          </w:p>
        </w:tc>
        <w:tc>
          <w:tcPr>
            <w:tcW w:w="60" w:type="dxa"/>
            <w:vAlign w:val="bottom"/>
            <w:shd w:val="clear" w:color="auto" w:fill="E4E4E4"/>
          </w:tcPr>
          <w:p>
            <w:pPr>
              <w:spacing w:after="0"/>
              <w:rPr>
                <w:sz w:val="19"/>
                <w:szCs w:val="19"/>
                <w:color w:val="auto"/>
              </w:rPr>
            </w:pPr>
          </w:p>
        </w:tc>
      </w:tr>
      <w:tr>
        <w:trPr>
          <w:trHeight w:val="230"/>
        </w:trPr>
        <w:tc>
          <w:tcPr>
            <w:tcW w:w="4540" w:type="dxa"/>
            <w:vAlign w:val="bottom"/>
          </w:tcPr>
          <w:p>
            <w:pPr>
              <w:ind w:left="280"/>
              <w:spacing w:after="0"/>
              <w:rPr>
                <w:sz w:val="20"/>
                <w:szCs w:val="20"/>
                <w:color w:val="auto"/>
              </w:rPr>
            </w:pPr>
            <w:r>
              <w:rPr>
                <w:rFonts w:ascii="Arial" w:cs="Arial" w:eastAsia="Arial" w:hAnsi="Arial"/>
                <w:sz w:val="20"/>
                <w:szCs w:val="20"/>
                <w:color w:val="auto"/>
              </w:rPr>
              <w:t>Operating lease liability</w:t>
            </w: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20"/>
                <w:szCs w:val="20"/>
                <w:color w:val="auto"/>
              </w:rPr>
              <w:t>333</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404</w:t>
            </w:r>
          </w:p>
        </w:tc>
        <w:tc>
          <w:tcPr>
            <w:tcW w:w="60" w:type="dxa"/>
            <w:vAlign w:val="bottom"/>
          </w:tcPr>
          <w:p>
            <w:pPr>
              <w:spacing w:after="0"/>
              <w:rPr>
                <w:sz w:val="20"/>
                <w:szCs w:val="20"/>
                <w:color w:val="auto"/>
              </w:rPr>
            </w:pPr>
          </w:p>
        </w:tc>
      </w:tr>
      <w:tr>
        <w:trPr>
          <w:trHeight w:val="230"/>
        </w:trPr>
        <w:tc>
          <w:tcPr>
            <w:tcW w:w="4540" w:type="dxa"/>
            <w:vAlign w:val="bottom"/>
            <w:tcBorders>
              <w:right w:val="single" w:sz="8" w:color="E4E4E4"/>
            </w:tcBorders>
            <w:shd w:val="clear" w:color="auto" w:fill="E4E4E4"/>
          </w:tcPr>
          <w:p>
            <w:pPr>
              <w:ind w:left="280"/>
              <w:spacing w:after="0"/>
              <w:rPr>
                <w:sz w:val="20"/>
                <w:szCs w:val="20"/>
                <w:color w:val="auto"/>
              </w:rPr>
            </w:pPr>
            <w:r>
              <w:rPr>
                <w:rFonts w:ascii="Arial" w:cs="Arial" w:eastAsia="Arial" w:hAnsi="Arial"/>
                <w:sz w:val="20"/>
                <w:szCs w:val="20"/>
                <w:color w:val="auto"/>
              </w:rPr>
              <w:t>Other</w:t>
            </w:r>
          </w:p>
        </w:tc>
        <w:tc>
          <w:tcPr>
            <w:tcW w:w="180" w:type="dxa"/>
            <w:vAlign w:val="bottom"/>
            <w:shd w:val="clear" w:color="auto" w:fill="E4E4E4"/>
          </w:tcPr>
          <w:p>
            <w:pPr>
              <w:spacing w:after="0"/>
              <w:rPr>
                <w:sz w:val="20"/>
                <w:szCs w:val="20"/>
                <w:color w:val="auto"/>
              </w:rPr>
            </w:pPr>
          </w:p>
        </w:tc>
        <w:tc>
          <w:tcPr>
            <w:tcW w:w="860" w:type="dxa"/>
            <w:vAlign w:val="bottom"/>
            <w:tcBorders>
              <w:right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20"/>
                <w:szCs w:val="20"/>
                <w:color w:val="auto"/>
              </w:rPr>
              <w:t>180</w:t>
            </w:r>
          </w:p>
        </w:tc>
        <w:tc>
          <w:tcPr>
            <w:tcW w:w="160" w:type="dxa"/>
            <w:vAlign w:val="bottom"/>
            <w:shd w:val="clear" w:color="auto" w:fill="E4E4E4"/>
          </w:tcPr>
          <w:p>
            <w:pPr>
              <w:spacing w:after="0"/>
              <w:rPr>
                <w:sz w:val="20"/>
                <w:szCs w:val="20"/>
                <w:color w:val="auto"/>
              </w:rPr>
            </w:pPr>
          </w:p>
        </w:tc>
        <w:tc>
          <w:tcPr>
            <w:tcW w:w="82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121</w:t>
            </w:r>
          </w:p>
        </w:tc>
      </w:tr>
      <w:tr>
        <w:trPr>
          <w:trHeight w:val="229"/>
        </w:trPr>
        <w:tc>
          <w:tcPr>
            <w:tcW w:w="4540" w:type="dxa"/>
            <w:vAlign w:val="bottom"/>
          </w:tcPr>
          <w:p>
            <w:pPr>
              <w:ind w:left="280"/>
              <w:spacing w:after="0"/>
              <w:rPr>
                <w:sz w:val="20"/>
                <w:szCs w:val="20"/>
                <w:color w:val="auto"/>
              </w:rPr>
            </w:pPr>
            <w:r>
              <w:rPr>
                <w:rFonts w:ascii="Arial" w:cs="Arial" w:eastAsia="Arial" w:hAnsi="Arial"/>
                <w:sz w:val="20"/>
                <w:szCs w:val="20"/>
                <w:color w:val="auto"/>
              </w:rPr>
              <w:t>Capitalized research and development</w:t>
            </w: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20"/>
                <w:szCs w:val="20"/>
                <w:color w:val="auto"/>
              </w:rPr>
              <w:t>25,182</w:t>
            </w: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10,729</w:t>
            </w:r>
          </w:p>
        </w:tc>
      </w:tr>
      <w:tr>
        <w:trPr>
          <w:trHeight w:val="20"/>
        </w:trPr>
        <w:tc>
          <w:tcPr>
            <w:tcW w:w="4540" w:type="dxa"/>
            <w:vAlign w:val="bottom"/>
            <w:tcBorders>
              <w:right w:val="single" w:sz="8" w:color="E4E4E4"/>
            </w:tcBorders>
            <w:shd w:val="clear" w:color="auto" w:fill="E4E4E4"/>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E4E4E4"/>
            </w:tcBorders>
            <w:shd w:val="clear" w:color="auto" w:fill="000000"/>
          </w:tcPr>
          <w:p>
            <w:pPr>
              <w:spacing w:after="0" w:line="20" w:lineRule="exact"/>
              <w:rPr>
                <w:sz w:val="1"/>
                <w:szCs w:val="1"/>
                <w:color w:val="auto"/>
              </w:rPr>
            </w:pPr>
          </w:p>
        </w:tc>
        <w:tc>
          <w:tcPr>
            <w:tcW w:w="100" w:type="dxa"/>
            <w:vAlign w:val="bottom"/>
            <w:tcBorders>
              <w:right w:val="single" w:sz="8" w:color="E4E4E4"/>
            </w:tcBorders>
            <w:shd w:val="clear" w:color="auto" w:fill="E4E4E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E4E4E4"/>
            </w:tcBorders>
            <w:shd w:val="clear" w:color="auto" w:fill="000000"/>
          </w:tcPr>
          <w:p>
            <w:pPr>
              <w:spacing w:after="0" w:line="20" w:lineRule="exact"/>
              <w:rPr>
                <w:sz w:val="1"/>
                <w:szCs w:val="1"/>
                <w:color w:val="auto"/>
              </w:rPr>
            </w:pPr>
          </w:p>
        </w:tc>
        <w:tc>
          <w:tcPr>
            <w:tcW w:w="60" w:type="dxa"/>
            <w:vAlign w:val="bottom"/>
            <w:shd w:val="clear" w:color="auto" w:fill="E4E4E4"/>
          </w:tcPr>
          <w:p>
            <w:pPr>
              <w:spacing w:after="0" w:line="20" w:lineRule="exact"/>
              <w:rPr>
                <w:sz w:val="1"/>
                <w:szCs w:val="1"/>
                <w:color w:val="auto"/>
              </w:rPr>
            </w:pPr>
          </w:p>
        </w:tc>
      </w:tr>
      <w:tr>
        <w:trPr>
          <w:trHeight w:val="240"/>
        </w:trPr>
        <w:tc>
          <w:tcPr>
            <w:tcW w:w="4540" w:type="dxa"/>
            <w:vAlign w:val="bottom"/>
            <w:tcBorders>
              <w:right w:val="single" w:sz="8" w:color="E4E4E4"/>
            </w:tcBorders>
            <w:shd w:val="clear" w:color="auto" w:fill="E4E4E4"/>
          </w:tcPr>
          <w:p>
            <w:pPr>
              <w:ind w:left="560"/>
              <w:spacing w:after="0" w:line="220" w:lineRule="exact"/>
              <w:rPr>
                <w:sz w:val="20"/>
                <w:szCs w:val="20"/>
                <w:color w:val="auto"/>
              </w:rPr>
            </w:pPr>
            <w:r>
              <w:rPr>
                <w:rFonts w:ascii="Arial" w:cs="Arial" w:eastAsia="Arial" w:hAnsi="Arial"/>
                <w:sz w:val="20"/>
                <w:szCs w:val="20"/>
                <w:color w:val="auto"/>
              </w:rPr>
              <w:t>Total deferred tax assets</w:t>
            </w:r>
          </w:p>
        </w:tc>
        <w:tc>
          <w:tcPr>
            <w:tcW w:w="180" w:type="dxa"/>
            <w:vAlign w:val="bottom"/>
            <w:shd w:val="clear" w:color="auto" w:fill="E4E4E4"/>
          </w:tcPr>
          <w:p>
            <w:pPr>
              <w:spacing w:after="0"/>
              <w:rPr>
                <w:sz w:val="20"/>
                <w:szCs w:val="20"/>
                <w:color w:val="auto"/>
              </w:rPr>
            </w:pPr>
          </w:p>
        </w:tc>
        <w:tc>
          <w:tcPr>
            <w:tcW w:w="860" w:type="dxa"/>
            <w:vAlign w:val="bottom"/>
            <w:tcBorders>
              <w:right w:val="single" w:sz="8" w:color="E4E4E4"/>
            </w:tcBorders>
            <w:gridSpan w:val="2"/>
            <w:shd w:val="clear" w:color="auto" w:fill="E4E4E4"/>
          </w:tcPr>
          <w:p>
            <w:pPr>
              <w:jc w:val="right"/>
              <w:ind w:right="40"/>
              <w:spacing w:after="0" w:line="220" w:lineRule="exact"/>
              <w:rPr>
                <w:sz w:val="20"/>
                <w:szCs w:val="20"/>
                <w:color w:val="auto"/>
              </w:rPr>
            </w:pPr>
            <w:r>
              <w:rPr>
                <w:rFonts w:ascii="Arial" w:cs="Arial" w:eastAsia="Arial" w:hAnsi="Arial"/>
                <w:sz w:val="20"/>
                <w:szCs w:val="20"/>
                <w:color w:val="auto"/>
              </w:rPr>
              <w:t>71,756</w:t>
            </w:r>
          </w:p>
        </w:tc>
        <w:tc>
          <w:tcPr>
            <w:tcW w:w="160" w:type="dxa"/>
            <w:vAlign w:val="bottom"/>
            <w:shd w:val="clear" w:color="auto" w:fill="E4E4E4"/>
          </w:tcPr>
          <w:p>
            <w:pPr>
              <w:spacing w:after="0"/>
              <w:rPr>
                <w:sz w:val="20"/>
                <w:szCs w:val="20"/>
                <w:color w:val="auto"/>
              </w:rPr>
            </w:pPr>
          </w:p>
        </w:tc>
        <w:tc>
          <w:tcPr>
            <w:tcW w:w="820" w:type="dxa"/>
            <w:vAlign w:val="bottom"/>
            <w:gridSpan w:val="2"/>
            <w:shd w:val="clear" w:color="auto" w:fill="E4E4E4"/>
          </w:tcPr>
          <w:p>
            <w:pPr>
              <w:jc w:val="right"/>
              <w:spacing w:after="0" w:line="220" w:lineRule="exact"/>
              <w:rPr>
                <w:sz w:val="20"/>
                <w:szCs w:val="20"/>
                <w:color w:val="auto"/>
              </w:rPr>
            </w:pPr>
            <w:r>
              <w:rPr>
                <w:rFonts w:ascii="Arial" w:cs="Arial" w:eastAsia="Arial" w:hAnsi="Arial"/>
                <w:sz w:val="20"/>
                <w:szCs w:val="20"/>
                <w:color w:val="auto"/>
              </w:rPr>
              <w:t>44,021</w:t>
            </w:r>
          </w:p>
        </w:tc>
      </w:tr>
      <w:tr>
        <w:trPr>
          <w:trHeight w:val="200"/>
        </w:trPr>
        <w:tc>
          <w:tcPr>
            <w:tcW w:w="4540" w:type="dxa"/>
            <w:vAlign w:val="bottom"/>
            <w:tcBorders>
              <w:top w:val="single" w:sz="8" w:color="E4E4E4"/>
            </w:tcBorders>
          </w:tcPr>
          <w:p>
            <w:pPr>
              <w:spacing w:after="0" w:line="200" w:lineRule="exact"/>
              <w:rPr>
                <w:sz w:val="20"/>
                <w:szCs w:val="20"/>
                <w:color w:val="auto"/>
              </w:rPr>
            </w:pPr>
            <w:r>
              <w:rPr>
                <w:rFonts w:ascii="Arial" w:cs="Arial" w:eastAsia="Arial" w:hAnsi="Arial"/>
                <w:sz w:val="20"/>
                <w:szCs w:val="20"/>
                <w:color w:val="auto"/>
              </w:rPr>
              <w:t>Deferred tax liabilities:</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E4E4E4"/>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Borders>
              <w:top w:val="single" w:sz="8" w:color="E4E4E4"/>
            </w:tcBorders>
          </w:tcPr>
          <w:p>
            <w:pPr>
              <w:spacing w:after="0"/>
              <w:rPr>
                <w:sz w:val="17"/>
                <w:szCs w:val="17"/>
                <w:color w:val="auto"/>
              </w:rPr>
            </w:pPr>
          </w:p>
        </w:tc>
      </w:tr>
      <w:tr>
        <w:trPr>
          <w:trHeight w:val="230"/>
        </w:trPr>
        <w:tc>
          <w:tcPr>
            <w:tcW w:w="4540" w:type="dxa"/>
            <w:vAlign w:val="bottom"/>
            <w:tcBorders>
              <w:right w:val="single" w:sz="8" w:color="E4E4E4"/>
            </w:tcBorders>
            <w:shd w:val="clear" w:color="auto" w:fill="E4E4E4"/>
          </w:tcPr>
          <w:p>
            <w:pPr>
              <w:ind w:left="280"/>
              <w:spacing w:after="0"/>
              <w:rPr>
                <w:sz w:val="20"/>
                <w:szCs w:val="20"/>
                <w:color w:val="auto"/>
              </w:rPr>
            </w:pPr>
            <w:r>
              <w:rPr>
                <w:rFonts w:ascii="Arial" w:cs="Arial" w:eastAsia="Arial" w:hAnsi="Arial"/>
                <w:sz w:val="20"/>
                <w:szCs w:val="20"/>
                <w:color w:val="auto"/>
              </w:rPr>
              <w:t>Right of use asset</w:t>
            </w:r>
          </w:p>
        </w:tc>
        <w:tc>
          <w:tcPr>
            <w:tcW w:w="180" w:type="dxa"/>
            <w:vAlign w:val="bottom"/>
            <w:shd w:val="clear" w:color="auto" w:fill="E4E4E4"/>
          </w:tcPr>
          <w:p>
            <w:pPr>
              <w:spacing w:after="0"/>
              <w:rPr>
                <w:sz w:val="20"/>
                <w:szCs w:val="20"/>
                <w:color w:val="auto"/>
              </w:rPr>
            </w:pPr>
          </w:p>
        </w:tc>
        <w:tc>
          <w:tcPr>
            <w:tcW w:w="860" w:type="dxa"/>
            <w:vAlign w:val="bottom"/>
            <w:tcBorders>
              <w:right w:val="single" w:sz="8" w:color="E4E4E4"/>
            </w:tcBorders>
            <w:gridSpan w:val="2"/>
            <w:shd w:val="clear" w:color="auto" w:fill="E4E4E4"/>
          </w:tcPr>
          <w:p>
            <w:pPr>
              <w:jc w:val="right"/>
              <w:spacing w:after="0"/>
              <w:rPr>
                <w:sz w:val="20"/>
                <w:szCs w:val="20"/>
                <w:color w:val="auto"/>
              </w:rPr>
            </w:pPr>
            <w:r>
              <w:rPr>
                <w:rFonts w:ascii="Arial" w:cs="Arial" w:eastAsia="Arial" w:hAnsi="Arial"/>
                <w:sz w:val="20"/>
                <w:szCs w:val="20"/>
                <w:color w:val="auto"/>
              </w:rPr>
              <w:t>(221)</w:t>
            </w:r>
          </w:p>
        </w:tc>
        <w:tc>
          <w:tcPr>
            <w:tcW w:w="160" w:type="dxa"/>
            <w:vAlign w:val="bottom"/>
            <w:shd w:val="clear" w:color="auto" w:fill="E4E4E4"/>
          </w:tcPr>
          <w:p>
            <w:pPr>
              <w:spacing w:after="0"/>
              <w:rPr>
                <w:sz w:val="20"/>
                <w:szCs w:val="20"/>
                <w:color w:val="auto"/>
              </w:rPr>
            </w:pPr>
          </w:p>
        </w:tc>
        <w:tc>
          <w:tcPr>
            <w:tcW w:w="76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(267</w:t>
            </w:r>
          </w:p>
        </w:tc>
        <w:tc>
          <w:tcPr>
            <w:tcW w:w="60" w:type="dxa"/>
            <w:vAlign w:val="bottom"/>
            <w:shd w:val="clear" w:color="auto" w:fill="E4E4E4"/>
          </w:tcPr>
          <w:p>
            <w:pPr>
              <w:jc w:val="right"/>
              <w:spacing w:after="0"/>
              <w:rPr>
                <w:sz w:val="20"/>
                <w:szCs w:val="20"/>
                <w:color w:val="auto"/>
              </w:rPr>
            </w:pPr>
            <w:r>
              <w:rPr>
                <w:rFonts w:ascii="Arial" w:cs="Arial" w:eastAsia="Arial" w:hAnsi="Arial"/>
                <w:sz w:val="16"/>
                <w:szCs w:val="16"/>
                <w:color w:val="auto"/>
                <w:w w:val="74"/>
                <w:shd w:val="clear" w:color="auto" w:fill="E4E4E4"/>
              </w:rPr>
              <w:t>)</w:t>
            </w:r>
          </w:p>
        </w:tc>
      </w:tr>
      <w:tr>
        <w:trPr>
          <w:trHeight w:val="230"/>
        </w:trPr>
        <w:tc>
          <w:tcPr>
            <w:tcW w:w="4540" w:type="dxa"/>
            <w:vAlign w:val="bottom"/>
          </w:tcPr>
          <w:p>
            <w:pPr>
              <w:ind w:left="280"/>
              <w:spacing w:after="0"/>
              <w:rPr>
                <w:sz w:val="20"/>
                <w:szCs w:val="20"/>
                <w:color w:val="auto"/>
              </w:rPr>
            </w:pPr>
            <w:r>
              <w:rPr>
                <w:rFonts w:ascii="Arial" w:cs="Arial" w:eastAsia="Arial" w:hAnsi="Arial"/>
                <w:sz w:val="20"/>
                <w:szCs w:val="20"/>
                <w:color w:val="auto"/>
              </w:rPr>
              <w:t>Prepaid expenses and other</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(75)</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(475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9"/>
        </w:trPr>
        <w:tc>
          <w:tcPr>
            <w:tcW w:w="4540" w:type="dxa"/>
            <w:vAlign w:val="bottom"/>
            <w:tcBorders>
              <w:right w:val="single" w:sz="8" w:color="E4E4E4"/>
            </w:tcBorders>
            <w:shd w:val="clear" w:color="auto" w:fill="E4E4E4"/>
          </w:tcPr>
          <w:p>
            <w:pPr>
              <w:ind w:left="280"/>
              <w:spacing w:after="0"/>
              <w:rPr>
                <w:sz w:val="20"/>
                <w:szCs w:val="20"/>
                <w:color w:val="auto"/>
              </w:rPr>
            </w:pPr>
            <w:r>
              <w:rPr>
                <w:rFonts w:ascii="Arial" w:cs="Arial" w:eastAsia="Arial" w:hAnsi="Arial"/>
                <w:sz w:val="20"/>
                <w:szCs w:val="20"/>
                <w:color w:val="auto"/>
              </w:rPr>
              <w:t>Investments</w:t>
            </w:r>
          </w:p>
        </w:tc>
        <w:tc>
          <w:tcPr>
            <w:tcW w:w="180" w:type="dxa"/>
            <w:vAlign w:val="bottom"/>
            <w:shd w:val="clear" w:color="auto" w:fill="E4E4E4"/>
          </w:tcPr>
          <w:p>
            <w:pPr>
              <w:spacing w:after="0"/>
              <w:rPr>
                <w:sz w:val="19"/>
                <w:szCs w:val="19"/>
                <w:color w:val="auto"/>
              </w:rPr>
            </w:pPr>
          </w:p>
        </w:tc>
        <w:tc>
          <w:tcPr>
            <w:tcW w:w="860" w:type="dxa"/>
            <w:vAlign w:val="bottom"/>
            <w:tcBorders>
              <w:right w:val="single" w:sz="8" w:color="E4E4E4"/>
            </w:tcBorders>
            <w:gridSpan w:val="2"/>
            <w:shd w:val="clear" w:color="auto" w:fill="E4E4E4"/>
          </w:tcPr>
          <w:p>
            <w:pPr>
              <w:jc w:val="right"/>
              <w:spacing w:after="0"/>
              <w:rPr>
                <w:sz w:val="20"/>
                <w:szCs w:val="20"/>
                <w:color w:val="auto"/>
              </w:rPr>
            </w:pPr>
            <w:r>
              <w:rPr>
                <w:rFonts w:ascii="Arial" w:cs="Arial" w:eastAsia="Arial" w:hAnsi="Arial"/>
                <w:sz w:val="20"/>
                <w:szCs w:val="20"/>
                <w:color w:val="auto"/>
              </w:rPr>
              <w:t>(214)</w:t>
            </w:r>
          </w:p>
        </w:tc>
        <w:tc>
          <w:tcPr>
            <w:tcW w:w="160" w:type="dxa"/>
            <w:vAlign w:val="bottom"/>
            <w:shd w:val="clear" w:color="auto" w:fill="E4E4E4"/>
          </w:tcPr>
          <w:p>
            <w:pPr>
              <w:spacing w:after="0"/>
              <w:rPr>
                <w:sz w:val="19"/>
                <w:szCs w:val="19"/>
                <w:color w:val="auto"/>
              </w:rPr>
            </w:pPr>
          </w:p>
        </w:tc>
        <w:tc>
          <w:tcPr>
            <w:tcW w:w="760" w:type="dxa"/>
            <w:vAlign w:val="bottom"/>
            <w:tcBorders>
              <w:right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rPr>
              <w:t>(294</w:t>
            </w:r>
          </w:p>
        </w:tc>
        <w:tc>
          <w:tcPr>
            <w:tcW w:w="60" w:type="dxa"/>
            <w:vAlign w:val="bottom"/>
            <w:shd w:val="clear" w:color="auto" w:fill="E4E4E4"/>
          </w:tcPr>
          <w:p>
            <w:pPr>
              <w:jc w:val="right"/>
              <w:spacing w:after="0"/>
              <w:rPr>
                <w:sz w:val="20"/>
                <w:szCs w:val="20"/>
                <w:color w:val="auto"/>
              </w:rPr>
            </w:pPr>
            <w:r>
              <w:rPr>
                <w:rFonts w:ascii="Arial" w:cs="Arial" w:eastAsia="Arial" w:hAnsi="Arial"/>
                <w:sz w:val="16"/>
                <w:szCs w:val="16"/>
                <w:color w:val="auto"/>
                <w:w w:val="74"/>
                <w:shd w:val="clear" w:color="auto" w:fill="E4E4E4"/>
              </w:rPr>
              <w:t>)</w:t>
            </w:r>
          </w:p>
        </w:tc>
      </w:tr>
      <w:tr>
        <w:trPr>
          <w:trHeight w:val="220"/>
        </w:trPr>
        <w:tc>
          <w:tcPr>
            <w:tcW w:w="4540" w:type="dxa"/>
            <w:vAlign w:val="bottom"/>
            <w:tcBorders>
              <w:bottom w:val="single" w:sz="8" w:color="E4E4E4"/>
            </w:tcBorders>
          </w:tcPr>
          <w:p>
            <w:pPr>
              <w:ind w:left="560"/>
              <w:spacing w:after="0" w:line="220" w:lineRule="exact"/>
              <w:rPr>
                <w:sz w:val="20"/>
                <w:szCs w:val="20"/>
                <w:color w:val="auto"/>
              </w:rPr>
            </w:pPr>
            <w:r>
              <w:rPr>
                <w:rFonts w:ascii="Arial" w:cs="Arial" w:eastAsia="Arial" w:hAnsi="Arial"/>
                <w:sz w:val="20"/>
                <w:szCs w:val="20"/>
                <w:color w:val="auto"/>
              </w:rPr>
              <w:t>Total deferred tax liabilities</w:t>
            </w: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(510</w:t>
            </w:r>
          </w:p>
        </w:tc>
        <w:tc>
          <w:tcPr>
            <w:tcW w:w="100" w:type="dxa"/>
            <w:vAlign w:val="bottom"/>
            <w:tcBorders>
              <w:bottom w:val="single" w:sz="8" w:color="E4E4E4"/>
            </w:tcBorders>
          </w:tcPr>
          <w:p>
            <w:pPr>
              <w:jc w:val="center"/>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(1,036</w:t>
            </w:r>
          </w:p>
        </w:tc>
        <w:tc>
          <w:tcPr>
            <w:tcW w:w="60" w:type="dxa"/>
            <w:vAlign w:val="bottom"/>
            <w:tcBorders>
              <w:bottom w:val="single" w:sz="8" w:color="E4E4E4"/>
            </w:tcBorders>
          </w:tcPr>
          <w:p>
            <w:pPr>
              <w:jc w:val="right"/>
              <w:spacing w:after="0"/>
              <w:rPr>
                <w:sz w:val="20"/>
                <w:szCs w:val="20"/>
                <w:color w:val="auto"/>
              </w:rPr>
            </w:pPr>
            <w:r>
              <w:rPr>
                <w:rFonts w:ascii="Arial" w:cs="Arial" w:eastAsia="Arial" w:hAnsi="Arial"/>
                <w:sz w:val="16"/>
                <w:szCs w:val="16"/>
                <w:color w:val="auto"/>
                <w:w w:val="74"/>
              </w:rPr>
              <w:t>)</w:t>
            </w:r>
          </w:p>
        </w:tc>
      </w:tr>
      <w:tr>
        <w:trPr>
          <w:trHeight w:val="220"/>
        </w:trPr>
        <w:tc>
          <w:tcPr>
            <w:tcW w:w="4540" w:type="dxa"/>
            <w:vAlign w:val="bottom"/>
            <w:tcBorders>
              <w:right w:val="single" w:sz="8" w:color="E4E4E4"/>
            </w:tcBorders>
            <w:shd w:val="clear" w:color="auto" w:fill="E4E4E4"/>
          </w:tcPr>
          <w:p>
            <w:pPr>
              <w:spacing w:after="0" w:line="220" w:lineRule="exact"/>
              <w:rPr>
                <w:sz w:val="20"/>
                <w:szCs w:val="20"/>
                <w:color w:val="auto"/>
              </w:rPr>
            </w:pPr>
            <w:r>
              <w:rPr>
                <w:rFonts w:ascii="Arial" w:cs="Arial" w:eastAsia="Arial" w:hAnsi="Arial"/>
                <w:sz w:val="20"/>
                <w:szCs w:val="20"/>
                <w:color w:val="auto"/>
              </w:rPr>
              <w:t>Less valuation allowance</w:t>
            </w:r>
          </w:p>
        </w:tc>
        <w:tc>
          <w:tcPr>
            <w:tcW w:w="180" w:type="dxa"/>
            <w:vAlign w:val="bottom"/>
            <w:shd w:val="clear" w:color="auto" w:fill="E4E4E4"/>
          </w:tcPr>
          <w:p>
            <w:pPr>
              <w:spacing w:after="0"/>
              <w:rPr>
                <w:sz w:val="19"/>
                <w:szCs w:val="19"/>
                <w:color w:val="auto"/>
              </w:rPr>
            </w:pPr>
          </w:p>
        </w:tc>
        <w:tc>
          <w:tcPr>
            <w:tcW w:w="860" w:type="dxa"/>
            <w:vAlign w:val="bottom"/>
            <w:tcBorders>
              <w:right w:val="single" w:sz="8" w:color="E4E4E4"/>
            </w:tcBorders>
            <w:gridSpan w:val="2"/>
            <w:shd w:val="clear" w:color="auto" w:fill="E4E4E4"/>
          </w:tcPr>
          <w:p>
            <w:pPr>
              <w:jc w:val="right"/>
              <w:spacing w:after="0" w:line="220" w:lineRule="exact"/>
              <w:rPr>
                <w:sz w:val="20"/>
                <w:szCs w:val="20"/>
                <w:color w:val="auto"/>
              </w:rPr>
            </w:pPr>
            <w:r>
              <w:rPr>
                <w:rFonts w:ascii="Arial" w:cs="Arial" w:eastAsia="Arial" w:hAnsi="Arial"/>
                <w:sz w:val="20"/>
                <w:szCs w:val="20"/>
                <w:color w:val="auto"/>
                <w:shd w:val="clear" w:color="auto" w:fill="E4E4E4"/>
              </w:rPr>
              <w:t>(71,246)</w:t>
            </w:r>
          </w:p>
        </w:tc>
        <w:tc>
          <w:tcPr>
            <w:tcW w:w="160" w:type="dxa"/>
            <w:vAlign w:val="bottom"/>
            <w:shd w:val="clear" w:color="auto" w:fill="E4E4E4"/>
          </w:tcPr>
          <w:p>
            <w:pPr>
              <w:spacing w:after="0"/>
              <w:rPr>
                <w:sz w:val="19"/>
                <w:szCs w:val="19"/>
                <w:color w:val="auto"/>
              </w:rPr>
            </w:pPr>
          </w:p>
        </w:tc>
        <w:tc>
          <w:tcPr>
            <w:tcW w:w="760" w:type="dxa"/>
            <w:vAlign w:val="bottom"/>
            <w:tcBorders>
              <w:right w:val="single" w:sz="8" w:color="E4E4E4"/>
            </w:tcBorders>
            <w:shd w:val="clear" w:color="auto" w:fill="E4E4E4"/>
          </w:tcPr>
          <w:p>
            <w:pPr>
              <w:jc w:val="right"/>
              <w:spacing w:after="0" w:line="220" w:lineRule="exact"/>
              <w:rPr>
                <w:sz w:val="20"/>
                <w:szCs w:val="20"/>
                <w:color w:val="auto"/>
              </w:rPr>
            </w:pPr>
            <w:r>
              <w:rPr>
                <w:rFonts w:ascii="Arial" w:cs="Arial" w:eastAsia="Arial" w:hAnsi="Arial"/>
                <w:sz w:val="20"/>
                <w:szCs w:val="20"/>
                <w:color w:val="auto"/>
                <w:shd w:val="clear" w:color="auto" w:fill="E4E4E4"/>
              </w:rPr>
              <w:t>(42,985</w:t>
            </w:r>
          </w:p>
        </w:tc>
        <w:tc>
          <w:tcPr>
            <w:tcW w:w="60" w:type="dxa"/>
            <w:vAlign w:val="bottom"/>
            <w:shd w:val="clear" w:color="auto" w:fill="E4E4E4"/>
          </w:tcPr>
          <w:p>
            <w:pPr>
              <w:jc w:val="right"/>
              <w:spacing w:after="0"/>
              <w:rPr>
                <w:sz w:val="20"/>
                <w:szCs w:val="20"/>
                <w:color w:val="auto"/>
              </w:rPr>
            </w:pPr>
            <w:r>
              <w:rPr>
                <w:rFonts w:ascii="Arial" w:cs="Arial" w:eastAsia="Arial" w:hAnsi="Arial"/>
                <w:sz w:val="16"/>
                <w:szCs w:val="16"/>
                <w:color w:val="auto"/>
                <w:w w:val="74"/>
                <w:shd w:val="clear" w:color="auto" w:fill="E4E4E4"/>
              </w:rPr>
              <w:t>)</w:t>
            </w:r>
          </w:p>
        </w:tc>
      </w:tr>
      <w:tr>
        <w:trPr>
          <w:trHeight w:val="222"/>
        </w:trPr>
        <w:tc>
          <w:tcPr>
            <w:tcW w:w="4540" w:type="dxa"/>
            <w:vAlign w:val="bottom"/>
          </w:tcPr>
          <w:p>
            <w:pPr>
              <w:ind w:left="560"/>
              <w:spacing w:after="0" w:line="223" w:lineRule="exact"/>
              <w:rPr>
                <w:sz w:val="20"/>
                <w:szCs w:val="20"/>
                <w:color w:val="auto"/>
              </w:rPr>
            </w:pPr>
            <w:r>
              <w:rPr>
                <w:rFonts w:ascii="Arial" w:cs="Arial" w:eastAsia="Arial" w:hAnsi="Arial"/>
                <w:sz w:val="20"/>
                <w:szCs w:val="20"/>
                <w:color w:val="auto"/>
              </w:rPr>
              <w:t>Net deferred tax assets</w:t>
            </w:r>
          </w:p>
        </w:tc>
        <w:tc>
          <w:tcPr>
            <w:tcW w:w="1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89"/>
              </w:rPr>
              <w:t>$</w:t>
            </w:r>
          </w:p>
        </w:tc>
        <w:tc>
          <w:tcPr>
            <w:tcW w:w="7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7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890905</wp:posOffset>
                </wp:positionH>
                <wp:positionV relativeFrom="paragraph">
                  <wp:posOffset>-1073150</wp:posOffset>
                </wp:positionV>
                <wp:extent cx="288417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417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15pt,-84.4999pt" to="297.25pt,-84.49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4356735</wp:posOffset>
                </wp:positionH>
                <wp:positionV relativeFrom="paragraph">
                  <wp:posOffset>-1073150</wp:posOffset>
                </wp:positionV>
                <wp:extent cx="6985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85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3.05pt,-84.4999pt" to="348.55pt,-84.49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5008880</wp:posOffset>
                </wp:positionH>
                <wp:positionV relativeFrom="paragraph">
                  <wp:posOffset>-1073150</wp:posOffset>
                </wp:positionV>
                <wp:extent cx="4254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54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4pt,-84.4999pt" to="397.75pt,-84.4999pt" o:allowincell="f" strokecolor="#FFFFFF" strokeweight="0.4809pt"/>
            </w:pict>
          </mc:Fallback>
        </mc:AlternateContent>
      </w:r>
    </w:p>
    <w:p>
      <w:pPr>
        <w:spacing w:after="0" w:line="230" w:lineRule="exact"/>
        <w:rPr>
          <w:sz w:val="20"/>
          <w:szCs w:val="20"/>
          <w:color w:val="auto"/>
        </w:rPr>
      </w:pPr>
    </w:p>
    <w:p>
      <w:pPr>
        <w:jc w:val="both"/>
        <w:ind w:firstLine="489"/>
        <w:spacing w:after="0" w:line="260" w:lineRule="auto"/>
        <w:rPr>
          <w:sz w:val="20"/>
          <w:szCs w:val="20"/>
          <w:color w:val="auto"/>
        </w:rPr>
      </w:pPr>
      <w:r>
        <w:rPr>
          <w:rFonts w:ascii="Arial" w:cs="Arial" w:eastAsia="Arial" w:hAnsi="Arial"/>
          <w:sz w:val="19"/>
          <w:szCs w:val="19"/>
          <w:color w:val="212121"/>
        </w:rPr>
        <w:t>Deferred income taxes reflect temporary differences between the carrying amounts of assets and liabilities for financial reporting and income tax purposes, and operating losses and tax credit carryforwards. The Company considers a number of factors concerning the realizability of its net deferred tax assets, including its history of operating losses, the nature of the deferred tax assets, and the timing, likelihood and amount, if any, of future taxable income during the periods in which those temporary differences and carryforwards become deductible, all of which require significant judgment. As of December 31, 2023, the Company has recorded a full valuation allowance on its net deferred tax assets as the Company has concluded that it is not more likely than not that such losses or credits will be utilized. The valuation allowance increased by $28.3 million and $20.4 million during 2023 and 2022, respectively.</w:t>
      </w:r>
    </w:p>
    <w:p>
      <w:pPr>
        <w:spacing w:after="0" w:line="180" w:lineRule="exact"/>
        <w:rPr>
          <w:sz w:val="20"/>
          <w:szCs w:val="20"/>
          <w:color w:val="auto"/>
        </w:rPr>
      </w:pPr>
    </w:p>
    <w:p>
      <w:pPr>
        <w:jc w:val="both"/>
        <w:ind w:firstLine="489"/>
        <w:spacing w:after="0" w:line="250" w:lineRule="auto"/>
        <w:rPr>
          <w:sz w:val="20"/>
          <w:szCs w:val="20"/>
          <w:color w:val="auto"/>
        </w:rPr>
      </w:pPr>
      <w:r>
        <w:rPr>
          <w:rFonts w:ascii="Arial" w:cs="Arial" w:eastAsia="Arial" w:hAnsi="Arial"/>
          <w:sz w:val="20"/>
          <w:szCs w:val="20"/>
          <w:color w:val="212121"/>
        </w:rPr>
        <w:t>At December 31, 2023, the Company has federal net operating loss and tax credit carryforwards of $9.5 million and $12.4 million, respectively, which expire over a period of 8 to 14 years. Net operating loss carryforwards of $138.7 million were generated after 2017, and therefore do not expire. As of December 31, 2023, the Company also had state net operating loss carryforwards of $3.3 million, which expire over a period of 18 to 20 years.</w:t>
      </w:r>
    </w:p>
    <w:p>
      <w:pPr>
        <w:spacing w:after="0" w:line="193" w:lineRule="exact"/>
        <w:rPr>
          <w:sz w:val="20"/>
          <w:szCs w:val="20"/>
          <w:color w:val="auto"/>
        </w:rPr>
      </w:pPr>
    </w:p>
    <w:p>
      <w:pPr>
        <w:jc w:val="both"/>
        <w:ind w:firstLine="489"/>
        <w:spacing w:after="0" w:line="247" w:lineRule="auto"/>
        <w:rPr>
          <w:sz w:val="20"/>
          <w:szCs w:val="20"/>
          <w:color w:val="auto"/>
        </w:rPr>
      </w:pPr>
      <w:r>
        <w:rPr>
          <w:rFonts w:ascii="Arial" w:cs="Arial" w:eastAsia="Arial" w:hAnsi="Arial"/>
          <w:sz w:val="20"/>
          <w:szCs w:val="20"/>
          <w:color w:val="212121"/>
        </w:rPr>
        <w:t>The Tax Cuts and Jobs Act contained a provision which requires the capitalization of Section 174 costs incurred in years beginning on or after January 1, 2022. Section 174 costs are expenditures which represent research and development costs that are incident to the development or improvement of a product, process, formula, invention, computer software, or technique. This provision changes the treatment of Section 174 costs such that the expenditures are no longer allowed as an immediate deduction but rather must be capitalized and amortized. We have included the impact of this provision, which results in a deferred tax asset of approximately $25.2 million as of December 31, 2023.</w:t>
      </w:r>
    </w:p>
    <w:p>
      <w:pPr>
        <w:spacing w:after="0" w:line="317"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212121"/>
        </w:rPr>
        <w:t>Uncertain Tax Positions</w:t>
      </w:r>
    </w:p>
    <w:p>
      <w:pPr>
        <w:spacing w:after="0" w:line="116" w:lineRule="exact"/>
        <w:rPr>
          <w:sz w:val="20"/>
          <w:szCs w:val="20"/>
          <w:color w:val="auto"/>
        </w:rPr>
      </w:pPr>
    </w:p>
    <w:p>
      <w:pPr>
        <w:jc w:val="both"/>
        <w:ind w:firstLine="489"/>
        <w:spacing w:after="0" w:line="281" w:lineRule="auto"/>
        <w:rPr>
          <w:sz w:val="20"/>
          <w:szCs w:val="20"/>
          <w:color w:val="auto"/>
        </w:rPr>
      </w:pPr>
      <w:r>
        <w:rPr>
          <w:rFonts w:ascii="Arial" w:cs="Arial" w:eastAsia="Arial" w:hAnsi="Arial"/>
          <w:sz w:val="19"/>
          <w:szCs w:val="19"/>
          <w:color w:val="212121"/>
        </w:rPr>
        <w:t>The Company files federal income tax returns. With few exceptions, the Company is no longer subject to income tax examinations by tax authorities for years prior to 2016. However, to the extent allowed by law, the tax authorities may have the right to examine prior periods where net operating losses or tax credits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156</w:t>
      </w:r>
    </w:p>
    <w:p>
      <w:pPr>
        <w:sectPr>
          <w:pgSz w:w="11880" w:h="15474" w:orient="portrait"/>
          <w:cols w:equalWidth="0" w:num="1">
            <w:col w:w="9360"/>
          </w:cols>
          <w:pgMar w:left="1240" w:top="1440" w:right="1274" w:bottom="0" w:gutter="0" w:footer="0" w:header="0"/>
        </w:sectPr>
      </w:pPr>
    </w:p>
    <w:bookmarkStart w:id="162" w:name="page163"/>
    <w:bookmarkEnd w:id="162"/>
    <w:p>
      <w:pPr>
        <w:jc w:val="both"/>
        <w:spacing w:after="0" w:line="282" w:lineRule="auto"/>
        <w:rPr>
          <w:sz w:val="20"/>
          <w:szCs w:val="20"/>
          <w:color w:val="auto"/>
        </w:rPr>
      </w:pPr>
      <w:r>
        <w:rPr>
          <w:rFonts w:ascii="Arial" w:cs="Arial" w:eastAsia="Arial" w:hAnsi="Arial"/>
          <w:sz w:val="20"/>
          <w:szCs w:val="20"/>
          <w:color w:val="212121"/>
        </w:rPr>
        <w:t>were generated and carried forward and may make adjustments to the amount of the net operating loss or credit carryforward amount. The Company is not currently under examination in any jurisdiction.</w:t>
      </w:r>
    </w:p>
    <w:p>
      <w:pPr>
        <w:spacing w:after="0" w:line="159" w:lineRule="exact"/>
        <w:rPr>
          <w:sz w:val="20"/>
          <w:szCs w:val="20"/>
          <w:color w:val="auto"/>
        </w:rPr>
      </w:pPr>
    </w:p>
    <w:p>
      <w:pPr>
        <w:jc w:val="both"/>
        <w:ind w:firstLine="489"/>
        <w:spacing w:after="0" w:line="283" w:lineRule="auto"/>
        <w:rPr>
          <w:sz w:val="20"/>
          <w:szCs w:val="20"/>
          <w:color w:val="auto"/>
        </w:rPr>
      </w:pPr>
      <w:r>
        <w:rPr>
          <w:rFonts w:ascii="Arial" w:cs="Arial" w:eastAsia="Arial" w:hAnsi="Arial"/>
          <w:sz w:val="20"/>
          <w:szCs w:val="20"/>
          <w:color w:val="212121"/>
        </w:rPr>
        <w:t>A reconciliation of the beginning and ending amount of unrecognized tax benefits for uncertain tax positions were as follows (in thousands):</w:t>
      </w:r>
    </w:p>
    <w:p>
      <w:pPr>
        <w:spacing w:after="0" w:line="148" w:lineRule="exact"/>
        <w:rPr>
          <w:sz w:val="20"/>
          <w:szCs w:val="20"/>
          <w:color w:val="auto"/>
        </w:rPr>
      </w:pPr>
    </w:p>
    <w:tbl>
      <w:tblPr>
        <w:tblLayout w:type="fixed"/>
        <w:tblInd w:w="140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7"/>
          </w:tcPr>
          <w:p>
            <w:pPr>
              <w:jc w:val="right"/>
              <w:ind w:right="600"/>
              <w:spacing w:after="0"/>
              <w:rPr>
                <w:sz w:val="20"/>
                <w:szCs w:val="20"/>
                <w:color w:val="auto"/>
              </w:rPr>
            </w:pPr>
            <w:r>
              <w:rPr>
                <w:rFonts w:ascii="Arial" w:cs="Arial" w:eastAsia="Arial" w:hAnsi="Arial"/>
                <w:sz w:val="16"/>
                <w:szCs w:val="16"/>
                <w:b w:val="1"/>
                <w:bCs w:val="1"/>
                <w:color w:val="auto"/>
              </w:rPr>
              <w:t>Year Ended</w:t>
            </w:r>
          </w:p>
        </w:tc>
      </w:tr>
      <w:tr>
        <w:trPr>
          <w:trHeight w:val="202"/>
        </w:trPr>
        <w:tc>
          <w:tcPr>
            <w:tcW w:w="4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7"/>
          </w:tcPr>
          <w:p>
            <w:pPr>
              <w:jc w:val="right"/>
              <w:ind w:right="520"/>
              <w:spacing w:after="0"/>
              <w:rPr>
                <w:sz w:val="20"/>
                <w:szCs w:val="20"/>
                <w:color w:val="auto"/>
              </w:rPr>
            </w:pPr>
            <w:r>
              <w:rPr>
                <w:rFonts w:ascii="Arial" w:cs="Arial" w:eastAsia="Arial" w:hAnsi="Arial"/>
                <w:sz w:val="16"/>
                <w:szCs w:val="16"/>
                <w:b w:val="1"/>
                <w:bCs w:val="1"/>
                <w:color w:val="auto"/>
              </w:rPr>
              <w:t>December 31,</w:t>
            </w:r>
          </w:p>
        </w:tc>
      </w:tr>
      <w:tr>
        <w:trPr>
          <w:trHeight w:val="174"/>
        </w:trPr>
        <w:tc>
          <w:tcPr>
            <w:tcW w:w="4500" w:type="dxa"/>
            <w:vAlign w:val="bottom"/>
            <w:tcBorders>
              <w:bottom w:val="single" w:sz="8" w:color="E4E4E4"/>
            </w:tcBorders>
          </w:tcPr>
          <w:p>
            <w:pPr>
              <w:spacing w:after="0"/>
              <w:rPr>
                <w:sz w:val="15"/>
                <w:szCs w:val="15"/>
                <w:color w:val="auto"/>
              </w:rPr>
            </w:pPr>
          </w:p>
        </w:tc>
        <w:tc>
          <w:tcPr>
            <w:tcW w:w="4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89"/>
              <w:spacing w:after="0" w:line="175" w:lineRule="exact"/>
              <w:rPr>
                <w:sz w:val="20"/>
                <w:szCs w:val="20"/>
                <w:color w:val="auto"/>
              </w:rPr>
            </w:pPr>
            <w:r>
              <w:rPr>
                <w:rFonts w:ascii="Arial" w:cs="Arial" w:eastAsia="Arial" w:hAnsi="Arial"/>
                <w:sz w:val="16"/>
                <w:szCs w:val="16"/>
                <w:b w:val="1"/>
                <w:bCs w:val="1"/>
                <w:color w:val="auto"/>
              </w:rPr>
              <w:t>2023</w:t>
            </w:r>
          </w:p>
        </w:tc>
        <w:tc>
          <w:tcPr>
            <w:tcW w:w="20" w:type="dxa"/>
            <w:vAlign w:val="bottom"/>
            <w:tcBorders>
              <w:top w:val="single" w:sz="8" w:color="auto"/>
              <w:bottom w:val="single" w:sz="8" w:color="E4E4E4"/>
            </w:tcBorders>
          </w:tcPr>
          <w:p>
            <w:pPr>
              <w:spacing w:after="0"/>
              <w:rPr>
                <w:sz w:val="15"/>
                <w:szCs w:val="15"/>
                <w:color w:val="auto"/>
              </w:rPr>
            </w:pPr>
          </w:p>
        </w:tc>
        <w:tc>
          <w:tcPr>
            <w:tcW w:w="80" w:type="dxa"/>
            <w:vAlign w:val="bottom"/>
            <w:tcBorders>
              <w:top w:val="single" w:sz="8" w:color="auto"/>
              <w:bottom w:val="single" w:sz="8" w:color="E4E4E4"/>
            </w:tcBorders>
          </w:tcPr>
          <w:p>
            <w:pPr>
              <w:spacing w:after="0"/>
              <w:rPr>
                <w:sz w:val="15"/>
                <w:szCs w:val="15"/>
                <w:color w:val="auto"/>
              </w:rPr>
            </w:pPr>
          </w:p>
        </w:tc>
        <w:tc>
          <w:tcPr>
            <w:tcW w:w="20" w:type="dxa"/>
            <w:vAlign w:val="bottom"/>
            <w:tcBorders>
              <w:top w:val="single" w:sz="8" w:color="auto"/>
              <w:bottom w:val="single" w:sz="8" w:color="E4E4E4"/>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84"/>
              <w:spacing w:after="0" w:line="175" w:lineRule="exact"/>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5"/>
                <w:szCs w:val="15"/>
                <w:color w:val="auto"/>
              </w:rPr>
            </w:pPr>
          </w:p>
        </w:tc>
      </w:tr>
      <w:tr>
        <w:trPr>
          <w:trHeight w:val="220"/>
        </w:trPr>
        <w:tc>
          <w:tcPr>
            <w:tcW w:w="4500" w:type="dxa"/>
            <w:vAlign w:val="bottom"/>
            <w:shd w:val="clear" w:color="auto" w:fill="E4E4E4"/>
          </w:tcPr>
          <w:p>
            <w:pPr>
              <w:spacing w:after="0" w:line="220" w:lineRule="exact"/>
              <w:rPr>
                <w:sz w:val="20"/>
                <w:szCs w:val="20"/>
                <w:color w:val="auto"/>
              </w:rPr>
            </w:pPr>
            <w:r>
              <w:rPr>
                <w:rFonts w:ascii="Arial" w:cs="Arial" w:eastAsia="Arial" w:hAnsi="Arial"/>
                <w:sz w:val="20"/>
                <w:szCs w:val="20"/>
                <w:color w:val="auto"/>
              </w:rPr>
              <w:t>Beginning balance</w:t>
            </w:r>
          </w:p>
        </w:tc>
        <w:tc>
          <w:tcPr>
            <w:tcW w:w="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w w:val="71"/>
              </w:rPr>
              <w:t>$</w:t>
            </w:r>
          </w:p>
        </w:tc>
        <w:tc>
          <w:tcPr>
            <w:tcW w:w="820" w:type="dxa"/>
            <w:vAlign w:val="bottom"/>
            <w:gridSpan w:val="2"/>
            <w:shd w:val="clear" w:color="auto" w:fill="E4E4E4"/>
          </w:tcPr>
          <w:p>
            <w:pPr>
              <w:jc w:val="right"/>
              <w:ind w:right="20"/>
              <w:spacing w:after="0" w:line="220" w:lineRule="exact"/>
              <w:rPr>
                <w:sz w:val="20"/>
                <w:szCs w:val="20"/>
                <w:color w:val="auto"/>
              </w:rPr>
            </w:pPr>
            <w:r>
              <w:rPr>
                <w:rFonts w:ascii="Arial" w:cs="Arial" w:eastAsia="Arial" w:hAnsi="Arial"/>
                <w:sz w:val="20"/>
                <w:szCs w:val="20"/>
                <w:color w:val="auto"/>
              </w:rPr>
              <w:t>1,406</w:t>
            </w:r>
          </w:p>
        </w:tc>
        <w:tc>
          <w:tcPr>
            <w:tcW w:w="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auto"/>
                <w:w w:val="89"/>
              </w:rPr>
              <w:t>$</w:t>
            </w:r>
          </w:p>
        </w:tc>
        <w:tc>
          <w:tcPr>
            <w:tcW w:w="860" w:type="dxa"/>
            <w:vAlign w:val="bottom"/>
            <w:gridSpan w:val="2"/>
            <w:shd w:val="clear" w:color="auto" w:fill="E4E4E4"/>
          </w:tcPr>
          <w:p>
            <w:pPr>
              <w:jc w:val="right"/>
              <w:ind w:right="60"/>
              <w:spacing w:after="0" w:line="220" w:lineRule="exact"/>
              <w:rPr>
                <w:sz w:val="20"/>
                <w:szCs w:val="20"/>
                <w:color w:val="auto"/>
              </w:rPr>
            </w:pPr>
            <w:r>
              <w:rPr>
                <w:rFonts w:ascii="Arial" w:cs="Arial" w:eastAsia="Arial" w:hAnsi="Arial"/>
                <w:sz w:val="20"/>
                <w:szCs w:val="20"/>
                <w:color w:val="auto"/>
              </w:rPr>
              <w:t>722</w:t>
            </w:r>
          </w:p>
        </w:tc>
      </w:tr>
      <w:tr>
        <w:trPr>
          <w:trHeight w:val="210"/>
        </w:trPr>
        <w:tc>
          <w:tcPr>
            <w:tcW w:w="4500" w:type="dxa"/>
            <w:vAlign w:val="bottom"/>
          </w:tcPr>
          <w:p>
            <w:pPr>
              <w:spacing w:after="0" w:line="210" w:lineRule="exact"/>
              <w:rPr>
                <w:sz w:val="20"/>
                <w:szCs w:val="20"/>
                <w:color w:val="auto"/>
              </w:rPr>
            </w:pPr>
            <w:r>
              <w:rPr>
                <w:rFonts w:ascii="Arial" w:cs="Arial" w:eastAsia="Arial" w:hAnsi="Arial"/>
                <w:sz w:val="20"/>
                <w:szCs w:val="20"/>
                <w:color w:val="auto"/>
              </w:rPr>
              <w:t>Additions for tax positions taken in prior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4560" w:type="dxa"/>
            <w:vAlign w:val="bottom"/>
            <w:gridSpan w:val="3"/>
          </w:tcPr>
          <w:p>
            <w:pPr>
              <w:ind w:left="160"/>
              <w:spacing w:after="0"/>
              <w:rPr>
                <w:sz w:val="20"/>
                <w:szCs w:val="20"/>
                <w:color w:val="auto"/>
              </w:rPr>
            </w:pPr>
            <w:r>
              <w:rPr>
                <w:rFonts w:ascii="Arial" w:cs="Arial" w:eastAsia="Arial" w:hAnsi="Arial"/>
                <w:sz w:val="20"/>
                <w:szCs w:val="20"/>
                <w:color w:val="auto"/>
              </w:rPr>
              <w:t>years</w:t>
            </w:r>
          </w:p>
        </w:tc>
        <w:tc>
          <w:tcPr>
            <w:tcW w:w="1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20"/>
                <w:szCs w:val="20"/>
                <w:color w:val="auto"/>
              </w:rPr>
              <w:t>182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r>
      <w:tr>
        <w:trPr>
          <w:trHeight w:val="229"/>
        </w:trPr>
        <w:tc>
          <w:tcPr>
            <w:tcW w:w="4500" w:type="dxa"/>
            <w:vAlign w:val="bottom"/>
            <w:shd w:val="clear" w:color="auto" w:fill="E4E4E4"/>
          </w:tcPr>
          <w:p>
            <w:pPr>
              <w:spacing w:after="0"/>
              <w:rPr>
                <w:sz w:val="20"/>
                <w:szCs w:val="20"/>
                <w:color w:val="auto"/>
              </w:rPr>
            </w:pPr>
            <w:r>
              <w:rPr>
                <w:rFonts w:ascii="Arial" w:cs="Arial" w:eastAsia="Arial" w:hAnsi="Arial"/>
                <w:sz w:val="20"/>
                <w:szCs w:val="20"/>
                <w:color w:val="auto"/>
              </w:rPr>
              <w:t>Additions for tax positions taken in the current</w:t>
            </w:r>
          </w:p>
        </w:tc>
        <w:tc>
          <w:tcPr>
            <w:tcW w:w="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0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r>
      <w:tr>
        <w:trPr>
          <w:trHeight w:val="250"/>
        </w:trPr>
        <w:tc>
          <w:tcPr>
            <w:tcW w:w="4500" w:type="dxa"/>
            <w:vAlign w:val="bottom"/>
            <w:shd w:val="clear" w:color="auto" w:fill="E4E4E4"/>
          </w:tcPr>
          <w:p>
            <w:pPr>
              <w:ind w:left="160"/>
              <w:spacing w:after="0"/>
              <w:rPr>
                <w:sz w:val="20"/>
                <w:szCs w:val="20"/>
                <w:color w:val="auto"/>
              </w:rPr>
            </w:pPr>
            <w:r>
              <w:rPr>
                <w:rFonts w:ascii="Arial" w:cs="Arial" w:eastAsia="Arial" w:hAnsi="Arial"/>
                <w:sz w:val="20"/>
                <w:szCs w:val="20"/>
                <w:color w:val="auto"/>
              </w:rPr>
              <w:t>year</w:t>
            </w:r>
          </w:p>
        </w:tc>
        <w:tc>
          <w:tcPr>
            <w:tcW w:w="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1,521</w:t>
            </w: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860" w:type="dxa"/>
            <w:vAlign w:val="bottom"/>
            <w:gridSpan w:val="2"/>
            <w:shd w:val="clear" w:color="auto" w:fill="E4E4E4"/>
          </w:tcPr>
          <w:p>
            <w:pPr>
              <w:jc w:val="right"/>
              <w:ind w:right="60"/>
              <w:spacing w:after="0"/>
              <w:rPr>
                <w:sz w:val="20"/>
                <w:szCs w:val="20"/>
                <w:color w:val="auto"/>
              </w:rPr>
            </w:pPr>
            <w:r>
              <w:rPr>
                <w:rFonts w:ascii="Arial" w:cs="Arial" w:eastAsia="Arial" w:hAnsi="Arial"/>
                <w:sz w:val="20"/>
                <w:szCs w:val="20"/>
                <w:color w:val="auto"/>
              </w:rPr>
              <w:t>684</w:t>
            </w:r>
          </w:p>
        </w:tc>
      </w:tr>
      <w:tr>
        <w:trPr>
          <w:trHeight w:val="202"/>
        </w:trPr>
        <w:tc>
          <w:tcPr>
            <w:tcW w:w="4500" w:type="dxa"/>
            <w:vAlign w:val="bottom"/>
            <w:tcBorders>
              <w:top w:val="single" w:sz="8" w:color="E4E4E4"/>
            </w:tcBorders>
          </w:tcPr>
          <w:p>
            <w:pPr>
              <w:spacing w:after="0" w:line="203" w:lineRule="exact"/>
              <w:rPr>
                <w:sz w:val="20"/>
                <w:szCs w:val="20"/>
                <w:color w:val="auto"/>
              </w:rPr>
            </w:pPr>
            <w:r>
              <w:rPr>
                <w:rFonts w:ascii="Arial" w:cs="Arial" w:eastAsia="Arial" w:hAnsi="Arial"/>
                <w:sz w:val="20"/>
                <w:szCs w:val="20"/>
                <w:color w:val="auto"/>
              </w:rPr>
              <w:t>Ending balance</w:t>
            </w:r>
          </w:p>
        </w:tc>
        <w:tc>
          <w:tcPr>
            <w:tcW w:w="40" w:type="dxa"/>
            <w:vAlign w:val="bottom"/>
            <w:tcBorders>
              <w:top w:val="single" w:sz="8" w:color="E4E4E4"/>
            </w:tcBorders>
          </w:tcPr>
          <w:p>
            <w:pPr>
              <w:spacing w:after="0"/>
              <w:rPr>
                <w:sz w:val="17"/>
                <w:szCs w:val="17"/>
                <w:color w:val="auto"/>
              </w:rPr>
            </w:pPr>
          </w:p>
        </w:tc>
        <w:tc>
          <w:tcPr>
            <w:tcW w:w="20" w:type="dxa"/>
            <w:vAlign w:val="bottom"/>
            <w:tcBorders>
              <w:top w:val="single" w:sz="8" w:color="E4E4E4"/>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3,109</w:t>
            </w:r>
          </w:p>
        </w:tc>
        <w:tc>
          <w:tcPr>
            <w:tcW w:w="20" w:type="dxa"/>
            <w:vAlign w:val="bottom"/>
            <w:tcBorders>
              <w:top w:val="single" w:sz="8" w:color="E4E4E4"/>
            </w:tcBorders>
          </w:tcPr>
          <w:p>
            <w:pPr>
              <w:spacing w:after="0"/>
              <w:rPr>
                <w:sz w:val="17"/>
                <w:szCs w:val="17"/>
                <w:color w:val="auto"/>
              </w:rPr>
            </w:pPr>
          </w:p>
        </w:tc>
        <w:tc>
          <w:tcPr>
            <w:tcW w:w="80" w:type="dxa"/>
            <w:vAlign w:val="bottom"/>
            <w:tcBorders>
              <w:top w:val="single" w:sz="8" w:color="E4E4E4"/>
            </w:tcBorders>
          </w:tcPr>
          <w:p>
            <w:pPr>
              <w:spacing w:after="0"/>
              <w:rPr>
                <w:sz w:val="17"/>
                <w:szCs w:val="17"/>
                <w:color w:val="auto"/>
              </w:rPr>
            </w:pPr>
          </w:p>
        </w:tc>
        <w:tc>
          <w:tcPr>
            <w:tcW w:w="20" w:type="dxa"/>
            <w:vAlign w:val="bottom"/>
            <w:tcBorders>
              <w:top w:val="single" w:sz="8" w:color="E4E4E4"/>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20"/>
                <w:szCs w:val="20"/>
                <w:color w:val="auto"/>
                <w:w w:val="8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1,406</w:t>
            </w:r>
          </w:p>
        </w:tc>
        <w:tc>
          <w:tcPr>
            <w:tcW w:w="60" w:type="dxa"/>
            <w:vAlign w:val="bottom"/>
            <w:tcBorders>
              <w:top w:val="single" w:sz="8" w:color="E4E4E4"/>
            </w:tcBorders>
          </w:tcPr>
          <w:p>
            <w:pPr>
              <w:spacing w:after="0"/>
              <w:rPr>
                <w:sz w:val="17"/>
                <w:szCs w:val="17"/>
                <w:color w:val="auto"/>
              </w:rPr>
            </w:pPr>
          </w:p>
        </w:tc>
      </w:tr>
      <w:tr>
        <w:trPr>
          <w:trHeight w:val="20"/>
        </w:trPr>
        <w:tc>
          <w:tcPr>
            <w:tcW w:w="4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5015865</wp:posOffset>
                </wp:positionH>
                <wp:positionV relativeFrom="paragraph">
                  <wp:posOffset>-913765</wp:posOffset>
                </wp:positionV>
                <wp:extent cx="3556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560" cy="4763"/>
                        </a:xfrm>
                        <a:prstGeom prst="line">
                          <a:avLst/>
                        </a:prstGeom>
                        <a:solidFill>
                          <a:srgbClr val="FFFFFF"/>
                        </a:solidFill>
                        <a:ln w="6095">
                          <a:solidFill>
                            <a:srgbClr val="E4E4E4"/>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95pt,-71.9499pt" to="397.75pt,-71.9499pt" o:allowincell="f" strokecolor="#E4E4E4" strokeweight="0.4799pt"/>
            </w:pict>
          </mc:Fallback>
        </mc:AlternateContent>
        <mc:AlternateContent>
          <mc:Choice Requires="wps">
            <w:drawing>
              <wp:anchor simplePos="0" relativeHeight="251657728" behindDoc="1" locked="0" layoutInCell="0" allowOverlap="1">
                <wp:simplePos x="0" y="0"/>
                <wp:positionH relativeFrom="column">
                  <wp:posOffset>890905</wp:posOffset>
                </wp:positionH>
                <wp:positionV relativeFrom="paragraph">
                  <wp:posOffset>-177800</wp:posOffset>
                </wp:positionV>
                <wp:extent cx="288734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734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15pt,-14pt" to="297.5pt,-14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4361180</wp:posOffset>
                </wp:positionH>
                <wp:positionV relativeFrom="paragraph">
                  <wp:posOffset>-177800</wp:posOffset>
                </wp:positionV>
                <wp:extent cx="7175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75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3.4pt,-14pt" to="349.05pt,-14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5015865</wp:posOffset>
                </wp:positionH>
                <wp:positionV relativeFrom="paragraph">
                  <wp:posOffset>-177800</wp:posOffset>
                </wp:positionV>
                <wp:extent cx="3556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56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95pt,-14pt" to="397.75pt,-14pt" o:allowincell="f" strokecolor="#FFFFFF" strokeweight="0.48pt"/>
            </w:pict>
          </mc:Fallback>
        </mc:AlternateContent>
      </w:r>
    </w:p>
    <w:p>
      <w:pPr>
        <w:spacing w:after="0" w:line="230" w:lineRule="exact"/>
        <w:rPr>
          <w:sz w:val="20"/>
          <w:szCs w:val="20"/>
          <w:color w:val="auto"/>
        </w:rPr>
      </w:pPr>
    </w:p>
    <w:p>
      <w:pPr>
        <w:jc w:val="both"/>
        <w:ind w:firstLine="489"/>
        <w:spacing w:after="0" w:line="248" w:lineRule="auto"/>
        <w:rPr>
          <w:sz w:val="20"/>
          <w:szCs w:val="20"/>
          <w:color w:val="auto"/>
        </w:rPr>
      </w:pPr>
      <w:r>
        <w:rPr>
          <w:rFonts w:ascii="Arial" w:cs="Arial" w:eastAsia="Arial" w:hAnsi="Arial"/>
          <w:sz w:val="20"/>
          <w:szCs w:val="20"/>
          <w:color w:val="212121"/>
        </w:rPr>
        <w:t>If the unrecognized tax benefits for uncertain tax positions as of December 31, 2023 are recognized, there will be no impact to the effective tax rate due to the valuation allowance. The Company recognizes interest and penalties related to unrecognized tax benefits within the income tax expense line in the accompanying consolidated financial statements. At December 31, 2023, there were no material interest and penalties on uncertain tax benefits. The Company does not anticipate any significant changes to its unrecognized tax benefits in the next 12 months.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212121"/>
        </w:rPr>
        <w:t>11. Employee Benefit Plans</w:t>
      </w:r>
    </w:p>
    <w:p>
      <w:pPr>
        <w:spacing w:after="0" w:line="124" w:lineRule="exact"/>
        <w:rPr>
          <w:sz w:val="20"/>
          <w:szCs w:val="20"/>
          <w:color w:val="auto"/>
        </w:rPr>
      </w:pPr>
    </w:p>
    <w:p>
      <w:pPr>
        <w:jc w:val="both"/>
        <w:ind w:firstLine="489"/>
        <w:spacing w:after="0" w:line="254" w:lineRule="auto"/>
        <w:rPr>
          <w:sz w:val="20"/>
          <w:szCs w:val="20"/>
          <w:color w:val="auto"/>
        </w:rPr>
      </w:pPr>
      <w:r>
        <w:rPr>
          <w:rFonts w:ascii="Arial" w:cs="Arial" w:eastAsia="Arial" w:hAnsi="Arial"/>
          <w:sz w:val="20"/>
          <w:szCs w:val="20"/>
          <w:color w:val="212121"/>
        </w:rPr>
        <w:t>The Company has a 401(k) Plan for all of its employees. The 401(k) Plan allows eligible employees to defer, at the employee’s discretion, up to 100% of their pretax compensation up to the Internal Revenue Service annual limit. The Company made matching contributions of $0.5 million and $0.4 million during the years ended December 31, 2023 and 2022, respectively.</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212121"/>
        </w:rPr>
        <w:t>12. Net Loss Per Share Attributable to Common Stockholders</w:t>
      </w:r>
    </w:p>
    <w:p>
      <w:pPr>
        <w:spacing w:after="0" w:line="125" w:lineRule="exact"/>
        <w:rPr>
          <w:sz w:val="20"/>
          <w:szCs w:val="20"/>
          <w:color w:val="auto"/>
        </w:rPr>
      </w:pPr>
    </w:p>
    <w:p>
      <w:pPr>
        <w:jc w:val="both"/>
        <w:ind w:firstLine="489"/>
        <w:spacing w:after="0" w:line="261" w:lineRule="auto"/>
        <w:rPr>
          <w:sz w:val="20"/>
          <w:szCs w:val="20"/>
          <w:color w:val="auto"/>
        </w:rPr>
      </w:pPr>
      <w:r>
        <w:rPr>
          <w:rFonts w:ascii="Arial" w:cs="Arial" w:eastAsia="Arial" w:hAnsi="Arial"/>
          <w:sz w:val="20"/>
          <w:szCs w:val="20"/>
          <w:color w:val="212121"/>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290" w:lineRule="exact"/>
        <w:rPr>
          <w:sz w:val="20"/>
          <w:szCs w:val="20"/>
          <w:color w:val="auto"/>
        </w:rPr>
      </w:pPr>
    </w:p>
    <w:tbl>
      <w:tblPr>
        <w:tblLayout w:type="fixed"/>
        <w:tblInd w:w="1400" w:type="dxa"/>
        <w:tblCellMar>
          <w:top w:w="0" w:type="dxa"/>
          <w:left w:w="0" w:type="dxa"/>
          <w:bottom w:w="0" w:type="dxa"/>
          <w:right w:w="0" w:type="dxa"/>
        </w:tblCellMar>
      </w:tblPr>
      <w:tr>
        <w:trPr>
          <w:trHeight w:val="202"/>
        </w:trPr>
        <w:tc>
          <w:tcPr>
            <w:tcW w:w="3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00" w:type="dxa"/>
            <w:vAlign w:val="bottom"/>
            <w:gridSpan w:val="6"/>
          </w:tcPr>
          <w:p>
            <w:pPr>
              <w:jc w:val="right"/>
              <w:ind w:right="300"/>
              <w:spacing w:after="0"/>
              <w:rPr>
                <w:sz w:val="20"/>
                <w:szCs w:val="20"/>
                <w:color w:val="auto"/>
              </w:rPr>
            </w:pPr>
            <w:r>
              <w:rPr>
                <w:rFonts w:ascii="Arial" w:cs="Arial" w:eastAsia="Arial" w:hAnsi="Arial"/>
                <w:sz w:val="16"/>
                <w:szCs w:val="16"/>
                <w:b w:val="1"/>
                <w:bCs w:val="1"/>
                <w:color w:val="auto"/>
              </w:rPr>
              <w:t>Year Ended December 31,</w:t>
            </w:r>
          </w:p>
        </w:tc>
      </w:tr>
      <w:tr>
        <w:trPr>
          <w:trHeight w:val="174"/>
        </w:trPr>
        <w:tc>
          <w:tcPr>
            <w:tcW w:w="3980" w:type="dxa"/>
            <w:vAlign w:val="bottom"/>
            <w:tcBorders>
              <w:bottom w:val="single" w:sz="8" w:color="E4E4E4"/>
            </w:tcBorders>
          </w:tcPr>
          <w:p>
            <w:pPr>
              <w:spacing w:after="0"/>
              <w:rPr>
                <w:sz w:val="15"/>
                <w:szCs w:val="15"/>
                <w:color w:val="auto"/>
              </w:rPr>
            </w:pPr>
          </w:p>
        </w:tc>
        <w:tc>
          <w:tcPr>
            <w:tcW w:w="6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07"/>
              <w:spacing w:after="0" w:line="175" w:lineRule="exact"/>
              <w:rPr>
                <w:sz w:val="20"/>
                <w:szCs w:val="20"/>
                <w:color w:val="auto"/>
              </w:rPr>
            </w:pPr>
            <w:r>
              <w:rPr>
                <w:rFonts w:ascii="Arial" w:cs="Arial" w:eastAsia="Arial" w:hAnsi="Arial"/>
                <w:sz w:val="16"/>
                <w:szCs w:val="16"/>
                <w:b w:val="1"/>
                <w:bCs w:val="1"/>
                <w:color w:val="auto"/>
              </w:rPr>
              <w:t>2023</w:t>
            </w:r>
          </w:p>
        </w:tc>
        <w:tc>
          <w:tcPr>
            <w:tcW w:w="20" w:type="dxa"/>
            <w:vAlign w:val="bottom"/>
            <w:tcBorders>
              <w:top w:val="single" w:sz="8" w:color="auto"/>
              <w:bottom w:val="single" w:sz="8" w:color="E4E4E4"/>
            </w:tcBorders>
          </w:tcPr>
          <w:p>
            <w:pPr>
              <w:spacing w:after="0"/>
              <w:rPr>
                <w:sz w:val="15"/>
                <w:szCs w:val="15"/>
                <w:color w:val="auto"/>
              </w:rPr>
            </w:pPr>
          </w:p>
        </w:tc>
        <w:tc>
          <w:tcPr>
            <w:tcW w:w="100" w:type="dxa"/>
            <w:vAlign w:val="bottom"/>
            <w:tcBorders>
              <w:top w:val="single" w:sz="8" w:color="auto"/>
              <w:bottom w:val="single" w:sz="8" w:color="E4E4E4"/>
            </w:tcBorders>
          </w:tcPr>
          <w:p>
            <w:pPr>
              <w:spacing w:after="0"/>
              <w:rPr>
                <w:sz w:val="15"/>
                <w:szCs w:val="15"/>
                <w:color w:val="auto"/>
              </w:rPr>
            </w:pPr>
          </w:p>
        </w:tc>
        <w:tc>
          <w:tcPr>
            <w:tcW w:w="20" w:type="dxa"/>
            <w:vAlign w:val="bottom"/>
            <w:tcBorders>
              <w:top w:val="single" w:sz="8" w:color="auto"/>
              <w:bottom w:val="single" w:sz="8" w:color="E4E4E4"/>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04"/>
              <w:spacing w:after="0" w:line="175" w:lineRule="exact"/>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E4E4E4"/>
            </w:tcBorders>
          </w:tcPr>
          <w:p>
            <w:pPr>
              <w:spacing w:after="0"/>
              <w:rPr>
                <w:sz w:val="15"/>
                <w:szCs w:val="15"/>
                <w:color w:val="auto"/>
              </w:rPr>
            </w:pPr>
          </w:p>
        </w:tc>
      </w:tr>
      <w:tr>
        <w:trPr>
          <w:trHeight w:val="220"/>
        </w:trPr>
        <w:tc>
          <w:tcPr>
            <w:tcW w:w="3980" w:type="dxa"/>
            <w:vAlign w:val="bottom"/>
            <w:shd w:val="clear" w:color="auto" w:fill="E4E4E4"/>
          </w:tcPr>
          <w:p>
            <w:pPr>
              <w:spacing w:after="0" w:line="220" w:lineRule="exact"/>
              <w:rPr>
                <w:sz w:val="20"/>
                <w:szCs w:val="20"/>
                <w:color w:val="auto"/>
              </w:rPr>
            </w:pPr>
            <w:r>
              <w:rPr>
                <w:rFonts w:ascii="Arial" w:cs="Arial" w:eastAsia="Arial" w:hAnsi="Arial"/>
                <w:sz w:val="20"/>
                <w:szCs w:val="20"/>
                <w:color w:val="auto"/>
              </w:rPr>
              <w:t>Stock options to purchase common stock</w:t>
            </w: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160" w:type="dxa"/>
            <w:vAlign w:val="bottom"/>
            <w:gridSpan w:val="2"/>
            <w:shd w:val="clear" w:color="auto" w:fill="E4E4E4"/>
          </w:tcPr>
          <w:p>
            <w:pPr>
              <w:jc w:val="right"/>
              <w:ind w:right="20"/>
              <w:spacing w:after="0" w:line="220" w:lineRule="exact"/>
              <w:rPr>
                <w:sz w:val="20"/>
                <w:szCs w:val="20"/>
                <w:color w:val="auto"/>
              </w:rPr>
            </w:pPr>
            <w:r>
              <w:rPr>
                <w:rFonts w:ascii="Arial" w:cs="Arial" w:eastAsia="Arial" w:hAnsi="Arial"/>
                <w:sz w:val="20"/>
                <w:szCs w:val="20"/>
                <w:color w:val="auto"/>
              </w:rPr>
              <w:t>6,820,869</w:t>
            </w: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20" w:type="dxa"/>
            <w:vAlign w:val="bottom"/>
            <w:gridSpan w:val="2"/>
            <w:shd w:val="clear" w:color="auto" w:fill="E4E4E4"/>
          </w:tcPr>
          <w:p>
            <w:pPr>
              <w:jc w:val="right"/>
              <w:ind w:right="80"/>
              <w:spacing w:after="0" w:line="220" w:lineRule="exact"/>
              <w:rPr>
                <w:sz w:val="20"/>
                <w:szCs w:val="20"/>
                <w:color w:val="auto"/>
              </w:rPr>
            </w:pPr>
            <w:r>
              <w:rPr>
                <w:rFonts w:ascii="Arial" w:cs="Arial" w:eastAsia="Arial" w:hAnsi="Arial"/>
                <w:sz w:val="20"/>
                <w:szCs w:val="20"/>
                <w:color w:val="auto"/>
              </w:rPr>
              <w:t>4,033,522</w:t>
            </w:r>
          </w:p>
        </w:tc>
      </w:tr>
      <w:tr>
        <w:trPr>
          <w:trHeight w:val="230"/>
        </w:trPr>
        <w:tc>
          <w:tcPr>
            <w:tcW w:w="3980" w:type="dxa"/>
            <w:vAlign w:val="bottom"/>
          </w:tcPr>
          <w:p>
            <w:pPr>
              <w:spacing w:after="0"/>
              <w:rPr>
                <w:sz w:val="20"/>
                <w:szCs w:val="20"/>
                <w:color w:val="auto"/>
              </w:rPr>
            </w:pPr>
            <w:r>
              <w:rPr>
                <w:rFonts w:ascii="Arial" w:cs="Arial" w:eastAsia="Arial" w:hAnsi="Arial"/>
                <w:sz w:val="20"/>
                <w:szCs w:val="20"/>
                <w:color w:val="auto"/>
              </w:rPr>
              <w:t>Non-vested Restricted Stock Units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310,087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20"/>
                <w:szCs w:val="20"/>
                <w:color w:val="auto"/>
              </w:rPr>
              <w:t>236,339</w:t>
            </w:r>
          </w:p>
        </w:tc>
      </w:tr>
      <w:tr>
        <w:trPr>
          <w:trHeight w:val="249"/>
        </w:trPr>
        <w:tc>
          <w:tcPr>
            <w:tcW w:w="3980" w:type="dxa"/>
            <w:vAlign w:val="bottom"/>
            <w:shd w:val="clear" w:color="auto" w:fill="E4E4E4"/>
          </w:tcPr>
          <w:p>
            <w:pPr>
              <w:spacing w:after="0"/>
              <w:rPr>
                <w:sz w:val="20"/>
                <w:szCs w:val="20"/>
                <w:color w:val="auto"/>
              </w:rPr>
            </w:pPr>
            <w:r>
              <w:rPr>
                <w:rFonts w:ascii="Arial" w:cs="Arial" w:eastAsia="Arial" w:hAnsi="Arial"/>
                <w:sz w:val="20"/>
                <w:szCs w:val="20"/>
                <w:color w:val="auto"/>
              </w:rPr>
              <w:t>Employee stock purchase plan</w:t>
            </w:r>
          </w:p>
        </w:tc>
        <w:tc>
          <w:tcPr>
            <w:tcW w:w="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60" w:type="dxa"/>
            <w:vAlign w:val="bottom"/>
            <w:gridSpan w:val="3"/>
            <w:shd w:val="clear" w:color="auto" w:fill="E4E4E4"/>
          </w:tcPr>
          <w:p>
            <w:pPr>
              <w:jc w:val="right"/>
              <w:ind w:right="120"/>
              <w:spacing w:after="0"/>
              <w:rPr>
                <w:sz w:val="20"/>
                <w:szCs w:val="20"/>
                <w:color w:val="auto"/>
              </w:rPr>
            </w:pPr>
            <w:r>
              <w:rPr>
                <w:rFonts w:ascii="Arial" w:cs="Arial" w:eastAsia="Arial" w:hAnsi="Arial"/>
                <w:sz w:val="20"/>
                <w:szCs w:val="20"/>
                <w:color w:val="auto"/>
              </w:rPr>
              <w:t>3,495</w:t>
            </w:r>
          </w:p>
        </w:tc>
        <w:tc>
          <w:tcPr>
            <w:tcW w:w="20" w:type="dxa"/>
            <w:vAlign w:val="bottom"/>
            <w:shd w:val="clear" w:color="auto" w:fill="E4E4E4"/>
          </w:tcPr>
          <w:p>
            <w:pPr>
              <w:spacing w:after="0"/>
              <w:rPr>
                <w:sz w:val="21"/>
                <w:szCs w:val="21"/>
                <w:color w:val="auto"/>
              </w:rPr>
            </w:pPr>
          </w:p>
        </w:tc>
        <w:tc>
          <w:tcPr>
            <w:tcW w:w="1220" w:type="dxa"/>
            <w:vAlign w:val="bottom"/>
            <w:gridSpan w:val="2"/>
            <w:shd w:val="clear" w:color="auto" w:fill="E4E4E4"/>
          </w:tcPr>
          <w:p>
            <w:pPr>
              <w:jc w:val="right"/>
              <w:ind w:right="80"/>
              <w:spacing w:after="0"/>
              <w:rPr>
                <w:sz w:val="20"/>
                <w:szCs w:val="20"/>
                <w:color w:val="auto"/>
              </w:rPr>
            </w:pPr>
            <w:r>
              <w:rPr>
                <w:rFonts w:ascii="Arial" w:cs="Arial" w:eastAsia="Arial" w:hAnsi="Arial"/>
                <w:sz w:val="20"/>
                <w:szCs w:val="20"/>
                <w:color w:val="auto"/>
              </w:rPr>
              <w:t>5,148</w:t>
            </w:r>
          </w:p>
        </w:tc>
      </w:tr>
      <w:tr>
        <w:trPr>
          <w:trHeight w:val="202"/>
        </w:trPr>
        <w:tc>
          <w:tcPr>
            <w:tcW w:w="3980" w:type="dxa"/>
            <w:vAlign w:val="bottom"/>
            <w:tcBorders>
              <w:top w:val="single" w:sz="8" w:color="E4E4E4"/>
            </w:tcBorders>
          </w:tcPr>
          <w:p>
            <w:pPr>
              <w:ind w:left="280"/>
              <w:spacing w:after="0" w:line="203" w:lineRule="exact"/>
              <w:rPr>
                <w:sz w:val="20"/>
                <w:szCs w:val="20"/>
                <w:color w:val="auto"/>
              </w:rPr>
            </w:pPr>
            <w:r>
              <w:rPr>
                <w:rFonts w:ascii="Arial" w:cs="Arial" w:eastAsia="Arial" w:hAnsi="Arial"/>
                <w:sz w:val="20"/>
                <w:szCs w:val="20"/>
                <w:color w:val="auto"/>
              </w:rPr>
              <w:t>Total</w:t>
            </w:r>
          </w:p>
        </w:tc>
        <w:tc>
          <w:tcPr>
            <w:tcW w:w="60" w:type="dxa"/>
            <w:vAlign w:val="bottom"/>
            <w:tcBorders>
              <w:top w:val="single" w:sz="8" w:color="E4E4E4"/>
            </w:tcBorders>
          </w:tcPr>
          <w:p>
            <w:pPr>
              <w:spacing w:after="0"/>
              <w:rPr>
                <w:sz w:val="17"/>
                <w:szCs w:val="17"/>
                <w:color w:val="auto"/>
              </w:rPr>
            </w:pPr>
          </w:p>
        </w:tc>
        <w:tc>
          <w:tcPr>
            <w:tcW w:w="20" w:type="dxa"/>
            <w:vAlign w:val="bottom"/>
            <w:tcBorders>
              <w:top w:val="single" w:sz="8" w:color="E4E4E4"/>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7,134,451</w:t>
            </w:r>
          </w:p>
        </w:tc>
        <w:tc>
          <w:tcPr>
            <w:tcW w:w="20" w:type="dxa"/>
            <w:vAlign w:val="bottom"/>
            <w:tcBorders>
              <w:top w:val="single" w:sz="8" w:color="E4E4E4"/>
            </w:tcBorders>
          </w:tcPr>
          <w:p>
            <w:pPr>
              <w:spacing w:after="0"/>
              <w:rPr>
                <w:sz w:val="17"/>
                <w:szCs w:val="17"/>
                <w:color w:val="auto"/>
              </w:rPr>
            </w:pPr>
          </w:p>
        </w:tc>
        <w:tc>
          <w:tcPr>
            <w:tcW w:w="100" w:type="dxa"/>
            <w:vAlign w:val="bottom"/>
            <w:tcBorders>
              <w:top w:val="single" w:sz="8" w:color="E4E4E4"/>
            </w:tcBorders>
          </w:tcPr>
          <w:p>
            <w:pPr>
              <w:spacing w:after="0"/>
              <w:rPr>
                <w:sz w:val="17"/>
                <w:szCs w:val="17"/>
                <w:color w:val="auto"/>
              </w:rPr>
            </w:pPr>
          </w:p>
        </w:tc>
        <w:tc>
          <w:tcPr>
            <w:tcW w:w="20" w:type="dxa"/>
            <w:vAlign w:val="bottom"/>
            <w:tcBorders>
              <w:top w:val="single" w:sz="8" w:color="E4E4E4"/>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4,275,009</w:t>
            </w:r>
          </w:p>
        </w:tc>
        <w:tc>
          <w:tcPr>
            <w:tcW w:w="80" w:type="dxa"/>
            <w:vAlign w:val="bottom"/>
            <w:tcBorders>
              <w:top w:val="single" w:sz="8" w:color="E4E4E4"/>
            </w:tcBorders>
          </w:tcPr>
          <w:p>
            <w:pPr>
              <w:spacing w:after="0"/>
              <w:rPr>
                <w:sz w:val="17"/>
                <w:szCs w:val="17"/>
                <w:color w:val="auto"/>
              </w:rPr>
            </w:pPr>
          </w:p>
        </w:tc>
      </w:tr>
      <w:tr>
        <w:trPr>
          <w:trHeight w:val="20"/>
        </w:trPr>
        <w:tc>
          <w:tcPr>
            <w:tcW w:w="3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890905</wp:posOffset>
                </wp:positionH>
                <wp:positionV relativeFrom="paragraph">
                  <wp:posOffset>-177800</wp:posOffset>
                </wp:positionV>
                <wp:extent cx="257238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238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15pt,-14pt" to="272.7pt,-14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4192905</wp:posOffset>
                </wp:positionH>
                <wp:positionV relativeFrom="paragraph">
                  <wp:posOffset>-177800</wp:posOffset>
                </wp:positionV>
                <wp:extent cx="8572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72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15pt,-14pt" to="336.9pt,-14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5008245</wp:posOffset>
                </wp:positionH>
                <wp:positionV relativeFrom="paragraph">
                  <wp:posOffset>-177800</wp:posOffset>
                </wp:positionV>
                <wp:extent cx="4318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18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35pt,-14pt" to="397.75pt,-14pt" o:allowincell="f" strokecolor="#FFFFFF" strokeweight="0.48pt"/>
            </w:pict>
          </mc:Fallback>
        </mc:AlternateContent>
      </w:r>
    </w:p>
    <w:p>
      <w:pPr>
        <w:sectPr>
          <w:pgSz w:w="11880" w:h="15474" w:orient="portrait"/>
          <w:cols w:equalWidth="0" w:num="1">
            <w:col w:w="9360"/>
          </w:cols>
          <w:pgMar w:left="1240" w:top="1255"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157</w:t>
      </w:r>
    </w:p>
    <w:p>
      <w:pPr>
        <w:sectPr>
          <w:pgSz w:w="11880" w:h="15474" w:orient="portrait"/>
          <w:cols w:equalWidth="0" w:num="1">
            <w:col w:w="9360"/>
          </w:cols>
          <w:pgMar w:left="1240" w:top="1255" w:right="1274" w:bottom="0" w:gutter="0" w:footer="0" w:header="0"/>
          <w:type w:val="continuous"/>
        </w:sectPr>
      </w:pPr>
    </w:p>
    <w:bookmarkStart w:id="163" w:name="page164"/>
    <w:bookmarkEnd w:id="163"/>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Evaluation of disclosure controls and procedures</w:t>
      </w:r>
    </w:p>
    <w:p>
      <w:pPr>
        <w:spacing w:after="0" w:line="115"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93"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Our management, with the participation and supervision of our chief executive officer and our chief financial officer, have evaluated the effectiveness of our disclosure controls and procedures (as defined in Rules 13a-15(e) and 15d-15(e) under the Exchange Act) as of the end of the period covered by this Annual Report on Form 10 -K. Based on such evaluation, our chief executive officer and chief financial officer have concluded that as of such date, our disclosure controls and procedures were, in design and operation, effective at a reasonable assurance level.</w:t>
      </w:r>
    </w:p>
    <w:p>
      <w:pPr>
        <w:spacing w:after="0" w:line="317"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Management’s annual report on internal control over financial reporting</w:t>
      </w:r>
    </w:p>
    <w:p>
      <w:pPr>
        <w:spacing w:after="0" w:line="117"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Our management is responsible for establishing and maintaining adequate internal control over financial reporting, as such term is defined in Exchange Act Rule 13a-15(f) and Rule 15d-15(f). Our management conducted an evaluation of the effectiveness of our internal control over financial reporting as of December 31, 2023 based on the criteria established in Internal Control - Integrated Framework (2013) issued by the Committee of Sponsoring Organizations of the Treadway Commission. As a result of that assessment, our management has concluded that our internal control over financial reporting was effective as of December 31, 2023.</w:t>
      </w:r>
    </w:p>
    <w:p>
      <w:pPr>
        <w:spacing w:after="0" w:line="74"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This Annual Report on Form 10-K does not include an attestation report of our independent registered public accounting firm on our internal control over financial reporting due to an exemption established by the JOBS Act for emerging growth companies.</w:t>
      </w:r>
    </w:p>
    <w:p>
      <w:pPr>
        <w:spacing w:after="0" w:line="304"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Changes in Internal Control</w:t>
      </w:r>
    </w:p>
    <w:p>
      <w:pPr>
        <w:spacing w:after="0" w:line="115"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There were no changes in our internal control over financial reporting identified in connection with the evaluation required by Rule 13a-15(d) and 15d -15(d) of the Exchange Act that occurred during the period covered by this Annual Report on Form 10-K that have materially affected, or are reasonably likely to materially affect, our internal control over financial reporting.</w:t>
      </w:r>
    </w:p>
    <w:p>
      <w:pPr>
        <w:spacing w:after="0" w:line="311"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Inherent Limitations on the Effectiveness of Controls</w:t>
      </w:r>
    </w:p>
    <w:p>
      <w:pPr>
        <w:spacing w:after="0" w:line="115"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158</w:t>
      </w:r>
    </w:p>
    <w:p>
      <w:pPr>
        <w:sectPr>
          <w:pgSz w:w="11880" w:h="15474" w:orient="portrait"/>
          <w:cols w:equalWidth="0" w:num="1">
            <w:col w:w="9360"/>
          </w:cols>
          <w:pgMar w:left="1240" w:top="1251" w:right="1274" w:bottom="0" w:gutter="0" w:footer="0" w:header="0"/>
          <w:type w:val="continuous"/>
        </w:sectPr>
      </w:pPr>
    </w:p>
    <w:bookmarkStart w:id="164" w:name="page165"/>
    <w:bookmarkEnd w:id="164"/>
    <w:p>
      <w:pPr>
        <w:spacing w:after="0"/>
        <w:rPr>
          <w:sz w:val="20"/>
          <w:szCs w:val="20"/>
          <w:color w:val="auto"/>
        </w:rPr>
      </w:pPr>
      <w:r>
        <w:rPr>
          <w:rFonts w:ascii="Arial" w:cs="Arial" w:eastAsia="Arial" w:hAnsi="Arial"/>
          <w:sz w:val="20"/>
          <w:szCs w:val="20"/>
          <w:b w:val="1"/>
          <w:bCs w:val="1"/>
          <w:color w:val="auto"/>
        </w:rPr>
        <w:t>Item 9B. Other Information.</w:t>
      </w:r>
    </w:p>
    <w:p>
      <w:pPr>
        <w:spacing w:after="0" w:line="123"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20"/>
          <w:szCs w:val="20"/>
          <w:color w:val="auto"/>
        </w:rPr>
        <w:t>During our last fiscal quarter, no director or officer, as defined in Rule 16a-1 (f) of the Exchange Act, adopted or terminated a “Rule 10b5-1 trading arrangement” or any “non-Rule 10b5-1 trading arrangement,” each as defined in Item 408 of Regulation S-K.</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Not applicable.</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159</w:t>
      </w:r>
    </w:p>
    <w:p>
      <w:pPr>
        <w:sectPr>
          <w:pgSz w:w="11880" w:h="15474" w:orient="portrait"/>
          <w:cols w:equalWidth="0" w:num="1">
            <w:col w:w="9360"/>
          </w:cols>
          <w:pgMar w:left="1240" w:top="1251" w:right="1274" w:bottom="0" w:gutter="0" w:footer="0" w:header="0"/>
          <w:type w:val="continuous"/>
        </w:sectPr>
      </w:pPr>
    </w:p>
    <w:bookmarkStart w:id="165" w:name="page166"/>
    <w:bookmarkEnd w:id="165"/>
    <w:p>
      <w:pPr>
        <w:jc w:val="center"/>
        <w:spacing w:after="0"/>
        <w:rPr>
          <w:sz w:val="20"/>
          <w:szCs w:val="20"/>
          <w:color w:val="auto"/>
        </w:rPr>
      </w:pPr>
      <w:r>
        <w:rPr>
          <w:rFonts w:ascii="Arial" w:cs="Arial" w:eastAsia="Arial" w:hAnsi="Arial"/>
          <w:sz w:val="20"/>
          <w:szCs w:val="20"/>
          <w:b w:val="1"/>
          <w:bCs w:val="1"/>
          <w:color w:val="auto"/>
        </w:rPr>
        <w:t>PART III</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125"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We maintain a Code of Business Conduct and Ethics that incorporates our code of business conduct and ethics applicable to all employees, including all directors and executive officers. Our Code of Business Conduct and Ethics is published on our Investors website at https://investors.athira.com/ under “Governance.”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75"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The remaining information required by this Item 10 of Form 10-K will be included in our definitive proxy statement to be filed with the SEC within 120 days after the end of the fiscal year ended December 31, 2023 in connection with the solicitation of proxies for our 2024 Annual Meeting of Stockholders (2024 Proxy Statement) and is incorporated herein by reference.</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125"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20"/>
          <w:szCs w:val="20"/>
          <w:color w:val="auto"/>
        </w:rPr>
        <w:t>The information required by this Item 11 of Form 10-K will be included in our 2024 Proxy Statement and is incorporated herein by reference.</w:t>
      </w:r>
    </w:p>
    <w:p>
      <w:pPr>
        <w:spacing w:after="0" w:line="273" w:lineRule="exact"/>
        <w:rPr>
          <w:sz w:val="20"/>
          <w:szCs w:val="20"/>
          <w:color w:val="auto"/>
        </w:rPr>
      </w:pPr>
    </w:p>
    <w:p>
      <w:pPr>
        <w:jc w:val="both"/>
        <w:spacing w:after="0" w:line="298"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4" w:lineRule="exact"/>
        <w:rPr>
          <w:sz w:val="20"/>
          <w:szCs w:val="20"/>
          <w:color w:val="auto"/>
        </w:rPr>
      </w:pPr>
    </w:p>
    <w:p>
      <w:pPr>
        <w:jc w:val="both"/>
        <w:ind w:firstLine="490"/>
        <w:spacing w:after="0" w:line="309" w:lineRule="auto"/>
        <w:rPr>
          <w:sz w:val="20"/>
          <w:szCs w:val="20"/>
          <w:color w:val="auto"/>
        </w:rPr>
      </w:pPr>
      <w:r>
        <w:rPr>
          <w:rFonts w:ascii="Arial" w:cs="Arial" w:eastAsia="Arial" w:hAnsi="Arial"/>
          <w:sz w:val="19"/>
          <w:szCs w:val="19"/>
          <w:color w:val="auto"/>
        </w:rPr>
        <w:t>The information required by this Item 12 of Form 10-K, including with respect to our equity compensation plans, will be included in our 2024 Proxy Statement and is incorporated herein by reference.</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125"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The information required by this Item 13 of Form 10-K will be included in our 2024 Proxy Statement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124"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The information required by this Item 14 of Form 10-K will be included in our 2024 Proxy Statement and is incorporated herein by reference.</w: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160</w:t>
      </w:r>
    </w:p>
    <w:p>
      <w:pPr>
        <w:sectPr>
          <w:pgSz w:w="11880" w:h="15474" w:orient="portrait"/>
          <w:cols w:equalWidth="0" w:num="1">
            <w:col w:w="9360"/>
          </w:cols>
          <w:pgMar w:left="1240" w:top="1251" w:right="1274" w:bottom="0" w:gutter="0" w:footer="0" w:header="0"/>
          <w:type w:val="continuous"/>
        </w:sectPr>
      </w:pPr>
    </w:p>
    <w:bookmarkStart w:id="166" w:name="page167"/>
    <w:bookmarkEnd w:id="166"/>
    <w:p>
      <w:pPr>
        <w:ind w:left="4280"/>
        <w:spacing w:after="0"/>
        <w:rPr>
          <w:sz w:val="20"/>
          <w:szCs w:val="20"/>
          <w:color w:val="auto"/>
        </w:rPr>
      </w:pPr>
      <w:r>
        <w:rPr>
          <w:rFonts w:ascii="Arial" w:cs="Arial" w:eastAsia="Arial" w:hAnsi="Arial"/>
          <w:sz w:val="20"/>
          <w:szCs w:val="20"/>
          <w:b w:val="1"/>
          <w:bCs w:val="1"/>
          <w:color w:val="auto"/>
        </w:rPr>
        <w:t>PART IV</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Financial Statement Schedules.</w:t>
      </w:r>
    </w:p>
    <w:p>
      <w:pPr>
        <w:spacing w:after="0" w:line="125" w:lineRule="exact"/>
        <w:rPr>
          <w:sz w:val="20"/>
          <w:szCs w:val="20"/>
          <w:color w:val="auto"/>
        </w:rPr>
      </w:pPr>
    </w:p>
    <w:p>
      <w:pPr>
        <w:ind w:left="980" w:hanging="492"/>
        <w:spacing w:after="0"/>
        <w:tabs>
          <w:tab w:leader="none" w:pos="9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List the following documents filed as a part of the report:</w:t>
      </w:r>
    </w:p>
    <w:p>
      <w:pPr>
        <w:spacing w:after="0" w:line="120" w:lineRule="exact"/>
        <w:rPr>
          <w:sz w:val="20"/>
          <w:szCs w:val="20"/>
          <w:color w:val="auto"/>
        </w:rPr>
      </w:pPr>
    </w:p>
    <w:p>
      <w:pPr>
        <w:ind w:left="1460" w:hanging="481"/>
        <w:spacing w:after="0"/>
        <w:tabs>
          <w:tab w:leader="none" w:pos="14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All financial statements;</w:t>
      </w:r>
    </w:p>
    <w:p>
      <w:pPr>
        <w:spacing w:after="0" w:line="119"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See Index to Financial Statements in Part II, Item 8 of this Annual Report on Form 10-K.</w:t>
      </w:r>
    </w:p>
    <w:p>
      <w:pPr>
        <w:spacing w:after="0" w:line="121" w:lineRule="exact"/>
        <w:rPr>
          <w:sz w:val="20"/>
          <w:szCs w:val="20"/>
          <w:color w:val="auto"/>
        </w:rPr>
      </w:pPr>
    </w:p>
    <w:p>
      <w:pPr>
        <w:ind w:left="1460" w:hanging="481"/>
        <w:spacing w:after="0"/>
        <w:tabs>
          <w:tab w:leader="none" w:pos="14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Financial Statement Schedules</w:t>
      </w:r>
    </w:p>
    <w:p>
      <w:pPr>
        <w:spacing w:after="0" w:line="121" w:lineRule="exact"/>
        <w:rPr>
          <w:sz w:val="20"/>
          <w:szCs w:val="20"/>
          <w:color w:val="auto"/>
        </w:rPr>
      </w:pPr>
    </w:p>
    <w:p>
      <w:pPr>
        <w:jc w:val="both"/>
        <w:ind w:left="960" w:firstLine="490"/>
        <w:spacing w:after="0" w:line="254" w:lineRule="auto"/>
        <w:rPr>
          <w:sz w:val="20"/>
          <w:szCs w:val="20"/>
          <w:color w:val="auto"/>
        </w:rPr>
      </w:pPr>
      <w:r>
        <w:rPr>
          <w:rFonts w:ascii="Arial" w:cs="Arial" w:eastAsia="Arial" w:hAnsi="Arial"/>
          <w:sz w:val="20"/>
          <w:szCs w:val="20"/>
          <w:color w:val="auto"/>
        </w:rPr>
        <w:t>All financial statement schedules have been omitted because the required information was not applicable or was not present in amounts sufficient to require submission of the schedules, or because the information required is included in the financial statements or the accompanying notes.</w:t>
      </w:r>
    </w:p>
    <w:p>
      <w:pPr>
        <w:spacing w:after="0" w:line="66" w:lineRule="exact"/>
        <w:rPr>
          <w:sz w:val="20"/>
          <w:szCs w:val="20"/>
          <w:color w:val="auto"/>
        </w:rPr>
      </w:pPr>
    </w:p>
    <w:p>
      <w:pPr>
        <w:ind w:left="1460" w:hanging="481"/>
        <w:spacing w:after="0"/>
        <w:tabs>
          <w:tab w:leader="none" w:pos="14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Exhibits</w:t>
      </w:r>
    </w:p>
    <w:p>
      <w:pPr>
        <w:spacing w:after="0" w:line="120" w:lineRule="exact"/>
        <w:rPr>
          <w:sz w:val="20"/>
          <w:szCs w:val="20"/>
          <w:color w:val="auto"/>
        </w:rPr>
      </w:pPr>
    </w:p>
    <w:p>
      <w:pPr>
        <w:ind w:left="960" w:firstLine="490"/>
        <w:spacing w:after="0" w:line="282" w:lineRule="auto"/>
        <w:rPr>
          <w:sz w:val="20"/>
          <w:szCs w:val="20"/>
          <w:color w:val="auto"/>
        </w:rPr>
      </w:pPr>
      <w:r>
        <w:rPr>
          <w:rFonts w:ascii="Arial" w:cs="Arial" w:eastAsia="Arial" w:hAnsi="Arial"/>
          <w:sz w:val="20"/>
          <w:szCs w:val="20"/>
          <w:color w:val="auto"/>
        </w:rPr>
        <w:t>The exhibits listed in the following Index to Exhibits are filed, furnished or incorporated by reference as part of this Annual Report on Form 10-K.</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Exhibits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Exhibit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Incorporated by Reference</w:t>
            </w:r>
          </w:p>
        </w:tc>
        <w:tc>
          <w:tcPr>
            <w:tcW w:w="0" w:type="dxa"/>
            <w:vAlign w:val="bottom"/>
          </w:tcPr>
          <w:p>
            <w:pPr>
              <w:spacing w:after="0"/>
              <w:rPr>
                <w:sz w:val="1"/>
                <w:szCs w:val="1"/>
                <w:color w:val="auto"/>
              </w:rPr>
            </w:pPr>
          </w:p>
        </w:tc>
      </w:tr>
      <w:tr>
        <w:trPr>
          <w:trHeight w:val="166"/>
        </w:trPr>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16"/>
          </w:tcPr>
          <w:p>
            <w:pPr>
              <w:ind w:left="440"/>
              <w:spacing w:after="0"/>
              <w:rPr>
                <w:sz w:val="20"/>
                <w:szCs w:val="20"/>
                <w:color w:val="auto"/>
              </w:rPr>
            </w:pPr>
            <w:r>
              <w:rPr>
                <w:rFonts w:ascii="Arial" w:cs="Arial" w:eastAsia="Arial" w:hAnsi="Arial"/>
                <w:sz w:val="16"/>
                <w:szCs w:val="16"/>
                <w:b w:val="1"/>
                <w:bCs w:val="1"/>
                <w:color w:val="auto"/>
              </w:rPr>
              <w:t>Description</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File No.</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Exhibit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Filing Date</w:t>
            </w:r>
          </w:p>
        </w:tc>
        <w:tc>
          <w:tcPr>
            <w:tcW w:w="0" w:type="dxa"/>
            <w:vAlign w:val="bottom"/>
          </w:tcPr>
          <w:p>
            <w:pPr>
              <w:spacing w:after="0"/>
              <w:rPr>
                <w:sz w:val="1"/>
                <w:szCs w:val="1"/>
                <w:color w:val="auto"/>
              </w:rPr>
            </w:pPr>
          </w:p>
        </w:tc>
      </w:tr>
      <w:tr>
        <w:trPr>
          <w:trHeight w:val="390"/>
        </w:trPr>
        <w:tc>
          <w:tcPr>
            <w:tcW w:w="840" w:type="dxa"/>
            <w:vAlign w:val="bottom"/>
          </w:tcPr>
          <w:p>
            <w:pPr>
              <w:jc w:val="right"/>
              <w:ind w:right="303"/>
              <w:spacing w:after="0"/>
              <w:rPr>
                <w:sz w:val="20"/>
                <w:szCs w:val="20"/>
                <w:color w:val="auto"/>
              </w:rPr>
            </w:pPr>
            <w:r>
              <w:rPr>
                <w:rFonts w:ascii="Arial" w:cs="Arial" w:eastAsia="Arial" w:hAnsi="Arial"/>
                <w:sz w:val="20"/>
                <w:szCs w:val="20"/>
                <w:color w:val="auto"/>
              </w:rPr>
              <w:t>3.1</w:t>
            </w:r>
          </w:p>
        </w:tc>
        <w:tc>
          <w:tcPr>
            <w:tcW w:w="80" w:type="dxa"/>
            <w:vAlign w:val="bottom"/>
          </w:tcPr>
          <w:p>
            <w:pPr>
              <w:spacing w:after="0"/>
              <w:rPr>
                <w:sz w:val="24"/>
                <w:szCs w:val="24"/>
                <w:color w:val="auto"/>
              </w:rPr>
            </w:pPr>
          </w:p>
        </w:tc>
        <w:tc>
          <w:tcPr>
            <w:tcW w:w="4620" w:type="dxa"/>
            <w:vAlign w:val="bottom"/>
            <w:gridSpan w:val="19"/>
          </w:tcPr>
          <w:p>
            <w:pPr>
              <w:spacing w:after="0"/>
              <w:rPr>
                <w:sz w:val="20"/>
                <w:szCs w:val="20"/>
                <w:color w:val="auto"/>
              </w:rPr>
            </w:pPr>
            <w:r>
              <w:rPr>
                <w:rFonts w:ascii="Arial" w:cs="Arial" w:eastAsia="Arial" w:hAnsi="Arial"/>
                <w:sz w:val="20"/>
                <w:szCs w:val="20"/>
                <w:color w:val="333333"/>
              </w:rPr>
              <w:t>Amended and Restated Certificate of Incorporation</w:t>
            </w:r>
          </w:p>
        </w:tc>
        <w:tc>
          <w:tcPr>
            <w:tcW w:w="720" w:type="dxa"/>
            <w:vAlign w:val="bottom"/>
          </w:tcPr>
          <w:p>
            <w:pPr>
              <w:jc w:val="center"/>
              <w:spacing w:after="0"/>
              <w:rPr>
                <w:sz w:val="20"/>
                <w:szCs w:val="20"/>
                <w:color w:val="auto"/>
              </w:rPr>
            </w:pPr>
            <w:r>
              <w:rPr>
                <w:rFonts w:ascii="Arial" w:cs="Arial" w:eastAsia="Arial" w:hAnsi="Arial"/>
                <w:sz w:val="20"/>
                <w:szCs w:val="20"/>
                <w:color w:val="auto"/>
                <w:w w:val="98"/>
              </w:rPr>
              <w:t>10-Q</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600" w:type="dxa"/>
            <w:vAlign w:val="bottom"/>
          </w:tcPr>
          <w:p>
            <w:pPr>
              <w:jc w:val="center"/>
              <w:spacing w:after="0"/>
              <w:rPr>
                <w:sz w:val="20"/>
                <w:szCs w:val="20"/>
                <w:color w:val="auto"/>
              </w:rPr>
            </w:pPr>
            <w:r>
              <w:rPr>
                <w:rFonts w:ascii="Arial" w:cs="Arial" w:eastAsia="Arial" w:hAnsi="Arial"/>
                <w:sz w:val="20"/>
                <w:szCs w:val="20"/>
                <w:color w:val="auto"/>
              </w:rPr>
              <w:t>3.1</w:t>
            </w: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November 12,</w:t>
            </w: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20" w:type="dxa"/>
            <w:vAlign w:val="bottom"/>
            <w:tcBorders>
              <w:top w:val="single" w:sz="8" w:color="333333"/>
            </w:tcBorders>
            <w:gridSpan w:val="17"/>
          </w:tcPr>
          <w:p>
            <w:pPr>
              <w:spacing w:after="0" w:line="209" w:lineRule="exact"/>
              <w:rPr>
                <w:sz w:val="20"/>
                <w:szCs w:val="20"/>
                <w:color w:val="auto"/>
              </w:rPr>
            </w:pPr>
            <w:r>
              <w:rPr>
                <w:rFonts w:ascii="Arial" w:cs="Arial" w:eastAsia="Arial" w:hAnsi="Arial"/>
                <w:sz w:val="20"/>
                <w:szCs w:val="20"/>
                <w:color w:val="333333"/>
              </w:rPr>
              <w:t>of the Company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tcPr>
          <w:p>
            <w:pPr>
              <w:jc w:val="center"/>
              <w:spacing w:after="0" w:line="209" w:lineRule="exact"/>
              <w:rPr>
                <w:sz w:val="20"/>
                <w:szCs w:val="20"/>
                <w:color w:val="auto"/>
              </w:rPr>
            </w:pPr>
            <w:r>
              <w:rPr>
                <w:rFonts w:ascii="Arial" w:cs="Arial" w:eastAsia="Arial" w:hAnsi="Arial"/>
                <w:sz w:val="20"/>
                <w:szCs w:val="20"/>
                <w:color w:val="auto"/>
                <w:w w:val="98"/>
              </w:rPr>
              <w:t>2020</w:t>
            </w:r>
          </w:p>
        </w:tc>
        <w:tc>
          <w:tcPr>
            <w:tcW w:w="0" w:type="dxa"/>
            <w:vAlign w:val="bottom"/>
          </w:tcPr>
          <w:p>
            <w:pPr>
              <w:spacing w:after="0"/>
              <w:rPr>
                <w:sz w:val="1"/>
                <w:szCs w:val="1"/>
                <w:color w:val="auto"/>
              </w:rPr>
            </w:pPr>
          </w:p>
        </w:tc>
      </w:tr>
      <w:tr>
        <w:trPr>
          <w:trHeight w:val="399"/>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333333"/>
            </w:tcBorders>
          </w:tcPr>
          <w:p>
            <w:pPr>
              <w:spacing w:after="0"/>
              <w:rPr>
                <w:sz w:val="24"/>
                <w:szCs w:val="24"/>
                <w:color w:val="auto"/>
              </w:rPr>
            </w:pPr>
          </w:p>
        </w:tc>
        <w:tc>
          <w:tcPr>
            <w:tcW w:w="340" w:type="dxa"/>
            <w:vAlign w:val="bottom"/>
            <w:tcBorders>
              <w:top w:val="single" w:sz="8" w:color="333333"/>
            </w:tcBorders>
          </w:tcPr>
          <w:p>
            <w:pPr>
              <w:spacing w:after="0"/>
              <w:rPr>
                <w:sz w:val="24"/>
                <w:szCs w:val="24"/>
                <w:color w:val="auto"/>
              </w:rPr>
            </w:pPr>
          </w:p>
        </w:tc>
        <w:tc>
          <w:tcPr>
            <w:tcW w:w="160" w:type="dxa"/>
            <w:vAlign w:val="bottom"/>
            <w:tcBorders>
              <w:top w:val="single" w:sz="8" w:color="333333"/>
            </w:tcBorders>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8- K</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600" w:type="dxa"/>
            <w:vAlign w:val="bottom"/>
          </w:tcPr>
          <w:p>
            <w:pPr>
              <w:jc w:val="center"/>
              <w:spacing w:after="0"/>
              <w:rPr>
                <w:sz w:val="20"/>
                <w:szCs w:val="20"/>
                <w:color w:val="auto"/>
              </w:rPr>
            </w:pPr>
            <w:r>
              <w:rPr>
                <w:rFonts w:ascii="Arial" w:cs="Arial" w:eastAsia="Arial" w:hAnsi="Arial"/>
                <w:sz w:val="20"/>
                <w:szCs w:val="20"/>
                <w:color w:val="auto"/>
              </w:rPr>
              <w:t>3.1</w:t>
            </w: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November 18,</w:t>
            </w:r>
          </w:p>
        </w:tc>
        <w:tc>
          <w:tcPr>
            <w:tcW w:w="0" w:type="dxa"/>
            <w:vAlign w:val="bottom"/>
          </w:tcPr>
          <w:p>
            <w:pPr>
              <w:spacing w:after="0"/>
              <w:rPr>
                <w:sz w:val="1"/>
                <w:szCs w:val="1"/>
                <w:color w:val="auto"/>
              </w:rPr>
            </w:pPr>
          </w:p>
        </w:tc>
      </w:tr>
      <w:tr>
        <w:trPr>
          <w:trHeight w:val="229"/>
        </w:trPr>
        <w:tc>
          <w:tcPr>
            <w:tcW w:w="840" w:type="dxa"/>
            <w:vAlign w:val="bottom"/>
          </w:tcPr>
          <w:p>
            <w:pPr>
              <w:jc w:val="right"/>
              <w:ind w:right="303"/>
              <w:spacing w:after="0" w:line="229" w:lineRule="exact"/>
              <w:rPr>
                <w:sz w:val="20"/>
                <w:szCs w:val="20"/>
                <w:color w:val="auto"/>
              </w:rPr>
            </w:pPr>
            <w:r>
              <w:rPr>
                <w:rFonts w:ascii="Arial" w:cs="Arial" w:eastAsia="Arial" w:hAnsi="Arial"/>
                <w:sz w:val="20"/>
                <w:szCs w:val="20"/>
                <w:color w:val="auto"/>
              </w:rPr>
              <w:t>3.2</w:t>
            </w:r>
          </w:p>
        </w:tc>
        <w:tc>
          <w:tcPr>
            <w:tcW w:w="80" w:type="dxa"/>
            <w:vAlign w:val="bottom"/>
          </w:tcPr>
          <w:p>
            <w:pPr>
              <w:spacing w:after="0"/>
              <w:rPr>
                <w:sz w:val="19"/>
                <w:szCs w:val="19"/>
                <w:color w:val="auto"/>
              </w:rPr>
            </w:pPr>
          </w:p>
        </w:tc>
        <w:tc>
          <w:tcPr>
            <w:tcW w:w="4620" w:type="dxa"/>
            <w:vAlign w:val="bottom"/>
            <w:gridSpan w:val="19"/>
          </w:tcPr>
          <w:p>
            <w:pPr>
              <w:spacing w:after="0" w:line="229" w:lineRule="exact"/>
              <w:rPr>
                <w:sz w:val="20"/>
                <w:szCs w:val="20"/>
                <w:color w:val="auto"/>
              </w:rPr>
            </w:pPr>
            <w:r>
              <w:rPr>
                <w:rFonts w:ascii="Arial" w:cs="Arial" w:eastAsia="Arial" w:hAnsi="Arial"/>
                <w:sz w:val="20"/>
                <w:szCs w:val="20"/>
                <w:color w:val="333333"/>
              </w:rPr>
              <w:t>Amended and Restated Bylaws of the Company</w:t>
            </w: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tcPr>
          <w:p>
            <w:pPr>
              <w:jc w:val="center"/>
              <w:spacing w:after="0" w:line="229" w:lineRule="exact"/>
              <w:rPr>
                <w:sz w:val="20"/>
                <w:szCs w:val="20"/>
                <w:color w:val="auto"/>
              </w:rPr>
            </w:pPr>
            <w:r>
              <w:rPr>
                <w:rFonts w:ascii="Arial" w:cs="Arial" w:eastAsia="Arial" w:hAnsi="Arial"/>
                <w:sz w:val="20"/>
                <w:szCs w:val="20"/>
                <w:color w:val="auto"/>
                <w:w w:val="98"/>
              </w:rPr>
              <w:t>2022</w:t>
            </w:r>
          </w:p>
        </w:tc>
        <w:tc>
          <w:tcPr>
            <w:tcW w:w="0" w:type="dxa"/>
            <w:vAlign w:val="bottom"/>
          </w:tcPr>
          <w:p>
            <w:pPr>
              <w:spacing w:after="0"/>
              <w:rPr>
                <w:sz w:val="1"/>
                <w:szCs w:val="1"/>
                <w:color w:val="auto"/>
              </w:rPr>
            </w:pPr>
          </w:p>
        </w:tc>
      </w:tr>
      <w:tr>
        <w:trPr>
          <w:trHeight w:val="399"/>
        </w:trPr>
        <w:tc>
          <w:tcPr>
            <w:tcW w:w="840" w:type="dxa"/>
            <w:vAlign w:val="bottom"/>
          </w:tcPr>
          <w:p>
            <w:pPr>
              <w:jc w:val="right"/>
              <w:ind w:right="303"/>
              <w:spacing w:after="0"/>
              <w:rPr>
                <w:sz w:val="20"/>
                <w:szCs w:val="20"/>
                <w:color w:val="auto"/>
              </w:rPr>
            </w:pPr>
            <w:r>
              <w:rPr>
                <w:rFonts w:ascii="Arial" w:cs="Arial" w:eastAsia="Arial" w:hAnsi="Arial"/>
                <w:sz w:val="20"/>
                <w:szCs w:val="20"/>
                <w:color w:val="auto"/>
              </w:rPr>
              <w:t>4.1</w:t>
            </w:r>
          </w:p>
        </w:tc>
        <w:tc>
          <w:tcPr>
            <w:tcW w:w="80" w:type="dxa"/>
            <w:vAlign w:val="bottom"/>
          </w:tcPr>
          <w:p>
            <w:pPr>
              <w:spacing w:after="0"/>
              <w:rPr>
                <w:sz w:val="24"/>
                <w:szCs w:val="24"/>
                <w:color w:val="auto"/>
              </w:rPr>
            </w:pPr>
          </w:p>
        </w:tc>
        <w:tc>
          <w:tcPr>
            <w:tcW w:w="4260" w:type="dxa"/>
            <w:vAlign w:val="bottom"/>
            <w:tcBorders>
              <w:top w:val="single" w:sz="8" w:color="333333"/>
            </w:tcBorders>
            <w:gridSpan w:val="13"/>
          </w:tcPr>
          <w:p>
            <w:pPr>
              <w:spacing w:after="0"/>
              <w:rPr>
                <w:sz w:val="20"/>
                <w:szCs w:val="20"/>
                <w:color w:val="auto"/>
              </w:rPr>
            </w:pPr>
            <w:r>
              <w:rPr>
                <w:rFonts w:ascii="Arial" w:cs="Arial" w:eastAsia="Arial" w:hAnsi="Arial"/>
                <w:sz w:val="20"/>
                <w:szCs w:val="20"/>
                <w:color w:val="333333"/>
              </w:rPr>
              <w:t>Specimen Common Stock Certificate of the</w:t>
            </w:r>
          </w:p>
        </w:tc>
        <w:tc>
          <w:tcPr>
            <w:tcW w:w="360" w:type="dxa"/>
            <w:vAlign w:val="bottom"/>
            <w:gridSpan w:val="6"/>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600" w:type="dxa"/>
            <w:vAlign w:val="bottom"/>
          </w:tcPr>
          <w:p>
            <w:pPr>
              <w:jc w:val="center"/>
              <w:spacing w:after="0"/>
              <w:rPr>
                <w:sz w:val="20"/>
                <w:szCs w:val="20"/>
                <w:color w:val="auto"/>
              </w:rPr>
            </w:pPr>
            <w:r>
              <w:rPr>
                <w:rFonts w:ascii="Arial" w:cs="Arial" w:eastAsia="Arial" w:hAnsi="Arial"/>
                <w:sz w:val="20"/>
                <w:szCs w:val="20"/>
                <w:color w:val="auto"/>
              </w:rPr>
              <w:t>4.1</w:t>
            </w:r>
          </w:p>
        </w:tc>
        <w:tc>
          <w:tcPr>
            <w:tcW w:w="1420" w:type="dxa"/>
            <w:vAlign w:val="bottom"/>
          </w:tcPr>
          <w:p>
            <w:pPr>
              <w:jc w:val="center"/>
              <w:spacing w:after="0"/>
              <w:rPr>
                <w:sz w:val="20"/>
                <w:szCs w:val="20"/>
                <w:color w:val="auto"/>
              </w:rPr>
            </w:pPr>
            <w:r>
              <w:rPr>
                <w:rFonts w:ascii="Arial" w:cs="Arial" w:eastAsia="Arial" w:hAnsi="Arial"/>
                <w:sz w:val="20"/>
                <w:szCs w:val="20"/>
                <w:color w:val="auto"/>
              </w:rPr>
              <w:t>September 14,</w:t>
            </w: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333333"/>
              <w:bottom w:val="single" w:sz="8" w:color="333333"/>
            </w:tcBorders>
          </w:tcPr>
          <w:p>
            <w:pPr>
              <w:spacing w:after="0" w:line="209" w:lineRule="exact"/>
              <w:rPr>
                <w:sz w:val="20"/>
                <w:szCs w:val="20"/>
                <w:color w:val="auto"/>
              </w:rPr>
            </w:pPr>
            <w:r>
              <w:rPr>
                <w:rFonts w:ascii="Arial" w:cs="Arial" w:eastAsia="Arial" w:hAnsi="Arial"/>
                <w:sz w:val="20"/>
                <w:szCs w:val="20"/>
                <w:color w:val="333333"/>
                <w:w w:val="98"/>
              </w:rPr>
              <w:t>Registrant</w:t>
            </w:r>
          </w:p>
        </w:tc>
        <w:tc>
          <w:tcPr>
            <w:tcW w:w="2920" w:type="dxa"/>
            <w:vAlign w:val="bottom"/>
            <w:tcBorders>
              <w:top w:val="single" w:sz="8" w:color="333333"/>
            </w:tcBorders>
            <w:gridSpan w:val="10"/>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center"/>
              <w:spacing w:after="0" w:line="209" w:lineRule="exact"/>
              <w:rPr>
                <w:sz w:val="20"/>
                <w:szCs w:val="20"/>
                <w:color w:val="auto"/>
              </w:rPr>
            </w:pPr>
            <w:r>
              <w:rPr>
                <w:rFonts w:ascii="Arial" w:cs="Arial" w:eastAsia="Arial" w:hAnsi="Arial"/>
                <w:sz w:val="20"/>
                <w:szCs w:val="20"/>
                <w:color w:val="auto"/>
                <w:w w:val="98"/>
              </w:rPr>
              <w:t>248428</w:t>
            </w:r>
          </w:p>
        </w:tc>
        <w:tc>
          <w:tcPr>
            <w:tcW w:w="600" w:type="dxa"/>
            <w:vAlign w:val="bottom"/>
          </w:tcPr>
          <w:p>
            <w:pPr>
              <w:spacing w:after="0"/>
              <w:rPr>
                <w:sz w:val="18"/>
                <w:szCs w:val="18"/>
                <w:color w:val="auto"/>
              </w:rPr>
            </w:pPr>
          </w:p>
        </w:tc>
        <w:tc>
          <w:tcPr>
            <w:tcW w:w="1420" w:type="dxa"/>
            <w:vAlign w:val="bottom"/>
          </w:tcPr>
          <w:p>
            <w:pPr>
              <w:jc w:val="center"/>
              <w:spacing w:after="0" w:line="209" w:lineRule="exact"/>
              <w:rPr>
                <w:sz w:val="20"/>
                <w:szCs w:val="20"/>
                <w:color w:val="auto"/>
              </w:rPr>
            </w:pPr>
            <w:r>
              <w:rPr>
                <w:rFonts w:ascii="Arial" w:cs="Arial" w:eastAsia="Arial" w:hAnsi="Arial"/>
                <w:sz w:val="20"/>
                <w:szCs w:val="20"/>
                <w:color w:val="auto"/>
                <w:w w:val="98"/>
              </w:rPr>
              <w:t>2020</w:t>
            </w:r>
          </w:p>
        </w:tc>
        <w:tc>
          <w:tcPr>
            <w:tcW w:w="0" w:type="dxa"/>
            <w:vAlign w:val="bottom"/>
          </w:tcPr>
          <w:p>
            <w:pPr>
              <w:spacing w:after="0"/>
              <w:rPr>
                <w:sz w:val="1"/>
                <w:szCs w:val="1"/>
                <w:color w:val="auto"/>
              </w:rPr>
            </w:pPr>
          </w:p>
        </w:tc>
      </w:tr>
      <w:tr>
        <w:trPr>
          <w:trHeight w:val="399"/>
        </w:trPr>
        <w:tc>
          <w:tcPr>
            <w:tcW w:w="840" w:type="dxa"/>
            <w:vAlign w:val="bottom"/>
          </w:tcPr>
          <w:p>
            <w:pPr>
              <w:jc w:val="right"/>
              <w:ind w:right="303"/>
              <w:spacing w:after="0"/>
              <w:rPr>
                <w:sz w:val="20"/>
                <w:szCs w:val="20"/>
                <w:color w:val="auto"/>
              </w:rPr>
            </w:pPr>
            <w:r>
              <w:rPr>
                <w:rFonts w:ascii="Arial" w:cs="Arial" w:eastAsia="Arial" w:hAnsi="Arial"/>
                <w:sz w:val="20"/>
                <w:szCs w:val="20"/>
                <w:color w:val="auto"/>
              </w:rPr>
              <w:t>4.2</w:t>
            </w:r>
          </w:p>
        </w:tc>
        <w:tc>
          <w:tcPr>
            <w:tcW w:w="80" w:type="dxa"/>
            <w:vAlign w:val="bottom"/>
          </w:tcPr>
          <w:p>
            <w:pPr>
              <w:spacing w:after="0"/>
              <w:rPr>
                <w:sz w:val="24"/>
                <w:szCs w:val="24"/>
                <w:color w:val="auto"/>
              </w:rPr>
            </w:pPr>
          </w:p>
        </w:tc>
        <w:tc>
          <w:tcPr>
            <w:tcW w:w="4620" w:type="dxa"/>
            <w:vAlign w:val="bottom"/>
            <w:gridSpan w:val="19"/>
          </w:tcPr>
          <w:p>
            <w:pPr>
              <w:spacing w:after="0"/>
              <w:rPr>
                <w:sz w:val="20"/>
                <w:szCs w:val="20"/>
                <w:color w:val="auto"/>
              </w:rPr>
            </w:pPr>
            <w:r>
              <w:rPr>
                <w:rFonts w:ascii="Arial" w:cs="Arial" w:eastAsia="Arial" w:hAnsi="Arial"/>
                <w:sz w:val="20"/>
                <w:szCs w:val="20"/>
                <w:color w:val="333333"/>
              </w:rPr>
              <w:t>Investors’ Rights Agreement, dated May 29, 2020,</w:t>
            </w:r>
          </w:p>
        </w:tc>
        <w:tc>
          <w:tcPr>
            <w:tcW w:w="72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600" w:type="dxa"/>
            <w:vAlign w:val="bottom"/>
          </w:tcPr>
          <w:p>
            <w:pPr>
              <w:jc w:val="center"/>
              <w:spacing w:after="0"/>
              <w:rPr>
                <w:sz w:val="20"/>
                <w:szCs w:val="20"/>
                <w:color w:val="auto"/>
              </w:rPr>
            </w:pPr>
            <w:r>
              <w:rPr>
                <w:rFonts w:ascii="Arial" w:cs="Arial" w:eastAsia="Arial" w:hAnsi="Arial"/>
                <w:sz w:val="20"/>
                <w:szCs w:val="20"/>
                <w:color w:val="auto"/>
              </w:rPr>
              <w:t>4.2</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9,</w:t>
            </w: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60" w:type="dxa"/>
            <w:vAlign w:val="bottom"/>
            <w:tcBorders>
              <w:top w:val="single" w:sz="8" w:color="333333"/>
              <w:bottom w:val="single" w:sz="8" w:color="333333"/>
            </w:tcBorders>
            <w:gridSpan w:val="16"/>
          </w:tcPr>
          <w:p>
            <w:pPr>
              <w:spacing w:after="0" w:line="209" w:lineRule="exact"/>
              <w:rPr>
                <w:sz w:val="20"/>
                <w:szCs w:val="20"/>
                <w:color w:val="auto"/>
              </w:rPr>
            </w:pPr>
            <w:r>
              <w:rPr>
                <w:rFonts w:ascii="Arial" w:cs="Arial" w:eastAsia="Arial" w:hAnsi="Arial"/>
                <w:sz w:val="20"/>
                <w:szCs w:val="20"/>
                <w:color w:val="333333"/>
                <w:w w:val="98"/>
              </w:rPr>
              <w:t>as amended, by and among the Registrant and the</w:t>
            </w:r>
          </w:p>
        </w:tc>
        <w:tc>
          <w:tcPr>
            <w:tcW w:w="80" w:type="dxa"/>
            <w:vAlign w:val="bottom"/>
            <w:tcBorders>
              <w:bottom w:val="single" w:sz="8" w:color="333333"/>
            </w:tcBorders>
            <w:gridSpan w:val="2"/>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center"/>
              <w:spacing w:after="0" w:line="209" w:lineRule="exact"/>
              <w:rPr>
                <w:sz w:val="20"/>
                <w:szCs w:val="20"/>
                <w:color w:val="auto"/>
              </w:rPr>
            </w:pPr>
            <w:r>
              <w:rPr>
                <w:rFonts w:ascii="Arial" w:cs="Arial" w:eastAsia="Arial" w:hAnsi="Arial"/>
                <w:sz w:val="20"/>
                <w:szCs w:val="20"/>
                <w:color w:val="auto"/>
                <w:w w:val="98"/>
              </w:rPr>
              <w:t>248428</w:t>
            </w:r>
          </w:p>
        </w:tc>
        <w:tc>
          <w:tcPr>
            <w:tcW w:w="600" w:type="dxa"/>
            <w:vAlign w:val="bottom"/>
          </w:tcPr>
          <w:p>
            <w:pPr>
              <w:spacing w:after="0"/>
              <w:rPr>
                <w:sz w:val="18"/>
                <w:szCs w:val="18"/>
                <w:color w:val="auto"/>
              </w:rPr>
            </w:pPr>
          </w:p>
        </w:tc>
        <w:tc>
          <w:tcPr>
            <w:tcW w:w="1420" w:type="dxa"/>
            <w:vAlign w:val="bottom"/>
          </w:tcPr>
          <w:p>
            <w:pPr>
              <w:jc w:val="center"/>
              <w:spacing w:after="0" w:line="209" w:lineRule="exact"/>
              <w:rPr>
                <w:sz w:val="20"/>
                <w:szCs w:val="20"/>
                <w:color w:val="auto"/>
              </w:rPr>
            </w:pPr>
            <w:r>
              <w:rPr>
                <w:rFonts w:ascii="Arial" w:cs="Arial" w:eastAsia="Arial" w:hAnsi="Arial"/>
                <w:sz w:val="20"/>
                <w:szCs w:val="20"/>
                <w:color w:val="auto"/>
                <w:w w:val="98"/>
              </w:rPr>
              <w:t>2020</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Borders>
              <w:bottom w:val="single" w:sz="8" w:color="333333"/>
            </w:tcBorders>
            <w:gridSpan w:val="9"/>
          </w:tcPr>
          <w:p>
            <w:pPr>
              <w:spacing w:after="0" w:line="210" w:lineRule="exact"/>
              <w:rPr>
                <w:sz w:val="20"/>
                <w:szCs w:val="20"/>
                <w:color w:val="auto"/>
              </w:rPr>
            </w:pPr>
            <w:r>
              <w:rPr>
                <w:rFonts w:ascii="Arial" w:cs="Arial" w:eastAsia="Arial" w:hAnsi="Arial"/>
                <w:sz w:val="20"/>
                <w:szCs w:val="20"/>
                <w:color w:val="333333"/>
                <w:w w:val="99"/>
              </w:rPr>
              <w:t>Investors and Key Holders party thereto</w:t>
            </w:r>
          </w:p>
        </w:tc>
        <w:tc>
          <w:tcPr>
            <w:tcW w:w="1000" w:type="dxa"/>
            <w:vAlign w:val="bottom"/>
            <w:gridSpan w:val="9"/>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40" w:type="dxa"/>
            <w:vAlign w:val="bottom"/>
          </w:tcPr>
          <w:p>
            <w:pPr>
              <w:jc w:val="right"/>
              <w:ind w:right="303"/>
              <w:spacing w:after="0"/>
              <w:rPr>
                <w:sz w:val="20"/>
                <w:szCs w:val="20"/>
                <w:color w:val="auto"/>
              </w:rPr>
            </w:pPr>
            <w:r>
              <w:rPr>
                <w:rFonts w:ascii="Arial" w:cs="Arial" w:eastAsia="Arial" w:hAnsi="Arial"/>
                <w:sz w:val="20"/>
                <w:szCs w:val="20"/>
                <w:color w:val="auto"/>
              </w:rPr>
              <w:t>4.3</w:t>
            </w:r>
          </w:p>
        </w:tc>
        <w:tc>
          <w:tcPr>
            <w:tcW w:w="80" w:type="dxa"/>
            <w:vAlign w:val="bottom"/>
          </w:tcPr>
          <w:p>
            <w:pPr>
              <w:spacing w:after="0"/>
              <w:rPr>
                <w:sz w:val="24"/>
                <w:szCs w:val="24"/>
                <w:color w:val="auto"/>
              </w:rPr>
            </w:pPr>
          </w:p>
        </w:tc>
        <w:tc>
          <w:tcPr>
            <w:tcW w:w="4620" w:type="dxa"/>
            <w:vAlign w:val="bottom"/>
            <w:gridSpan w:val="19"/>
          </w:tcPr>
          <w:p>
            <w:pPr>
              <w:spacing w:after="0"/>
              <w:rPr>
                <w:sz w:val="20"/>
                <w:szCs w:val="20"/>
                <w:color w:val="auto"/>
              </w:rPr>
            </w:pPr>
            <w:r>
              <w:rPr>
                <w:rFonts w:ascii="Arial" w:cs="Arial" w:eastAsia="Arial" w:hAnsi="Arial"/>
                <w:sz w:val="20"/>
                <w:szCs w:val="20"/>
                <w:color w:val="333333"/>
              </w:rPr>
              <w:t>Description of Capital Stock</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shd w:val="clear" w:color="auto" w:fill="333333"/>
          </w:tcPr>
          <w:p>
            <w:pPr>
              <w:spacing w:after="0" w:line="20" w:lineRule="exact"/>
              <w:rPr>
                <w:sz w:val="1"/>
                <w:szCs w:val="1"/>
                <w:color w:val="auto"/>
              </w:rPr>
            </w:pPr>
          </w:p>
        </w:tc>
        <w:tc>
          <w:tcPr>
            <w:tcW w:w="620" w:type="dxa"/>
            <w:vAlign w:val="bottom"/>
            <w:gridSpan w:val="2"/>
            <w:shd w:val="clear" w:color="auto" w:fill="333333"/>
          </w:tcPr>
          <w:p>
            <w:pPr>
              <w:spacing w:after="0" w:line="20" w:lineRule="exact"/>
              <w:rPr>
                <w:sz w:val="1"/>
                <w:szCs w:val="1"/>
                <w:color w:val="auto"/>
              </w:rPr>
            </w:pPr>
          </w:p>
        </w:tc>
        <w:tc>
          <w:tcPr>
            <w:tcW w:w="500" w:type="dxa"/>
            <w:vAlign w:val="bottom"/>
            <w:shd w:val="clear" w:color="auto" w:fill="333333"/>
          </w:tcPr>
          <w:p>
            <w:pPr>
              <w:spacing w:after="0" w:line="20" w:lineRule="exact"/>
              <w:rPr>
                <w:sz w:val="1"/>
                <w:szCs w:val="1"/>
                <w:color w:val="auto"/>
              </w:rPr>
            </w:pPr>
          </w:p>
        </w:tc>
        <w:tc>
          <w:tcPr>
            <w:tcW w:w="80" w:type="dxa"/>
            <w:vAlign w:val="bottom"/>
            <w:shd w:val="clear" w:color="auto" w:fill="33333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40" w:type="dxa"/>
            <w:vAlign w:val="bottom"/>
          </w:tcPr>
          <w:p>
            <w:pPr>
              <w:jc w:val="right"/>
              <w:ind w:right="143"/>
              <w:spacing w:after="0"/>
              <w:rPr>
                <w:sz w:val="20"/>
                <w:szCs w:val="20"/>
                <w:color w:val="auto"/>
              </w:rPr>
            </w:pPr>
            <w:r>
              <w:rPr>
                <w:rFonts w:ascii="Arial" w:cs="Arial" w:eastAsia="Arial" w:hAnsi="Arial"/>
                <w:sz w:val="20"/>
                <w:szCs w:val="20"/>
                <w:color w:val="auto"/>
              </w:rPr>
              <w:t>10.1**</w:t>
            </w:r>
          </w:p>
        </w:tc>
        <w:tc>
          <w:tcPr>
            <w:tcW w:w="80" w:type="dxa"/>
            <w:vAlign w:val="bottom"/>
          </w:tcPr>
          <w:p>
            <w:pPr>
              <w:spacing w:after="0"/>
              <w:rPr>
                <w:sz w:val="24"/>
                <w:szCs w:val="24"/>
                <w:color w:val="auto"/>
              </w:rPr>
            </w:pPr>
          </w:p>
        </w:tc>
        <w:tc>
          <w:tcPr>
            <w:tcW w:w="4620" w:type="dxa"/>
            <w:vAlign w:val="bottom"/>
            <w:gridSpan w:val="19"/>
          </w:tcPr>
          <w:p>
            <w:pPr>
              <w:spacing w:after="0"/>
              <w:rPr>
                <w:sz w:val="20"/>
                <w:szCs w:val="20"/>
                <w:color w:val="auto"/>
              </w:rPr>
            </w:pPr>
            <w:r>
              <w:rPr>
                <w:rFonts w:ascii="Arial" w:cs="Arial" w:eastAsia="Arial" w:hAnsi="Arial"/>
                <w:sz w:val="20"/>
                <w:szCs w:val="20"/>
                <w:color w:val="333333"/>
              </w:rPr>
              <w:t>Form of Director and Executive Officer</w:t>
            </w:r>
          </w:p>
        </w:tc>
        <w:tc>
          <w:tcPr>
            <w:tcW w:w="720" w:type="dxa"/>
            <w:vAlign w:val="bottom"/>
          </w:tcPr>
          <w:p>
            <w:pPr>
              <w:jc w:val="center"/>
              <w:spacing w:after="0"/>
              <w:rPr>
                <w:sz w:val="20"/>
                <w:szCs w:val="20"/>
                <w:color w:val="auto"/>
              </w:rPr>
            </w:pPr>
            <w:r>
              <w:rPr>
                <w:rFonts w:ascii="Arial" w:cs="Arial" w:eastAsia="Arial" w:hAnsi="Arial"/>
                <w:sz w:val="20"/>
                <w:szCs w:val="20"/>
                <w:color w:val="auto"/>
              </w:rPr>
              <w:t>S-1</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600" w:type="dxa"/>
            <w:vAlign w:val="bottom"/>
          </w:tcPr>
          <w:p>
            <w:pPr>
              <w:jc w:val="center"/>
              <w:spacing w:after="0"/>
              <w:rPr>
                <w:sz w:val="20"/>
                <w:szCs w:val="20"/>
                <w:color w:val="auto"/>
              </w:rPr>
            </w:pPr>
            <w:r>
              <w:rPr>
                <w:rFonts w:ascii="Arial" w:cs="Arial" w:eastAsia="Arial" w:hAnsi="Arial"/>
                <w:sz w:val="20"/>
                <w:szCs w:val="20"/>
                <w:color w:val="auto"/>
              </w:rPr>
              <w:t>10.1</w:t>
            </w:r>
          </w:p>
        </w:tc>
        <w:tc>
          <w:tcPr>
            <w:tcW w:w="1420" w:type="dxa"/>
            <w:vAlign w:val="bottom"/>
          </w:tcPr>
          <w:p>
            <w:pPr>
              <w:jc w:val="center"/>
              <w:spacing w:after="0"/>
              <w:rPr>
                <w:sz w:val="20"/>
                <w:szCs w:val="20"/>
                <w:color w:val="auto"/>
              </w:rPr>
            </w:pPr>
            <w:r>
              <w:rPr>
                <w:rFonts w:ascii="Arial" w:cs="Arial" w:eastAsia="Arial" w:hAnsi="Arial"/>
                <w:sz w:val="20"/>
                <w:szCs w:val="20"/>
                <w:color w:val="auto"/>
              </w:rPr>
              <w:t>August 26,</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tcBorders>
              <w:top w:val="single" w:sz="8" w:color="333333"/>
            </w:tcBorders>
            <w:gridSpan w:val="8"/>
          </w:tcPr>
          <w:p>
            <w:pPr>
              <w:spacing w:after="0" w:line="210" w:lineRule="exact"/>
              <w:rPr>
                <w:sz w:val="20"/>
                <w:szCs w:val="20"/>
                <w:color w:val="auto"/>
              </w:rPr>
            </w:pPr>
            <w:r>
              <w:rPr>
                <w:rFonts w:ascii="Arial" w:cs="Arial" w:eastAsia="Arial" w:hAnsi="Arial"/>
                <w:sz w:val="20"/>
                <w:szCs w:val="20"/>
                <w:color w:val="333333"/>
              </w:rPr>
              <w:t>Indemnification Agreement</w:t>
            </w:r>
          </w:p>
        </w:tc>
        <w:tc>
          <w:tcPr>
            <w:tcW w:w="18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4"/>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center"/>
              <w:spacing w:after="0" w:line="210" w:lineRule="exact"/>
              <w:rPr>
                <w:sz w:val="20"/>
                <w:szCs w:val="20"/>
                <w:color w:val="auto"/>
              </w:rPr>
            </w:pPr>
            <w:r>
              <w:rPr>
                <w:rFonts w:ascii="Arial" w:cs="Arial" w:eastAsia="Arial" w:hAnsi="Arial"/>
                <w:sz w:val="20"/>
                <w:szCs w:val="20"/>
                <w:color w:val="auto"/>
                <w:w w:val="98"/>
              </w:rPr>
              <w:t>248428</w:t>
            </w:r>
          </w:p>
        </w:tc>
        <w:tc>
          <w:tcPr>
            <w:tcW w:w="600" w:type="dxa"/>
            <w:vAlign w:val="bottom"/>
          </w:tcPr>
          <w:p>
            <w:pPr>
              <w:spacing w:after="0"/>
              <w:rPr>
                <w:sz w:val="18"/>
                <w:szCs w:val="18"/>
                <w:color w:val="auto"/>
              </w:rPr>
            </w:pPr>
          </w:p>
        </w:tc>
        <w:tc>
          <w:tcPr>
            <w:tcW w:w="1420" w:type="dxa"/>
            <w:vAlign w:val="bottom"/>
          </w:tcPr>
          <w:p>
            <w:pPr>
              <w:jc w:val="center"/>
              <w:spacing w:after="0" w:line="210" w:lineRule="exact"/>
              <w:rPr>
                <w:sz w:val="20"/>
                <w:szCs w:val="20"/>
                <w:color w:val="auto"/>
              </w:rPr>
            </w:pPr>
            <w:r>
              <w:rPr>
                <w:rFonts w:ascii="Arial" w:cs="Arial" w:eastAsia="Arial" w:hAnsi="Arial"/>
                <w:sz w:val="20"/>
                <w:szCs w:val="20"/>
                <w:color w:val="auto"/>
                <w:w w:val="98"/>
              </w:rPr>
              <w:t>2020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shd w:val="clear" w:color="auto" w:fill="333333"/>
          </w:tcPr>
          <w:p>
            <w:pPr>
              <w:spacing w:after="0" w:line="20" w:lineRule="exact"/>
              <w:rPr>
                <w:sz w:val="1"/>
                <w:szCs w:val="1"/>
                <w:color w:val="auto"/>
              </w:rPr>
            </w:pPr>
          </w:p>
        </w:tc>
        <w:tc>
          <w:tcPr>
            <w:tcW w:w="620" w:type="dxa"/>
            <w:vAlign w:val="bottom"/>
            <w:gridSpan w:val="2"/>
            <w:shd w:val="clear" w:color="auto" w:fill="333333"/>
          </w:tcPr>
          <w:p>
            <w:pPr>
              <w:spacing w:after="0" w:line="20" w:lineRule="exact"/>
              <w:rPr>
                <w:sz w:val="1"/>
                <w:szCs w:val="1"/>
                <w:color w:val="auto"/>
              </w:rPr>
            </w:pPr>
          </w:p>
        </w:tc>
        <w:tc>
          <w:tcPr>
            <w:tcW w:w="500" w:type="dxa"/>
            <w:vAlign w:val="bottom"/>
            <w:shd w:val="clear" w:color="auto" w:fill="33333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40" w:type="dxa"/>
            <w:vAlign w:val="bottom"/>
          </w:tcPr>
          <w:p>
            <w:pPr>
              <w:jc w:val="right"/>
              <w:ind w:right="143"/>
              <w:spacing w:after="0"/>
              <w:rPr>
                <w:sz w:val="20"/>
                <w:szCs w:val="20"/>
                <w:color w:val="auto"/>
              </w:rPr>
            </w:pPr>
            <w:r>
              <w:rPr>
                <w:rFonts w:ascii="Arial" w:cs="Arial" w:eastAsia="Arial" w:hAnsi="Arial"/>
                <w:sz w:val="20"/>
                <w:szCs w:val="20"/>
                <w:color w:val="auto"/>
              </w:rPr>
              <w:t>10.2**</w:t>
            </w:r>
          </w:p>
        </w:tc>
        <w:tc>
          <w:tcPr>
            <w:tcW w:w="80" w:type="dxa"/>
            <w:vAlign w:val="bottom"/>
          </w:tcPr>
          <w:p>
            <w:pPr>
              <w:spacing w:after="0"/>
              <w:rPr>
                <w:sz w:val="24"/>
                <w:szCs w:val="24"/>
                <w:color w:val="auto"/>
              </w:rPr>
            </w:pPr>
          </w:p>
        </w:tc>
        <w:tc>
          <w:tcPr>
            <w:tcW w:w="4620" w:type="dxa"/>
            <w:vAlign w:val="bottom"/>
            <w:gridSpan w:val="19"/>
          </w:tcPr>
          <w:p>
            <w:pPr>
              <w:spacing w:after="0"/>
              <w:rPr>
                <w:sz w:val="20"/>
                <w:szCs w:val="20"/>
                <w:color w:val="auto"/>
              </w:rPr>
            </w:pPr>
            <w:r>
              <w:rPr>
                <w:rFonts w:ascii="Arial" w:cs="Arial" w:eastAsia="Arial" w:hAnsi="Arial"/>
                <w:sz w:val="20"/>
                <w:szCs w:val="20"/>
                <w:color w:val="333333"/>
              </w:rPr>
              <w:t>2014 Equity Incentive Plan, as amended</w:t>
            </w:r>
          </w:p>
        </w:tc>
        <w:tc>
          <w:tcPr>
            <w:tcW w:w="72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600" w:type="dxa"/>
            <w:vAlign w:val="bottom"/>
          </w:tcPr>
          <w:p>
            <w:pPr>
              <w:jc w:val="center"/>
              <w:spacing w:after="0"/>
              <w:rPr>
                <w:sz w:val="20"/>
                <w:szCs w:val="20"/>
                <w:color w:val="auto"/>
              </w:rPr>
            </w:pPr>
            <w:r>
              <w:rPr>
                <w:rFonts w:ascii="Arial" w:cs="Arial" w:eastAsia="Arial" w:hAnsi="Arial"/>
                <w:sz w:val="20"/>
                <w:szCs w:val="20"/>
                <w:color w:val="auto"/>
              </w:rPr>
              <w:t>10.2</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9,</w:t>
            </w:r>
          </w:p>
        </w:tc>
        <w:tc>
          <w:tcPr>
            <w:tcW w:w="0" w:type="dxa"/>
            <w:vAlign w:val="bottom"/>
          </w:tcPr>
          <w:p>
            <w:pPr>
              <w:spacing w:after="0"/>
              <w:rPr>
                <w:sz w:val="1"/>
                <w:szCs w:val="1"/>
                <w:color w:val="auto"/>
              </w:rPr>
            </w:pPr>
          </w:p>
        </w:tc>
      </w:tr>
      <w:tr>
        <w:trPr>
          <w:trHeight w:val="253"/>
        </w:trPr>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Borders>
              <w:top w:val="single" w:sz="8" w:color="333333"/>
            </w:tcBorders>
          </w:tcPr>
          <w:p>
            <w:pPr>
              <w:spacing w:after="0"/>
              <w:rPr>
                <w:sz w:val="21"/>
                <w:szCs w:val="21"/>
                <w:color w:val="auto"/>
              </w:rPr>
            </w:pPr>
          </w:p>
        </w:tc>
        <w:tc>
          <w:tcPr>
            <w:tcW w:w="340" w:type="dxa"/>
            <w:vAlign w:val="bottom"/>
            <w:tcBorders>
              <w:top w:val="single" w:sz="8" w:color="333333"/>
            </w:tcBorders>
          </w:tcPr>
          <w:p>
            <w:pPr>
              <w:spacing w:after="0"/>
              <w:rPr>
                <w:sz w:val="21"/>
                <w:szCs w:val="21"/>
                <w:color w:val="auto"/>
              </w:rPr>
            </w:pPr>
          </w:p>
        </w:tc>
        <w:tc>
          <w:tcPr>
            <w:tcW w:w="160" w:type="dxa"/>
            <w:vAlign w:val="bottom"/>
            <w:tcBorders>
              <w:top w:val="single" w:sz="8" w:color="333333"/>
            </w:tcBorders>
          </w:tcPr>
          <w:p>
            <w:pPr>
              <w:spacing w:after="0"/>
              <w:rPr>
                <w:sz w:val="21"/>
                <w:szCs w:val="21"/>
                <w:color w:val="auto"/>
              </w:rPr>
            </w:pPr>
          </w:p>
        </w:tc>
        <w:tc>
          <w:tcPr>
            <w:tcW w:w="460" w:type="dxa"/>
            <w:vAlign w:val="bottom"/>
            <w:tcBorders>
              <w:top w:val="single" w:sz="8" w:color="333333"/>
            </w:tcBorders>
          </w:tcPr>
          <w:p>
            <w:pPr>
              <w:spacing w:after="0"/>
              <w:rPr>
                <w:sz w:val="21"/>
                <w:szCs w:val="21"/>
                <w:color w:val="auto"/>
              </w:rPr>
            </w:pPr>
          </w:p>
        </w:tc>
        <w:tc>
          <w:tcPr>
            <w:tcW w:w="500" w:type="dxa"/>
            <w:vAlign w:val="bottom"/>
            <w:tcBorders>
              <w:top w:val="single" w:sz="8" w:color="333333"/>
            </w:tcBorders>
          </w:tcPr>
          <w:p>
            <w:pPr>
              <w:spacing w:after="0"/>
              <w:rPr>
                <w:sz w:val="21"/>
                <w:szCs w:val="21"/>
                <w:color w:val="auto"/>
              </w:rPr>
            </w:pPr>
          </w:p>
        </w:tc>
        <w:tc>
          <w:tcPr>
            <w:tcW w:w="80" w:type="dxa"/>
            <w:vAlign w:val="bottom"/>
            <w:tcBorders>
              <w:top w:val="single" w:sz="8" w:color="333333"/>
            </w:tcBorders>
          </w:tcPr>
          <w:p>
            <w:pPr>
              <w:spacing w:after="0"/>
              <w:rPr>
                <w:sz w:val="21"/>
                <w:szCs w:val="21"/>
                <w:color w:val="auto"/>
              </w:rPr>
            </w:pPr>
          </w:p>
        </w:tc>
        <w:tc>
          <w:tcPr>
            <w:tcW w:w="240" w:type="dxa"/>
            <w:vAlign w:val="bottom"/>
            <w:tcBorders>
              <w:top w:val="single" w:sz="8" w:color="333333"/>
            </w:tcBorders>
          </w:tcPr>
          <w:p>
            <w:pPr>
              <w:spacing w:after="0"/>
              <w:rPr>
                <w:sz w:val="21"/>
                <w:szCs w:val="21"/>
                <w:color w:val="auto"/>
              </w:rPr>
            </w:pPr>
          </w:p>
        </w:tc>
        <w:tc>
          <w:tcPr>
            <w:tcW w:w="700" w:type="dxa"/>
            <w:vAlign w:val="bottom"/>
            <w:tcBorders>
              <w:top w:val="single" w:sz="8" w:color="333333"/>
            </w:tcBorders>
          </w:tcPr>
          <w:p>
            <w:pPr>
              <w:spacing w:after="0"/>
              <w:rPr>
                <w:sz w:val="21"/>
                <w:szCs w:val="21"/>
                <w:color w:val="auto"/>
              </w:rPr>
            </w:pPr>
          </w:p>
        </w:tc>
        <w:tc>
          <w:tcPr>
            <w:tcW w:w="140" w:type="dxa"/>
            <w:vAlign w:val="bottom"/>
            <w:tcBorders>
              <w:top w:val="single" w:sz="8" w:color="333333"/>
            </w:tcBorders>
          </w:tcPr>
          <w:p>
            <w:pPr>
              <w:spacing w:after="0"/>
              <w:rPr>
                <w:sz w:val="21"/>
                <w:szCs w:val="21"/>
                <w:color w:val="auto"/>
              </w:rPr>
            </w:pPr>
          </w:p>
        </w:tc>
        <w:tc>
          <w:tcPr>
            <w:tcW w:w="40" w:type="dxa"/>
            <w:vAlign w:val="bottom"/>
            <w:tcBorders>
              <w:top w:val="single" w:sz="8" w:color="333333"/>
            </w:tcBorders>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248428</w:t>
            </w:r>
          </w:p>
        </w:tc>
        <w:tc>
          <w:tcPr>
            <w:tcW w:w="6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2020</w:t>
            </w:r>
          </w:p>
        </w:tc>
        <w:tc>
          <w:tcPr>
            <w:tcW w:w="0" w:type="dxa"/>
            <w:vAlign w:val="bottom"/>
          </w:tcPr>
          <w:p>
            <w:pPr>
              <w:spacing w:after="0"/>
              <w:rPr>
                <w:sz w:val="1"/>
                <w:szCs w:val="1"/>
                <w:color w:val="auto"/>
              </w:rPr>
            </w:pPr>
          </w:p>
        </w:tc>
      </w:tr>
      <w:tr>
        <w:trPr>
          <w:trHeight w:val="375"/>
        </w:trPr>
        <w:tc>
          <w:tcPr>
            <w:tcW w:w="840" w:type="dxa"/>
            <w:vAlign w:val="bottom"/>
          </w:tcPr>
          <w:p>
            <w:pPr>
              <w:jc w:val="right"/>
              <w:ind w:right="143"/>
              <w:spacing w:after="0"/>
              <w:rPr>
                <w:sz w:val="20"/>
                <w:szCs w:val="20"/>
                <w:color w:val="auto"/>
              </w:rPr>
            </w:pPr>
            <w:r>
              <w:rPr>
                <w:rFonts w:ascii="Arial" w:cs="Arial" w:eastAsia="Arial" w:hAnsi="Arial"/>
                <w:sz w:val="20"/>
                <w:szCs w:val="20"/>
                <w:color w:val="auto"/>
              </w:rPr>
              <w:t>10.3**</w:t>
            </w:r>
          </w:p>
        </w:tc>
        <w:tc>
          <w:tcPr>
            <w:tcW w:w="80" w:type="dxa"/>
            <w:vAlign w:val="bottom"/>
          </w:tcPr>
          <w:p>
            <w:pPr>
              <w:spacing w:after="0"/>
              <w:rPr>
                <w:sz w:val="24"/>
                <w:szCs w:val="24"/>
                <w:color w:val="auto"/>
              </w:rPr>
            </w:pPr>
          </w:p>
        </w:tc>
        <w:tc>
          <w:tcPr>
            <w:tcW w:w="4620" w:type="dxa"/>
            <w:vAlign w:val="bottom"/>
            <w:gridSpan w:val="19"/>
          </w:tcPr>
          <w:p>
            <w:pPr>
              <w:spacing w:after="0"/>
              <w:rPr>
                <w:sz w:val="20"/>
                <w:szCs w:val="20"/>
                <w:color w:val="auto"/>
              </w:rPr>
            </w:pPr>
            <w:r>
              <w:rPr>
                <w:rFonts w:ascii="Arial" w:cs="Arial" w:eastAsia="Arial" w:hAnsi="Arial"/>
                <w:sz w:val="20"/>
                <w:szCs w:val="20"/>
                <w:color w:val="333333"/>
              </w:rPr>
              <w:t>2020 Equity Incentive Plan</w:t>
            </w:r>
          </w:p>
        </w:tc>
        <w:tc>
          <w:tcPr>
            <w:tcW w:w="72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600" w:type="dxa"/>
            <w:vAlign w:val="bottom"/>
          </w:tcPr>
          <w:p>
            <w:pPr>
              <w:jc w:val="center"/>
              <w:spacing w:after="0"/>
              <w:rPr>
                <w:sz w:val="20"/>
                <w:szCs w:val="20"/>
                <w:color w:val="auto"/>
              </w:rPr>
            </w:pPr>
            <w:r>
              <w:rPr>
                <w:rFonts w:ascii="Arial" w:cs="Arial" w:eastAsia="Arial" w:hAnsi="Arial"/>
                <w:sz w:val="20"/>
                <w:szCs w:val="20"/>
                <w:color w:val="auto"/>
              </w:rPr>
              <w:t>10.5</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9,</w:t>
            </w:r>
          </w:p>
        </w:tc>
        <w:tc>
          <w:tcPr>
            <w:tcW w:w="0" w:type="dxa"/>
            <w:vAlign w:val="bottom"/>
          </w:tcPr>
          <w:p>
            <w:pPr>
              <w:spacing w:after="0"/>
              <w:rPr>
                <w:sz w:val="1"/>
                <w:szCs w:val="1"/>
                <w:color w:val="auto"/>
              </w:rPr>
            </w:pPr>
          </w:p>
        </w:tc>
      </w:tr>
      <w:tr>
        <w:trPr>
          <w:trHeight w:val="253"/>
        </w:trPr>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Borders>
              <w:top w:val="single" w:sz="8" w:color="333333"/>
            </w:tcBorders>
          </w:tcPr>
          <w:p>
            <w:pPr>
              <w:spacing w:after="0"/>
              <w:rPr>
                <w:sz w:val="21"/>
                <w:szCs w:val="21"/>
                <w:color w:val="auto"/>
              </w:rPr>
            </w:pPr>
          </w:p>
        </w:tc>
        <w:tc>
          <w:tcPr>
            <w:tcW w:w="340" w:type="dxa"/>
            <w:vAlign w:val="bottom"/>
            <w:tcBorders>
              <w:top w:val="single" w:sz="8" w:color="333333"/>
            </w:tcBorders>
          </w:tcPr>
          <w:p>
            <w:pPr>
              <w:spacing w:after="0"/>
              <w:rPr>
                <w:sz w:val="21"/>
                <w:szCs w:val="21"/>
                <w:color w:val="auto"/>
              </w:rPr>
            </w:pPr>
          </w:p>
        </w:tc>
        <w:tc>
          <w:tcPr>
            <w:tcW w:w="160" w:type="dxa"/>
            <w:vAlign w:val="bottom"/>
            <w:tcBorders>
              <w:top w:val="single" w:sz="8" w:color="333333"/>
            </w:tcBorders>
          </w:tcPr>
          <w:p>
            <w:pPr>
              <w:spacing w:after="0"/>
              <w:rPr>
                <w:sz w:val="21"/>
                <w:szCs w:val="21"/>
                <w:color w:val="auto"/>
              </w:rPr>
            </w:pPr>
          </w:p>
        </w:tc>
        <w:tc>
          <w:tcPr>
            <w:tcW w:w="460" w:type="dxa"/>
            <w:vAlign w:val="bottom"/>
            <w:tcBorders>
              <w:top w:val="single" w:sz="8" w:color="333333"/>
            </w:tcBorders>
          </w:tcPr>
          <w:p>
            <w:pPr>
              <w:spacing w:after="0"/>
              <w:rPr>
                <w:sz w:val="21"/>
                <w:szCs w:val="21"/>
                <w:color w:val="auto"/>
              </w:rPr>
            </w:pPr>
          </w:p>
        </w:tc>
        <w:tc>
          <w:tcPr>
            <w:tcW w:w="500" w:type="dxa"/>
            <w:vAlign w:val="bottom"/>
            <w:tcBorders>
              <w:top w:val="single" w:sz="8" w:color="333333"/>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248428</w:t>
            </w:r>
          </w:p>
        </w:tc>
        <w:tc>
          <w:tcPr>
            <w:tcW w:w="6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2020</w:t>
            </w:r>
          </w:p>
        </w:tc>
        <w:tc>
          <w:tcPr>
            <w:tcW w:w="0" w:type="dxa"/>
            <w:vAlign w:val="bottom"/>
          </w:tcPr>
          <w:p>
            <w:pPr>
              <w:spacing w:after="0"/>
              <w:rPr>
                <w:sz w:val="1"/>
                <w:szCs w:val="1"/>
                <w:color w:val="auto"/>
              </w:rPr>
            </w:pPr>
          </w:p>
        </w:tc>
      </w:tr>
      <w:tr>
        <w:trPr>
          <w:trHeight w:val="375"/>
        </w:trPr>
        <w:tc>
          <w:tcPr>
            <w:tcW w:w="840" w:type="dxa"/>
            <w:vAlign w:val="bottom"/>
          </w:tcPr>
          <w:p>
            <w:pPr>
              <w:jc w:val="right"/>
              <w:ind w:right="143"/>
              <w:spacing w:after="0"/>
              <w:rPr>
                <w:sz w:val="20"/>
                <w:szCs w:val="20"/>
                <w:color w:val="auto"/>
              </w:rPr>
            </w:pPr>
            <w:r>
              <w:rPr>
                <w:rFonts w:ascii="Arial" w:cs="Arial" w:eastAsia="Arial" w:hAnsi="Arial"/>
                <w:sz w:val="20"/>
                <w:szCs w:val="20"/>
                <w:color w:val="auto"/>
              </w:rPr>
              <w:t>10.4**</w:t>
            </w:r>
          </w:p>
        </w:tc>
        <w:tc>
          <w:tcPr>
            <w:tcW w:w="80" w:type="dxa"/>
            <w:vAlign w:val="bottom"/>
          </w:tcPr>
          <w:p>
            <w:pPr>
              <w:spacing w:after="0"/>
              <w:rPr>
                <w:sz w:val="24"/>
                <w:szCs w:val="24"/>
                <w:color w:val="auto"/>
              </w:rPr>
            </w:pPr>
          </w:p>
        </w:tc>
        <w:tc>
          <w:tcPr>
            <w:tcW w:w="4620" w:type="dxa"/>
            <w:vAlign w:val="bottom"/>
            <w:gridSpan w:val="19"/>
          </w:tcPr>
          <w:p>
            <w:pPr>
              <w:spacing w:after="0"/>
              <w:rPr>
                <w:sz w:val="20"/>
                <w:szCs w:val="20"/>
                <w:color w:val="auto"/>
              </w:rPr>
            </w:pPr>
            <w:r>
              <w:rPr>
                <w:rFonts w:ascii="Arial" w:cs="Arial" w:eastAsia="Arial" w:hAnsi="Arial"/>
                <w:sz w:val="20"/>
                <w:szCs w:val="20"/>
                <w:color w:val="333333"/>
              </w:rPr>
              <w:t>Form of Stock Option Agreement under the 2020</w:t>
            </w:r>
          </w:p>
        </w:tc>
        <w:tc>
          <w:tcPr>
            <w:tcW w:w="72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600" w:type="dxa"/>
            <w:vAlign w:val="bottom"/>
          </w:tcPr>
          <w:p>
            <w:pPr>
              <w:jc w:val="center"/>
              <w:spacing w:after="0"/>
              <w:rPr>
                <w:sz w:val="20"/>
                <w:szCs w:val="20"/>
                <w:color w:val="auto"/>
              </w:rPr>
            </w:pPr>
            <w:r>
              <w:rPr>
                <w:rFonts w:ascii="Arial" w:cs="Arial" w:eastAsia="Arial" w:hAnsi="Arial"/>
                <w:sz w:val="20"/>
                <w:szCs w:val="20"/>
                <w:color w:val="auto"/>
              </w:rPr>
              <w:t>10.6</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9,</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Borders>
              <w:top w:val="single" w:sz="8" w:color="333333"/>
              <w:bottom w:val="single" w:sz="8" w:color="333333"/>
            </w:tcBorders>
            <w:gridSpan w:val="4"/>
          </w:tcPr>
          <w:p>
            <w:pPr>
              <w:spacing w:after="0" w:line="210" w:lineRule="exact"/>
              <w:rPr>
                <w:sz w:val="20"/>
                <w:szCs w:val="20"/>
                <w:color w:val="auto"/>
              </w:rPr>
            </w:pPr>
            <w:r>
              <w:rPr>
                <w:rFonts w:ascii="Arial" w:cs="Arial" w:eastAsia="Arial" w:hAnsi="Arial"/>
                <w:sz w:val="20"/>
                <w:szCs w:val="20"/>
                <w:color w:val="333333"/>
                <w:w w:val="99"/>
              </w:rPr>
              <w:t>Equity Incentive Plan</w:t>
            </w:r>
          </w:p>
        </w:tc>
        <w:tc>
          <w:tcPr>
            <w:tcW w:w="2460" w:type="dxa"/>
            <w:vAlign w:val="bottom"/>
            <w:tcBorders>
              <w:top w:val="single" w:sz="8" w:color="333333"/>
            </w:tcBorders>
            <w:gridSpan w:val="10"/>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4"/>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center"/>
              <w:spacing w:after="0" w:line="210" w:lineRule="exact"/>
              <w:rPr>
                <w:sz w:val="20"/>
                <w:szCs w:val="20"/>
                <w:color w:val="auto"/>
              </w:rPr>
            </w:pPr>
            <w:r>
              <w:rPr>
                <w:rFonts w:ascii="Arial" w:cs="Arial" w:eastAsia="Arial" w:hAnsi="Arial"/>
                <w:sz w:val="20"/>
                <w:szCs w:val="20"/>
                <w:color w:val="auto"/>
                <w:w w:val="98"/>
              </w:rPr>
              <w:t>248428</w:t>
            </w:r>
          </w:p>
        </w:tc>
        <w:tc>
          <w:tcPr>
            <w:tcW w:w="600" w:type="dxa"/>
            <w:vAlign w:val="bottom"/>
          </w:tcPr>
          <w:p>
            <w:pPr>
              <w:spacing w:after="0"/>
              <w:rPr>
                <w:sz w:val="18"/>
                <w:szCs w:val="18"/>
                <w:color w:val="auto"/>
              </w:rPr>
            </w:pPr>
          </w:p>
        </w:tc>
        <w:tc>
          <w:tcPr>
            <w:tcW w:w="1420" w:type="dxa"/>
            <w:vAlign w:val="bottom"/>
          </w:tcPr>
          <w:p>
            <w:pPr>
              <w:jc w:val="center"/>
              <w:spacing w:after="0" w:line="210" w:lineRule="exact"/>
              <w:rPr>
                <w:sz w:val="20"/>
                <w:szCs w:val="20"/>
                <w:color w:val="auto"/>
              </w:rPr>
            </w:pPr>
            <w:r>
              <w:rPr>
                <w:rFonts w:ascii="Arial" w:cs="Arial" w:eastAsia="Arial" w:hAnsi="Arial"/>
                <w:sz w:val="20"/>
                <w:szCs w:val="20"/>
                <w:color w:val="auto"/>
                <w:w w:val="98"/>
              </w:rPr>
              <w:t>2020</w:t>
            </w:r>
          </w:p>
        </w:tc>
        <w:tc>
          <w:tcPr>
            <w:tcW w:w="0" w:type="dxa"/>
            <w:vAlign w:val="bottom"/>
          </w:tcPr>
          <w:p>
            <w:pPr>
              <w:spacing w:after="0"/>
              <w:rPr>
                <w:sz w:val="1"/>
                <w:szCs w:val="1"/>
                <w:color w:val="auto"/>
              </w:rPr>
            </w:pPr>
          </w:p>
        </w:tc>
      </w:tr>
      <w:tr>
        <w:trPr>
          <w:trHeight w:val="398"/>
        </w:trPr>
        <w:tc>
          <w:tcPr>
            <w:tcW w:w="840" w:type="dxa"/>
            <w:vAlign w:val="bottom"/>
          </w:tcPr>
          <w:p>
            <w:pPr>
              <w:jc w:val="right"/>
              <w:ind w:right="143"/>
              <w:spacing w:after="0"/>
              <w:rPr>
                <w:sz w:val="20"/>
                <w:szCs w:val="20"/>
                <w:color w:val="auto"/>
              </w:rPr>
            </w:pPr>
            <w:r>
              <w:rPr>
                <w:rFonts w:ascii="Arial" w:cs="Arial" w:eastAsia="Arial" w:hAnsi="Arial"/>
                <w:sz w:val="20"/>
                <w:szCs w:val="20"/>
                <w:color w:val="auto"/>
              </w:rPr>
              <w:t>10.5**</w:t>
            </w:r>
          </w:p>
        </w:tc>
        <w:tc>
          <w:tcPr>
            <w:tcW w:w="80" w:type="dxa"/>
            <w:vAlign w:val="bottom"/>
          </w:tcPr>
          <w:p>
            <w:pPr>
              <w:spacing w:after="0"/>
              <w:rPr>
                <w:sz w:val="24"/>
                <w:szCs w:val="24"/>
                <w:color w:val="auto"/>
              </w:rPr>
            </w:pPr>
          </w:p>
        </w:tc>
        <w:tc>
          <w:tcPr>
            <w:tcW w:w="4620" w:type="dxa"/>
            <w:vAlign w:val="bottom"/>
            <w:gridSpan w:val="19"/>
          </w:tcPr>
          <w:p>
            <w:pPr>
              <w:spacing w:after="0"/>
              <w:rPr>
                <w:sz w:val="20"/>
                <w:szCs w:val="20"/>
                <w:color w:val="auto"/>
              </w:rPr>
            </w:pPr>
            <w:r>
              <w:rPr>
                <w:rFonts w:ascii="Arial" w:cs="Arial" w:eastAsia="Arial" w:hAnsi="Arial"/>
                <w:sz w:val="20"/>
                <w:szCs w:val="20"/>
                <w:color w:val="333333"/>
              </w:rPr>
              <w:t>Form of Restricted Stock Award Agreement under</w:t>
            </w:r>
          </w:p>
        </w:tc>
        <w:tc>
          <w:tcPr>
            <w:tcW w:w="72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600" w:type="dxa"/>
            <w:vAlign w:val="bottom"/>
          </w:tcPr>
          <w:p>
            <w:pPr>
              <w:jc w:val="center"/>
              <w:spacing w:after="0"/>
              <w:rPr>
                <w:sz w:val="20"/>
                <w:szCs w:val="20"/>
                <w:color w:val="auto"/>
              </w:rPr>
            </w:pPr>
            <w:r>
              <w:rPr>
                <w:rFonts w:ascii="Arial" w:cs="Arial" w:eastAsia="Arial" w:hAnsi="Arial"/>
                <w:sz w:val="20"/>
                <w:szCs w:val="20"/>
                <w:color w:val="auto"/>
              </w:rPr>
              <w:t>10.7</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9,</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40" w:type="dxa"/>
            <w:vAlign w:val="bottom"/>
            <w:tcBorders>
              <w:top w:val="single" w:sz="8" w:color="333333"/>
            </w:tcBorders>
            <w:gridSpan w:val="15"/>
          </w:tcPr>
          <w:p>
            <w:pPr>
              <w:spacing w:after="0" w:line="210" w:lineRule="exact"/>
              <w:rPr>
                <w:sz w:val="20"/>
                <w:szCs w:val="20"/>
                <w:color w:val="auto"/>
              </w:rPr>
            </w:pPr>
            <w:r>
              <w:rPr>
                <w:rFonts w:ascii="Arial" w:cs="Arial" w:eastAsia="Arial" w:hAnsi="Arial"/>
                <w:sz w:val="20"/>
                <w:szCs w:val="20"/>
                <w:color w:val="333333"/>
              </w:rPr>
              <w:t>the 2020 Equity Incentive Plan</w:t>
            </w:r>
          </w:p>
        </w:tc>
        <w:tc>
          <w:tcPr>
            <w:tcW w:w="180" w:type="dxa"/>
            <w:vAlign w:val="bottom"/>
            <w:gridSpan w:val="4"/>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center"/>
              <w:spacing w:after="0" w:line="210" w:lineRule="exact"/>
              <w:rPr>
                <w:sz w:val="20"/>
                <w:szCs w:val="20"/>
                <w:color w:val="auto"/>
              </w:rPr>
            </w:pPr>
            <w:r>
              <w:rPr>
                <w:rFonts w:ascii="Arial" w:cs="Arial" w:eastAsia="Arial" w:hAnsi="Arial"/>
                <w:sz w:val="20"/>
                <w:szCs w:val="20"/>
                <w:color w:val="auto"/>
                <w:w w:val="98"/>
              </w:rPr>
              <w:t>248428</w:t>
            </w:r>
          </w:p>
        </w:tc>
        <w:tc>
          <w:tcPr>
            <w:tcW w:w="600" w:type="dxa"/>
            <w:vAlign w:val="bottom"/>
          </w:tcPr>
          <w:p>
            <w:pPr>
              <w:spacing w:after="0"/>
              <w:rPr>
                <w:sz w:val="18"/>
                <w:szCs w:val="18"/>
                <w:color w:val="auto"/>
              </w:rPr>
            </w:pPr>
          </w:p>
        </w:tc>
        <w:tc>
          <w:tcPr>
            <w:tcW w:w="1420" w:type="dxa"/>
            <w:vAlign w:val="bottom"/>
          </w:tcPr>
          <w:p>
            <w:pPr>
              <w:jc w:val="center"/>
              <w:spacing w:after="0" w:line="210" w:lineRule="exact"/>
              <w:rPr>
                <w:sz w:val="20"/>
                <w:szCs w:val="20"/>
                <w:color w:val="auto"/>
              </w:rPr>
            </w:pPr>
            <w:r>
              <w:rPr>
                <w:rFonts w:ascii="Arial" w:cs="Arial" w:eastAsia="Arial" w:hAnsi="Arial"/>
                <w:sz w:val="20"/>
                <w:szCs w:val="20"/>
                <w:color w:val="auto"/>
                <w:w w:val="98"/>
              </w:rPr>
              <w:t>2020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shd w:val="clear" w:color="auto" w:fill="333333"/>
          </w:tcPr>
          <w:p>
            <w:pPr>
              <w:spacing w:after="0" w:line="20" w:lineRule="exact"/>
              <w:rPr>
                <w:sz w:val="1"/>
                <w:szCs w:val="1"/>
                <w:color w:val="auto"/>
              </w:rPr>
            </w:pPr>
          </w:p>
        </w:tc>
        <w:tc>
          <w:tcPr>
            <w:tcW w:w="1440" w:type="dxa"/>
            <w:vAlign w:val="bottom"/>
            <w:gridSpan w:val="5"/>
            <w:shd w:val="clear" w:color="auto" w:fill="333333"/>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40" w:type="dxa"/>
            <w:vAlign w:val="bottom"/>
          </w:tcPr>
          <w:p>
            <w:pPr>
              <w:jc w:val="right"/>
              <w:ind w:right="143"/>
              <w:spacing w:after="0"/>
              <w:rPr>
                <w:sz w:val="20"/>
                <w:szCs w:val="20"/>
                <w:color w:val="auto"/>
              </w:rPr>
            </w:pPr>
            <w:r>
              <w:rPr>
                <w:rFonts w:ascii="Arial" w:cs="Arial" w:eastAsia="Arial" w:hAnsi="Arial"/>
                <w:sz w:val="20"/>
                <w:szCs w:val="20"/>
                <w:color w:val="auto"/>
              </w:rPr>
              <w:t>10.6**</w:t>
            </w:r>
          </w:p>
        </w:tc>
        <w:tc>
          <w:tcPr>
            <w:tcW w:w="80" w:type="dxa"/>
            <w:vAlign w:val="bottom"/>
          </w:tcPr>
          <w:p>
            <w:pPr>
              <w:spacing w:after="0"/>
              <w:rPr>
                <w:sz w:val="24"/>
                <w:szCs w:val="24"/>
                <w:color w:val="auto"/>
              </w:rPr>
            </w:pPr>
          </w:p>
        </w:tc>
        <w:tc>
          <w:tcPr>
            <w:tcW w:w="4620" w:type="dxa"/>
            <w:vAlign w:val="bottom"/>
            <w:gridSpan w:val="19"/>
          </w:tcPr>
          <w:p>
            <w:pPr>
              <w:spacing w:after="0"/>
              <w:rPr>
                <w:sz w:val="20"/>
                <w:szCs w:val="20"/>
                <w:color w:val="auto"/>
              </w:rPr>
            </w:pPr>
            <w:r>
              <w:rPr>
                <w:rFonts w:ascii="Arial" w:cs="Arial" w:eastAsia="Arial" w:hAnsi="Arial"/>
                <w:sz w:val="20"/>
                <w:szCs w:val="20"/>
                <w:color w:val="333333"/>
              </w:rPr>
              <w:t>Form of RSU Agreement under the 2020 Equity</w:t>
            </w:r>
          </w:p>
        </w:tc>
        <w:tc>
          <w:tcPr>
            <w:tcW w:w="72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600" w:type="dxa"/>
            <w:vAlign w:val="bottom"/>
          </w:tcPr>
          <w:p>
            <w:pPr>
              <w:jc w:val="center"/>
              <w:spacing w:after="0"/>
              <w:rPr>
                <w:sz w:val="20"/>
                <w:szCs w:val="20"/>
                <w:color w:val="auto"/>
              </w:rPr>
            </w:pPr>
            <w:r>
              <w:rPr>
                <w:rFonts w:ascii="Arial" w:cs="Arial" w:eastAsia="Arial" w:hAnsi="Arial"/>
                <w:sz w:val="20"/>
                <w:szCs w:val="20"/>
                <w:color w:val="auto"/>
              </w:rPr>
              <w:t>10.8</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9,</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20" w:type="dxa"/>
            <w:vAlign w:val="bottom"/>
            <w:tcBorders>
              <w:top w:val="single" w:sz="8" w:color="333333"/>
            </w:tcBorders>
            <w:gridSpan w:val="12"/>
          </w:tcPr>
          <w:p>
            <w:pPr>
              <w:spacing w:after="0" w:line="210" w:lineRule="exact"/>
              <w:rPr>
                <w:sz w:val="20"/>
                <w:szCs w:val="20"/>
                <w:color w:val="auto"/>
              </w:rPr>
            </w:pPr>
            <w:r>
              <w:rPr>
                <w:rFonts w:ascii="Arial" w:cs="Arial" w:eastAsia="Arial" w:hAnsi="Arial"/>
                <w:sz w:val="20"/>
                <w:szCs w:val="20"/>
                <w:color w:val="333333"/>
              </w:rPr>
              <w:t>Incentive Plan</w:t>
            </w:r>
          </w:p>
        </w:tc>
        <w:tc>
          <w:tcPr>
            <w:tcW w:w="400" w:type="dxa"/>
            <w:vAlign w:val="bottom"/>
            <w:gridSpan w:val="7"/>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center"/>
              <w:spacing w:after="0" w:line="210" w:lineRule="exact"/>
              <w:rPr>
                <w:sz w:val="20"/>
                <w:szCs w:val="20"/>
                <w:color w:val="auto"/>
              </w:rPr>
            </w:pPr>
            <w:r>
              <w:rPr>
                <w:rFonts w:ascii="Arial" w:cs="Arial" w:eastAsia="Arial" w:hAnsi="Arial"/>
                <w:sz w:val="20"/>
                <w:szCs w:val="20"/>
                <w:color w:val="auto"/>
                <w:w w:val="98"/>
              </w:rPr>
              <w:t>248428</w:t>
            </w:r>
          </w:p>
        </w:tc>
        <w:tc>
          <w:tcPr>
            <w:tcW w:w="600" w:type="dxa"/>
            <w:vAlign w:val="bottom"/>
          </w:tcPr>
          <w:p>
            <w:pPr>
              <w:spacing w:after="0"/>
              <w:rPr>
                <w:sz w:val="18"/>
                <w:szCs w:val="18"/>
                <w:color w:val="auto"/>
              </w:rPr>
            </w:pPr>
          </w:p>
        </w:tc>
        <w:tc>
          <w:tcPr>
            <w:tcW w:w="1420" w:type="dxa"/>
            <w:vAlign w:val="bottom"/>
          </w:tcPr>
          <w:p>
            <w:pPr>
              <w:jc w:val="center"/>
              <w:spacing w:after="0" w:line="210" w:lineRule="exact"/>
              <w:rPr>
                <w:sz w:val="20"/>
                <w:szCs w:val="20"/>
                <w:color w:val="auto"/>
              </w:rPr>
            </w:pPr>
            <w:r>
              <w:rPr>
                <w:rFonts w:ascii="Arial" w:cs="Arial" w:eastAsia="Arial" w:hAnsi="Arial"/>
                <w:sz w:val="20"/>
                <w:szCs w:val="20"/>
                <w:color w:val="auto"/>
                <w:w w:val="98"/>
              </w:rPr>
              <w:t>2020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333333"/>
          </w:tcPr>
          <w:p>
            <w:pPr>
              <w:spacing w:after="0" w:line="20" w:lineRule="exact"/>
              <w:rPr>
                <w:sz w:val="1"/>
                <w:szCs w:val="1"/>
                <w:color w:val="auto"/>
              </w:rPr>
            </w:pPr>
          </w:p>
        </w:tc>
        <w:tc>
          <w:tcPr>
            <w:tcW w:w="340" w:type="dxa"/>
            <w:vAlign w:val="bottom"/>
            <w:shd w:val="clear" w:color="auto" w:fill="33333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3519170</wp:posOffset>
                </wp:positionH>
                <wp:positionV relativeFrom="paragraph">
                  <wp:posOffset>-4770120</wp:posOffset>
                </wp:positionV>
                <wp:extent cx="242379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23795" cy="4763"/>
                        </a:xfrm>
                        <a:prstGeom prst="line">
                          <a:avLst/>
                        </a:prstGeom>
                        <a:solidFill>
                          <a:srgbClr val="FFFFFF"/>
                        </a:solidFill>
                        <a:ln w="3822">
                          <a:solidFill>
                            <a:srgbClr val="FFFFFF"/>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1pt,-375.5999pt" to="467.95pt,-375.5999pt" o:allowincell="f" strokecolor="#FFFFFF" strokeweight="0.3009pt"/>
            </w:pict>
          </mc:Fallback>
        </mc:AlternateConten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161</w:t>
      </w:r>
    </w:p>
    <w:p>
      <w:pPr>
        <w:sectPr>
          <w:pgSz w:w="11880" w:h="15474" w:orient="portrait"/>
          <w:cols w:equalWidth="0" w:num="1">
            <w:col w:w="9360"/>
          </w:cols>
          <w:pgMar w:left="1240" w:top="1251" w:right="1274" w:bottom="0" w:gutter="0" w:footer="0" w:header="0"/>
          <w:type w:val="continuous"/>
        </w:sectPr>
      </w:pPr>
    </w:p>
    <w:bookmarkStart w:id="167" w:name="page168"/>
    <w:bookmarkEnd w:id="167"/>
    <w:tbl>
      <w:tblPr>
        <w:tblLayout w:type="fixed"/>
        <w:tblInd w:w="0" w:type="dxa"/>
        <w:tblCellMar>
          <w:top w:w="0" w:type="dxa"/>
          <w:left w:w="0" w:type="dxa"/>
          <w:bottom w:w="0" w:type="dxa"/>
          <w:right w:w="0" w:type="dxa"/>
        </w:tblCellMar>
      </w:tblPr>
      <w:tr>
        <w:trPr>
          <w:trHeight w:val="230"/>
        </w:trPr>
        <w:tc>
          <w:tcPr>
            <w:tcW w:w="920" w:type="dxa"/>
            <w:vAlign w:val="bottom"/>
          </w:tcPr>
          <w:p>
            <w:pPr>
              <w:ind w:left="60"/>
              <w:spacing w:after="0"/>
              <w:rPr>
                <w:sz w:val="20"/>
                <w:szCs w:val="20"/>
                <w:color w:val="auto"/>
              </w:rPr>
            </w:pPr>
            <w:r>
              <w:rPr>
                <w:rFonts w:ascii="Arial" w:cs="Arial" w:eastAsia="Arial" w:hAnsi="Arial"/>
                <w:sz w:val="20"/>
                <w:szCs w:val="20"/>
                <w:color w:val="auto"/>
              </w:rPr>
              <w:t>10.7</w:t>
            </w:r>
            <w:r>
              <w:rPr>
                <w:rFonts w:ascii="Arial" w:cs="Arial" w:eastAsia="Arial" w:hAnsi="Arial"/>
                <w:sz w:val="15"/>
                <w:szCs w:val="15"/>
                <w:color w:val="auto"/>
              </w:rPr>
              <w:t>†</w:t>
            </w:r>
          </w:p>
        </w:tc>
        <w:tc>
          <w:tcPr>
            <w:tcW w:w="3940" w:type="dxa"/>
            <w:vAlign w:val="bottom"/>
            <w:tcBorders>
              <w:bottom w:val="single" w:sz="8" w:color="333333"/>
            </w:tcBorders>
            <w:gridSpan w:val="10"/>
          </w:tcPr>
          <w:p>
            <w:pPr>
              <w:spacing w:after="0"/>
              <w:rPr>
                <w:sz w:val="20"/>
                <w:szCs w:val="20"/>
                <w:color w:val="auto"/>
              </w:rPr>
            </w:pPr>
            <w:r>
              <w:rPr>
                <w:rFonts w:ascii="Arial" w:cs="Arial" w:eastAsia="Arial" w:hAnsi="Arial"/>
                <w:sz w:val="20"/>
                <w:szCs w:val="20"/>
                <w:color w:val="333333"/>
              </w:rPr>
              <w:t>Amended and Restated Standard Exclusive</w:t>
            </w:r>
          </w:p>
        </w:tc>
        <w:tc>
          <w:tcPr>
            <w:tcW w:w="740" w:type="dxa"/>
            <w:vAlign w:val="bottom"/>
            <w:gridSpan w:val="19"/>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20"/>
                <w:szCs w:val="20"/>
                <w:color w:val="auto"/>
              </w:rPr>
              <w:t>S-1</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580" w:type="dxa"/>
            <w:vAlign w:val="bottom"/>
          </w:tcPr>
          <w:p>
            <w:pPr>
              <w:jc w:val="center"/>
              <w:spacing w:after="0"/>
              <w:rPr>
                <w:sz w:val="20"/>
                <w:szCs w:val="20"/>
                <w:color w:val="auto"/>
              </w:rPr>
            </w:pPr>
            <w:r>
              <w:rPr>
                <w:rFonts w:ascii="Arial" w:cs="Arial" w:eastAsia="Arial" w:hAnsi="Arial"/>
                <w:sz w:val="20"/>
                <w:szCs w:val="20"/>
                <w:color w:val="auto"/>
              </w:rPr>
              <w:t>10.9</w:t>
            </w:r>
          </w:p>
        </w:tc>
        <w:tc>
          <w:tcPr>
            <w:tcW w:w="1420" w:type="dxa"/>
            <w:vAlign w:val="bottom"/>
          </w:tcPr>
          <w:p>
            <w:pPr>
              <w:jc w:val="center"/>
              <w:spacing w:after="0"/>
              <w:rPr>
                <w:sz w:val="20"/>
                <w:szCs w:val="20"/>
                <w:color w:val="auto"/>
              </w:rPr>
            </w:pPr>
            <w:r>
              <w:rPr>
                <w:rFonts w:ascii="Arial" w:cs="Arial" w:eastAsia="Arial" w:hAnsi="Arial"/>
                <w:sz w:val="20"/>
                <w:szCs w:val="20"/>
                <w:color w:val="auto"/>
              </w:rPr>
              <w:t>August 26,</w:t>
            </w:r>
          </w:p>
        </w:tc>
      </w:tr>
      <w:tr>
        <w:trPr>
          <w:trHeight w:val="210"/>
        </w:trPr>
        <w:tc>
          <w:tcPr>
            <w:tcW w:w="920" w:type="dxa"/>
            <w:vAlign w:val="bottom"/>
          </w:tcPr>
          <w:p>
            <w:pPr>
              <w:spacing w:after="0"/>
              <w:rPr>
                <w:sz w:val="18"/>
                <w:szCs w:val="18"/>
                <w:color w:val="auto"/>
              </w:rPr>
            </w:pPr>
          </w:p>
        </w:tc>
        <w:tc>
          <w:tcPr>
            <w:tcW w:w="4680" w:type="dxa"/>
            <w:vAlign w:val="bottom"/>
            <w:gridSpan w:val="29"/>
          </w:tcPr>
          <w:p>
            <w:pPr>
              <w:spacing w:after="0" w:line="210" w:lineRule="exact"/>
              <w:rPr>
                <w:sz w:val="20"/>
                <w:szCs w:val="20"/>
                <w:color w:val="auto"/>
              </w:rPr>
            </w:pPr>
            <w:r>
              <w:rPr>
                <w:rFonts w:ascii="Arial" w:cs="Arial" w:eastAsia="Arial" w:hAnsi="Arial"/>
                <w:sz w:val="20"/>
                <w:szCs w:val="20"/>
                <w:color w:val="333333"/>
              </w:rPr>
              <w:t>Licensing Agreement with Sublicensing Terms,</w:t>
            </w:r>
          </w:p>
        </w:tc>
        <w:tc>
          <w:tcPr>
            <w:tcW w:w="660" w:type="dxa"/>
            <w:vAlign w:val="bottom"/>
          </w:tcPr>
          <w:p>
            <w:pPr>
              <w:spacing w:after="0"/>
              <w:rPr>
                <w:sz w:val="18"/>
                <w:szCs w:val="18"/>
                <w:color w:val="auto"/>
              </w:rPr>
            </w:pPr>
          </w:p>
        </w:tc>
        <w:tc>
          <w:tcPr>
            <w:tcW w:w="1080" w:type="dxa"/>
            <w:vAlign w:val="bottom"/>
          </w:tcPr>
          <w:p>
            <w:pPr>
              <w:jc w:val="center"/>
              <w:spacing w:after="0" w:line="210" w:lineRule="exact"/>
              <w:rPr>
                <w:sz w:val="20"/>
                <w:szCs w:val="20"/>
                <w:color w:val="auto"/>
              </w:rPr>
            </w:pPr>
            <w:r>
              <w:rPr>
                <w:rFonts w:ascii="Arial" w:cs="Arial" w:eastAsia="Arial" w:hAnsi="Arial"/>
                <w:sz w:val="20"/>
                <w:szCs w:val="20"/>
                <w:color w:val="auto"/>
                <w:w w:val="98"/>
              </w:rPr>
              <w:t>248428</w:t>
            </w:r>
          </w:p>
        </w:tc>
        <w:tc>
          <w:tcPr>
            <w:tcW w:w="580" w:type="dxa"/>
            <w:vAlign w:val="bottom"/>
          </w:tcPr>
          <w:p>
            <w:pPr>
              <w:spacing w:after="0"/>
              <w:rPr>
                <w:sz w:val="18"/>
                <w:szCs w:val="18"/>
                <w:color w:val="auto"/>
              </w:rPr>
            </w:pPr>
          </w:p>
        </w:tc>
        <w:tc>
          <w:tcPr>
            <w:tcW w:w="1420" w:type="dxa"/>
            <w:vAlign w:val="bottom"/>
          </w:tcPr>
          <w:p>
            <w:pPr>
              <w:jc w:val="center"/>
              <w:spacing w:after="0" w:line="210" w:lineRule="exact"/>
              <w:rPr>
                <w:sz w:val="20"/>
                <w:szCs w:val="20"/>
                <w:color w:val="auto"/>
              </w:rPr>
            </w:pPr>
            <w:r>
              <w:rPr>
                <w:rFonts w:ascii="Arial" w:cs="Arial" w:eastAsia="Arial" w:hAnsi="Arial"/>
                <w:sz w:val="20"/>
                <w:szCs w:val="20"/>
                <w:color w:val="auto"/>
                <w:w w:val="98"/>
              </w:rPr>
              <w:t>2020</w:t>
            </w:r>
          </w:p>
        </w:tc>
      </w:tr>
      <w:tr>
        <w:trPr>
          <w:trHeight w:val="210"/>
        </w:trPr>
        <w:tc>
          <w:tcPr>
            <w:tcW w:w="920" w:type="dxa"/>
            <w:vAlign w:val="bottom"/>
          </w:tcPr>
          <w:p>
            <w:pPr>
              <w:spacing w:after="0"/>
              <w:rPr>
                <w:sz w:val="18"/>
                <w:szCs w:val="18"/>
                <w:color w:val="auto"/>
              </w:rPr>
            </w:pPr>
          </w:p>
        </w:tc>
        <w:tc>
          <w:tcPr>
            <w:tcW w:w="4180" w:type="dxa"/>
            <w:vAlign w:val="bottom"/>
            <w:tcBorders>
              <w:top w:val="single" w:sz="8" w:color="333333"/>
            </w:tcBorders>
            <w:gridSpan w:val="19"/>
          </w:tcPr>
          <w:p>
            <w:pPr>
              <w:spacing w:after="0" w:line="210" w:lineRule="exact"/>
              <w:rPr>
                <w:sz w:val="20"/>
                <w:szCs w:val="20"/>
                <w:color w:val="auto"/>
              </w:rPr>
            </w:pPr>
            <w:r>
              <w:rPr>
                <w:rFonts w:ascii="Arial" w:cs="Arial" w:eastAsia="Arial" w:hAnsi="Arial"/>
                <w:sz w:val="20"/>
                <w:szCs w:val="20"/>
                <w:color w:val="333333"/>
              </w:rPr>
              <w:t>dated October 28, 2015, by and between the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9"/>
        </w:trPr>
        <w:tc>
          <w:tcPr>
            <w:tcW w:w="920" w:type="dxa"/>
            <w:vAlign w:val="bottom"/>
          </w:tcPr>
          <w:p>
            <w:pPr>
              <w:spacing w:after="0"/>
              <w:rPr>
                <w:sz w:val="18"/>
                <w:szCs w:val="18"/>
                <w:color w:val="auto"/>
              </w:rPr>
            </w:pPr>
          </w:p>
        </w:tc>
        <w:tc>
          <w:tcPr>
            <w:tcW w:w="3980" w:type="dxa"/>
            <w:vAlign w:val="bottom"/>
            <w:tcBorders>
              <w:top w:val="single" w:sz="8" w:color="333333"/>
            </w:tcBorders>
            <w:gridSpan w:val="12"/>
          </w:tcPr>
          <w:p>
            <w:pPr>
              <w:spacing w:after="0" w:line="209" w:lineRule="exact"/>
              <w:rPr>
                <w:sz w:val="20"/>
                <w:szCs w:val="20"/>
                <w:color w:val="auto"/>
              </w:rPr>
            </w:pPr>
            <w:r>
              <w:rPr>
                <w:rFonts w:ascii="Arial" w:cs="Arial" w:eastAsia="Arial" w:hAnsi="Arial"/>
                <w:sz w:val="20"/>
                <w:szCs w:val="20"/>
                <w:color w:val="333333"/>
              </w:rPr>
              <w:t>Registrant and Washington State University,</w:t>
            </w:r>
          </w:p>
        </w:tc>
        <w:tc>
          <w:tcPr>
            <w:tcW w:w="700" w:type="dxa"/>
            <w:vAlign w:val="bottom"/>
            <w:gridSpan w:val="17"/>
          </w:tcPr>
          <w:p>
            <w:pPr>
              <w:spacing w:after="0" w:line="209" w:lineRule="exact"/>
              <w:rPr>
                <w:sz w:val="20"/>
                <w:szCs w:val="20"/>
                <w:color w:val="auto"/>
              </w:rPr>
            </w:pPr>
            <w:r>
              <w:rPr>
                <w:rFonts w:ascii="Arial" w:cs="Arial" w:eastAsia="Arial" w:hAnsi="Arial"/>
                <w:sz w:val="20"/>
                <w:szCs w:val="20"/>
                <w:color w:val="333333"/>
              </w:rPr>
              <w:t>and</w:t>
            </w: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1860" w:type="dxa"/>
            <w:vAlign w:val="bottom"/>
            <w:tcBorders>
              <w:top w:val="single" w:sz="8" w:color="333333"/>
              <w:bottom w:val="single" w:sz="8" w:color="333333"/>
            </w:tcBorders>
            <w:gridSpan w:val="3"/>
          </w:tcPr>
          <w:p>
            <w:pPr>
              <w:spacing w:after="0" w:line="210" w:lineRule="exact"/>
              <w:rPr>
                <w:sz w:val="20"/>
                <w:szCs w:val="20"/>
                <w:color w:val="auto"/>
              </w:rPr>
            </w:pPr>
            <w:r>
              <w:rPr>
                <w:rFonts w:ascii="Arial" w:cs="Arial" w:eastAsia="Arial" w:hAnsi="Arial"/>
                <w:sz w:val="20"/>
                <w:szCs w:val="20"/>
                <w:color w:val="333333"/>
              </w:rPr>
              <w:t>amendments thereto</w:t>
            </w:r>
          </w:p>
        </w:tc>
        <w:tc>
          <w:tcPr>
            <w:tcW w:w="2460" w:type="dxa"/>
            <w:vAlign w:val="bottom"/>
            <w:tcBorders>
              <w:top w:val="single" w:sz="8" w:color="333333"/>
            </w:tcBorders>
            <w:gridSpan w:val="19"/>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98"/>
        </w:trPr>
        <w:tc>
          <w:tcPr>
            <w:tcW w:w="920" w:type="dxa"/>
            <w:vAlign w:val="bottom"/>
          </w:tcPr>
          <w:p>
            <w:pPr>
              <w:ind w:left="60"/>
              <w:spacing w:after="0"/>
              <w:rPr>
                <w:sz w:val="20"/>
                <w:szCs w:val="20"/>
                <w:color w:val="auto"/>
              </w:rPr>
            </w:pPr>
            <w:r>
              <w:rPr>
                <w:rFonts w:ascii="Arial" w:cs="Arial" w:eastAsia="Arial" w:hAnsi="Arial"/>
                <w:sz w:val="20"/>
                <w:szCs w:val="20"/>
                <w:color w:val="auto"/>
              </w:rPr>
              <w:t>10.8**</w:t>
            </w:r>
          </w:p>
        </w:tc>
        <w:tc>
          <w:tcPr>
            <w:tcW w:w="4680" w:type="dxa"/>
            <w:vAlign w:val="bottom"/>
            <w:gridSpan w:val="29"/>
          </w:tcPr>
          <w:p>
            <w:pPr>
              <w:spacing w:after="0"/>
              <w:rPr>
                <w:sz w:val="20"/>
                <w:szCs w:val="20"/>
                <w:color w:val="auto"/>
              </w:rPr>
            </w:pPr>
            <w:r>
              <w:rPr>
                <w:rFonts w:ascii="Arial" w:cs="Arial" w:eastAsia="Arial" w:hAnsi="Arial"/>
                <w:sz w:val="20"/>
                <w:szCs w:val="20"/>
                <w:color w:val="333333"/>
              </w:rPr>
              <w:t>2020 Employee Stock Purchase Plan, as amended</w:t>
            </w:r>
          </w:p>
        </w:tc>
        <w:tc>
          <w:tcPr>
            <w:tcW w:w="660" w:type="dxa"/>
            <w:vAlign w:val="bottom"/>
          </w:tcPr>
          <w:p>
            <w:pPr>
              <w:jc w:val="center"/>
              <w:spacing w:after="0"/>
              <w:rPr>
                <w:sz w:val="20"/>
                <w:szCs w:val="20"/>
                <w:color w:val="auto"/>
              </w:rPr>
            </w:pPr>
            <w:r>
              <w:rPr>
                <w:rFonts w:ascii="Arial" w:cs="Arial" w:eastAsia="Arial" w:hAnsi="Arial"/>
                <w:sz w:val="20"/>
                <w:szCs w:val="20"/>
                <w:color w:val="auto"/>
                <w:w w:val="87"/>
              </w:rPr>
              <w:t>10 -K</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10.8</w:t>
            </w:r>
          </w:p>
        </w:tc>
        <w:tc>
          <w:tcPr>
            <w:tcW w:w="1420" w:type="dxa"/>
            <w:vAlign w:val="bottom"/>
          </w:tcPr>
          <w:p>
            <w:pPr>
              <w:jc w:val="center"/>
              <w:spacing w:after="0"/>
              <w:rPr>
                <w:sz w:val="20"/>
                <w:szCs w:val="20"/>
                <w:color w:val="auto"/>
              </w:rPr>
            </w:pPr>
            <w:r>
              <w:rPr>
                <w:rFonts w:ascii="Arial" w:cs="Arial" w:eastAsia="Arial" w:hAnsi="Arial"/>
                <w:sz w:val="20"/>
                <w:szCs w:val="20"/>
                <w:color w:val="auto"/>
              </w:rPr>
              <w:t>March 23, 2023</w:t>
            </w:r>
          </w:p>
        </w:tc>
      </w:tr>
      <w:tr>
        <w:trPr>
          <w:trHeight w:val="210"/>
        </w:trPr>
        <w:tc>
          <w:tcPr>
            <w:tcW w:w="920" w:type="dxa"/>
            <w:vAlign w:val="bottom"/>
          </w:tcPr>
          <w:p>
            <w:pPr>
              <w:spacing w:after="0"/>
              <w:rPr>
                <w:sz w:val="18"/>
                <w:szCs w:val="18"/>
                <w:color w:val="auto"/>
              </w:rPr>
            </w:pPr>
          </w:p>
        </w:tc>
        <w:tc>
          <w:tcPr>
            <w:tcW w:w="4520" w:type="dxa"/>
            <w:vAlign w:val="bottom"/>
            <w:tcBorders>
              <w:top w:val="single" w:sz="8" w:color="333333"/>
            </w:tcBorders>
            <w:gridSpan w:val="27"/>
          </w:tcPr>
          <w:p>
            <w:pPr>
              <w:spacing w:after="0" w:line="210" w:lineRule="exact"/>
              <w:rPr>
                <w:sz w:val="20"/>
                <w:szCs w:val="20"/>
                <w:color w:val="auto"/>
              </w:rPr>
            </w:pPr>
            <w:r>
              <w:rPr>
                <w:rFonts w:ascii="Arial" w:cs="Arial" w:eastAsia="Arial" w:hAnsi="Arial"/>
                <w:sz w:val="20"/>
                <w:szCs w:val="20"/>
                <w:color w:val="333333"/>
              </w:rPr>
              <w:t>and Form of Subscription Agreement Thereunder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98"/>
        </w:trPr>
        <w:tc>
          <w:tcPr>
            <w:tcW w:w="920" w:type="dxa"/>
            <w:vAlign w:val="bottom"/>
          </w:tcPr>
          <w:p>
            <w:pPr>
              <w:ind w:left="60"/>
              <w:spacing w:after="0"/>
              <w:rPr>
                <w:sz w:val="20"/>
                <w:szCs w:val="20"/>
                <w:color w:val="auto"/>
              </w:rPr>
            </w:pPr>
            <w:r>
              <w:rPr>
                <w:rFonts w:ascii="Arial" w:cs="Arial" w:eastAsia="Arial" w:hAnsi="Arial"/>
                <w:sz w:val="20"/>
                <w:szCs w:val="20"/>
                <w:color w:val="auto"/>
              </w:rPr>
              <w:t>10.9</w:t>
            </w:r>
          </w:p>
        </w:tc>
        <w:tc>
          <w:tcPr>
            <w:tcW w:w="4140" w:type="dxa"/>
            <w:vAlign w:val="bottom"/>
            <w:tcBorders>
              <w:top w:val="single" w:sz="8" w:color="333333"/>
              <w:bottom w:val="single" w:sz="8" w:color="333333"/>
            </w:tcBorders>
            <w:gridSpan w:val="17"/>
          </w:tcPr>
          <w:p>
            <w:pPr>
              <w:spacing w:after="0"/>
              <w:rPr>
                <w:sz w:val="20"/>
                <w:szCs w:val="20"/>
                <w:color w:val="auto"/>
              </w:rPr>
            </w:pPr>
            <w:r>
              <w:rPr>
                <w:rFonts w:ascii="Arial" w:cs="Arial" w:eastAsia="Arial" w:hAnsi="Arial"/>
                <w:sz w:val="20"/>
                <w:szCs w:val="20"/>
                <w:color w:val="333333"/>
                <w:w w:val="99"/>
              </w:rPr>
              <w:t>Lease agreement, dated July 20, 2020, by and</w:t>
            </w:r>
          </w:p>
        </w:tc>
        <w:tc>
          <w:tcPr>
            <w:tcW w:w="220" w:type="dxa"/>
            <w:vAlign w:val="bottom"/>
            <w:tcBorders>
              <w:top w:val="single" w:sz="8" w:color="333333"/>
            </w:tcBorders>
            <w:gridSpan w:val="6"/>
          </w:tcPr>
          <w:p>
            <w:pPr>
              <w:spacing w:after="0"/>
              <w:rPr>
                <w:sz w:val="24"/>
                <w:szCs w:val="24"/>
                <w:color w:val="auto"/>
              </w:rPr>
            </w:pPr>
          </w:p>
        </w:tc>
        <w:tc>
          <w:tcPr>
            <w:tcW w:w="320" w:type="dxa"/>
            <w:vAlign w:val="bottom"/>
            <w:gridSpan w:val="6"/>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580" w:type="dxa"/>
            <w:vAlign w:val="bottom"/>
          </w:tcPr>
          <w:p>
            <w:pPr>
              <w:jc w:val="center"/>
              <w:spacing w:after="0"/>
              <w:rPr>
                <w:sz w:val="20"/>
                <w:szCs w:val="20"/>
                <w:color w:val="auto"/>
              </w:rPr>
            </w:pPr>
            <w:r>
              <w:rPr>
                <w:rFonts w:ascii="Arial" w:cs="Arial" w:eastAsia="Arial" w:hAnsi="Arial"/>
                <w:sz w:val="20"/>
                <w:szCs w:val="20"/>
                <w:color w:val="auto"/>
                <w:w w:val="99"/>
              </w:rPr>
              <w:t>10.11</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9,</w:t>
            </w:r>
          </w:p>
        </w:tc>
      </w:tr>
      <w:tr>
        <w:trPr>
          <w:trHeight w:val="210"/>
        </w:trPr>
        <w:tc>
          <w:tcPr>
            <w:tcW w:w="920" w:type="dxa"/>
            <w:vAlign w:val="bottom"/>
          </w:tcPr>
          <w:p>
            <w:pPr>
              <w:spacing w:after="0"/>
              <w:rPr>
                <w:sz w:val="18"/>
                <w:szCs w:val="18"/>
                <w:color w:val="auto"/>
              </w:rPr>
            </w:pPr>
          </w:p>
        </w:tc>
        <w:tc>
          <w:tcPr>
            <w:tcW w:w="4680" w:type="dxa"/>
            <w:vAlign w:val="bottom"/>
            <w:gridSpan w:val="29"/>
          </w:tcPr>
          <w:p>
            <w:pPr>
              <w:spacing w:after="0" w:line="210" w:lineRule="exact"/>
              <w:rPr>
                <w:sz w:val="20"/>
                <w:szCs w:val="20"/>
                <w:color w:val="auto"/>
              </w:rPr>
            </w:pPr>
            <w:r>
              <w:rPr>
                <w:rFonts w:ascii="Arial" w:cs="Arial" w:eastAsia="Arial" w:hAnsi="Arial"/>
                <w:sz w:val="20"/>
                <w:szCs w:val="20"/>
                <w:color w:val="333333"/>
              </w:rPr>
              <w:t>between the Registrant and North Creek Parkway</w:t>
            </w:r>
          </w:p>
        </w:tc>
        <w:tc>
          <w:tcPr>
            <w:tcW w:w="660" w:type="dxa"/>
            <w:vAlign w:val="bottom"/>
          </w:tcPr>
          <w:p>
            <w:pPr>
              <w:spacing w:after="0"/>
              <w:rPr>
                <w:sz w:val="18"/>
                <w:szCs w:val="18"/>
                <w:color w:val="auto"/>
              </w:rPr>
            </w:pPr>
          </w:p>
        </w:tc>
        <w:tc>
          <w:tcPr>
            <w:tcW w:w="1080" w:type="dxa"/>
            <w:vAlign w:val="bottom"/>
          </w:tcPr>
          <w:p>
            <w:pPr>
              <w:jc w:val="center"/>
              <w:spacing w:after="0" w:line="210" w:lineRule="exact"/>
              <w:rPr>
                <w:sz w:val="20"/>
                <w:szCs w:val="20"/>
                <w:color w:val="auto"/>
              </w:rPr>
            </w:pPr>
            <w:r>
              <w:rPr>
                <w:rFonts w:ascii="Arial" w:cs="Arial" w:eastAsia="Arial" w:hAnsi="Arial"/>
                <w:sz w:val="20"/>
                <w:szCs w:val="20"/>
                <w:color w:val="auto"/>
                <w:w w:val="98"/>
              </w:rPr>
              <w:t>248428</w:t>
            </w:r>
          </w:p>
        </w:tc>
        <w:tc>
          <w:tcPr>
            <w:tcW w:w="580" w:type="dxa"/>
            <w:vAlign w:val="bottom"/>
          </w:tcPr>
          <w:p>
            <w:pPr>
              <w:spacing w:after="0"/>
              <w:rPr>
                <w:sz w:val="18"/>
                <w:szCs w:val="18"/>
                <w:color w:val="auto"/>
              </w:rPr>
            </w:pPr>
          </w:p>
        </w:tc>
        <w:tc>
          <w:tcPr>
            <w:tcW w:w="1420" w:type="dxa"/>
            <w:vAlign w:val="bottom"/>
          </w:tcPr>
          <w:p>
            <w:pPr>
              <w:jc w:val="center"/>
              <w:spacing w:after="0" w:line="210" w:lineRule="exact"/>
              <w:rPr>
                <w:sz w:val="20"/>
                <w:szCs w:val="20"/>
                <w:color w:val="auto"/>
              </w:rPr>
            </w:pPr>
            <w:r>
              <w:rPr>
                <w:rFonts w:ascii="Arial" w:cs="Arial" w:eastAsia="Arial" w:hAnsi="Arial"/>
                <w:sz w:val="20"/>
                <w:szCs w:val="20"/>
                <w:color w:val="auto"/>
                <w:w w:val="98"/>
              </w:rPr>
              <w:t>2020</w:t>
            </w:r>
          </w:p>
        </w:tc>
      </w:tr>
      <w:tr>
        <w:trPr>
          <w:trHeight w:val="209"/>
        </w:trPr>
        <w:tc>
          <w:tcPr>
            <w:tcW w:w="920" w:type="dxa"/>
            <w:vAlign w:val="bottom"/>
          </w:tcPr>
          <w:p>
            <w:pPr>
              <w:spacing w:after="0"/>
              <w:rPr>
                <w:sz w:val="18"/>
                <w:szCs w:val="18"/>
                <w:color w:val="auto"/>
              </w:rPr>
            </w:pPr>
          </w:p>
        </w:tc>
        <w:tc>
          <w:tcPr>
            <w:tcW w:w="1840" w:type="dxa"/>
            <w:vAlign w:val="bottom"/>
            <w:tcBorders>
              <w:top w:val="single" w:sz="8" w:color="333333"/>
              <w:bottom w:val="single" w:sz="8" w:color="333333"/>
            </w:tcBorders>
            <w:gridSpan w:val="2"/>
          </w:tcPr>
          <w:p>
            <w:pPr>
              <w:spacing w:after="0" w:line="209" w:lineRule="exact"/>
              <w:rPr>
                <w:sz w:val="20"/>
                <w:szCs w:val="20"/>
                <w:color w:val="auto"/>
              </w:rPr>
            </w:pPr>
            <w:r>
              <w:rPr>
                <w:rFonts w:ascii="Arial" w:cs="Arial" w:eastAsia="Arial" w:hAnsi="Arial"/>
                <w:sz w:val="20"/>
                <w:szCs w:val="20"/>
                <w:color w:val="333333"/>
                <w:w w:val="99"/>
              </w:rPr>
              <w:t>Center Investors, LP</w:t>
            </w:r>
          </w:p>
        </w:tc>
        <w:tc>
          <w:tcPr>
            <w:tcW w:w="2580" w:type="dxa"/>
            <w:vAlign w:val="bottom"/>
            <w:tcBorders>
              <w:top w:val="single" w:sz="8" w:color="333333"/>
            </w:tcBorders>
            <w:gridSpan w:val="23"/>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99"/>
        </w:trPr>
        <w:tc>
          <w:tcPr>
            <w:tcW w:w="920" w:type="dxa"/>
            <w:vAlign w:val="bottom"/>
          </w:tcPr>
          <w:p>
            <w:pPr>
              <w:ind w:left="60"/>
              <w:spacing w:after="0"/>
              <w:rPr>
                <w:sz w:val="20"/>
                <w:szCs w:val="20"/>
                <w:color w:val="auto"/>
              </w:rPr>
            </w:pPr>
            <w:r>
              <w:rPr>
                <w:rFonts w:ascii="Arial" w:cs="Arial" w:eastAsia="Arial" w:hAnsi="Arial"/>
                <w:sz w:val="20"/>
                <w:szCs w:val="20"/>
                <w:color w:val="auto"/>
              </w:rPr>
              <w:t>10.10**</w:t>
            </w:r>
          </w:p>
        </w:tc>
        <w:tc>
          <w:tcPr>
            <w:tcW w:w="4600" w:type="dxa"/>
            <w:vAlign w:val="bottom"/>
            <w:tcBorders>
              <w:bottom w:val="single" w:sz="8" w:color="333333"/>
            </w:tcBorders>
            <w:gridSpan w:val="28"/>
          </w:tcPr>
          <w:p>
            <w:pPr>
              <w:spacing w:after="0"/>
              <w:rPr>
                <w:sz w:val="20"/>
                <w:szCs w:val="20"/>
                <w:color w:val="auto"/>
              </w:rPr>
            </w:pPr>
            <w:r>
              <w:rPr>
                <w:rFonts w:ascii="Arial" w:cs="Arial" w:eastAsia="Arial" w:hAnsi="Arial"/>
                <w:sz w:val="20"/>
                <w:szCs w:val="20"/>
                <w:color w:val="333333"/>
                <w:w w:val="99"/>
              </w:rPr>
              <w:t>Outside Director Compensation Policy, as amended</w:t>
            </w:r>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20"/>
                <w:szCs w:val="20"/>
                <w:color w:val="auto"/>
                <w:w w:val="87"/>
              </w:rPr>
              <w:t>10 -K</w:t>
            </w:r>
          </w:p>
        </w:tc>
        <w:tc>
          <w:tcPr>
            <w:tcW w:w="3080" w:type="dxa"/>
            <w:vAlign w:val="bottom"/>
            <w:gridSpan w:val="3"/>
          </w:tcPr>
          <w:p>
            <w:pPr>
              <w:ind w:left="100"/>
              <w:spacing w:after="0"/>
              <w:rPr>
                <w:sz w:val="20"/>
                <w:szCs w:val="20"/>
                <w:color w:val="auto"/>
              </w:rPr>
            </w:pPr>
            <w:r>
              <w:rPr>
                <w:rFonts w:ascii="Arial" w:cs="Arial" w:eastAsia="Arial" w:hAnsi="Arial"/>
                <w:sz w:val="20"/>
                <w:szCs w:val="20"/>
                <w:color w:val="auto"/>
              </w:rPr>
              <w:t>001-39503 10.10 March 23, 2023</w:t>
            </w:r>
          </w:p>
        </w:tc>
      </w:tr>
      <w:tr>
        <w:trPr>
          <w:trHeight w:val="398"/>
        </w:trPr>
        <w:tc>
          <w:tcPr>
            <w:tcW w:w="920" w:type="dxa"/>
            <w:vAlign w:val="bottom"/>
          </w:tcPr>
          <w:p>
            <w:pPr>
              <w:ind w:left="60"/>
              <w:spacing w:after="0"/>
              <w:rPr>
                <w:sz w:val="20"/>
                <w:szCs w:val="20"/>
                <w:color w:val="auto"/>
              </w:rPr>
            </w:pPr>
            <w:r>
              <w:rPr>
                <w:rFonts w:ascii="Arial" w:cs="Arial" w:eastAsia="Arial" w:hAnsi="Arial"/>
                <w:sz w:val="20"/>
                <w:szCs w:val="20"/>
                <w:color w:val="auto"/>
              </w:rPr>
              <w:t>10.11**</w:t>
            </w:r>
          </w:p>
        </w:tc>
        <w:tc>
          <w:tcPr>
            <w:tcW w:w="4680" w:type="dxa"/>
            <w:vAlign w:val="bottom"/>
            <w:gridSpan w:val="29"/>
          </w:tcPr>
          <w:p>
            <w:pPr>
              <w:spacing w:after="0"/>
              <w:rPr>
                <w:sz w:val="20"/>
                <w:szCs w:val="20"/>
                <w:color w:val="auto"/>
              </w:rPr>
            </w:pPr>
            <w:r>
              <w:rPr>
                <w:rFonts w:ascii="Arial" w:cs="Arial" w:eastAsia="Arial" w:hAnsi="Arial"/>
                <w:sz w:val="20"/>
                <w:szCs w:val="20"/>
                <w:color w:val="333333"/>
              </w:rPr>
              <w:t>Executive Incentive Compensation Plan</w:t>
            </w:r>
          </w:p>
        </w:tc>
        <w:tc>
          <w:tcPr>
            <w:tcW w:w="66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580" w:type="dxa"/>
            <w:vAlign w:val="bottom"/>
          </w:tcPr>
          <w:p>
            <w:pPr>
              <w:jc w:val="center"/>
              <w:spacing w:after="0"/>
              <w:rPr>
                <w:sz w:val="20"/>
                <w:szCs w:val="20"/>
                <w:color w:val="auto"/>
              </w:rPr>
            </w:pPr>
            <w:r>
              <w:rPr>
                <w:rFonts w:ascii="Arial" w:cs="Arial" w:eastAsia="Arial" w:hAnsi="Arial"/>
                <w:sz w:val="20"/>
                <w:szCs w:val="20"/>
                <w:color w:val="auto"/>
                <w:w w:val="99"/>
              </w:rPr>
              <w:t>10.13</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9,</w:t>
            </w:r>
          </w:p>
        </w:tc>
      </w:tr>
      <w:tr>
        <w:trPr>
          <w:trHeight w:val="253"/>
        </w:trPr>
        <w:tc>
          <w:tcPr>
            <w:tcW w:w="920" w:type="dxa"/>
            <w:vAlign w:val="bottom"/>
          </w:tcPr>
          <w:p>
            <w:pPr>
              <w:spacing w:after="0"/>
              <w:rPr>
                <w:sz w:val="21"/>
                <w:szCs w:val="21"/>
                <w:color w:val="auto"/>
              </w:rPr>
            </w:pPr>
          </w:p>
        </w:tc>
        <w:tc>
          <w:tcPr>
            <w:tcW w:w="1600" w:type="dxa"/>
            <w:vAlign w:val="bottom"/>
            <w:tcBorders>
              <w:top w:val="single" w:sz="8" w:color="333333"/>
            </w:tcBorders>
          </w:tcPr>
          <w:p>
            <w:pPr>
              <w:spacing w:after="0"/>
              <w:rPr>
                <w:sz w:val="21"/>
                <w:szCs w:val="21"/>
                <w:color w:val="auto"/>
              </w:rPr>
            </w:pPr>
          </w:p>
        </w:tc>
        <w:tc>
          <w:tcPr>
            <w:tcW w:w="240" w:type="dxa"/>
            <w:vAlign w:val="bottom"/>
            <w:tcBorders>
              <w:top w:val="single" w:sz="8" w:color="333333"/>
            </w:tcBorders>
          </w:tcPr>
          <w:p>
            <w:pPr>
              <w:spacing w:after="0"/>
              <w:rPr>
                <w:sz w:val="21"/>
                <w:szCs w:val="21"/>
                <w:color w:val="auto"/>
              </w:rPr>
            </w:pPr>
          </w:p>
        </w:tc>
        <w:tc>
          <w:tcPr>
            <w:tcW w:w="20" w:type="dxa"/>
            <w:vAlign w:val="bottom"/>
            <w:tcBorders>
              <w:top w:val="single" w:sz="8" w:color="333333"/>
            </w:tcBorders>
          </w:tcPr>
          <w:p>
            <w:pPr>
              <w:spacing w:after="0"/>
              <w:rPr>
                <w:sz w:val="21"/>
                <w:szCs w:val="21"/>
                <w:color w:val="auto"/>
              </w:rPr>
            </w:pPr>
          </w:p>
        </w:tc>
        <w:tc>
          <w:tcPr>
            <w:tcW w:w="100" w:type="dxa"/>
            <w:vAlign w:val="bottom"/>
            <w:tcBorders>
              <w:top w:val="single" w:sz="8" w:color="333333"/>
            </w:tcBorders>
          </w:tcPr>
          <w:p>
            <w:pPr>
              <w:spacing w:after="0"/>
              <w:rPr>
                <w:sz w:val="21"/>
                <w:szCs w:val="21"/>
                <w:color w:val="auto"/>
              </w:rPr>
            </w:pPr>
          </w:p>
        </w:tc>
        <w:tc>
          <w:tcPr>
            <w:tcW w:w="20" w:type="dxa"/>
            <w:vAlign w:val="bottom"/>
            <w:tcBorders>
              <w:top w:val="single" w:sz="8" w:color="333333"/>
            </w:tcBorders>
          </w:tcPr>
          <w:p>
            <w:pPr>
              <w:spacing w:after="0"/>
              <w:rPr>
                <w:sz w:val="21"/>
                <w:szCs w:val="21"/>
                <w:color w:val="auto"/>
              </w:rPr>
            </w:pPr>
          </w:p>
        </w:tc>
        <w:tc>
          <w:tcPr>
            <w:tcW w:w="300" w:type="dxa"/>
            <w:vAlign w:val="bottom"/>
            <w:tcBorders>
              <w:top w:val="single" w:sz="8" w:color="333333"/>
            </w:tcBorders>
          </w:tcPr>
          <w:p>
            <w:pPr>
              <w:spacing w:after="0"/>
              <w:rPr>
                <w:sz w:val="21"/>
                <w:szCs w:val="21"/>
                <w:color w:val="auto"/>
              </w:rPr>
            </w:pPr>
          </w:p>
        </w:tc>
        <w:tc>
          <w:tcPr>
            <w:tcW w:w="680" w:type="dxa"/>
            <w:vAlign w:val="bottom"/>
            <w:tcBorders>
              <w:top w:val="single" w:sz="8" w:color="333333"/>
            </w:tcBorders>
          </w:tcPr>
          <w:p>
            <w:pPr>
              <w:spacing w:after="0"/>
              <w:rPr>
                <w:sz w:val="21"/>
                <w:szCs w:val="21"/>
                <w:color w:val="auto"/>
              </w:rPr>
            </w:pPr>
          </w:p>
        </w:tc>
        <w:tc>
          <w:tcPr>
            <w:tcW w:w="220" w:type="dxa"/>
            <w:vAlign w:val="bottom"/>
            <w:tcBorders>
              <w:top w:val="single" w:sz="8" w:color="333333"/>
            </w:tcBorders>
          </w:tcPr>
          <w:p>
            <w:pPr>
              <w:spacing w:after="0"/>
              <w:rPr>
                <w:sz w:val="21"/>
                <w:szCs w:val="21"/>
                <w:color w:val="auto"/>
              </w:rPr>
            </w:pPr>
          </w:p>
        </w:tc>
        <w:tc>
          <w:tcPr>
            <w:tcW w:w="360" w:type="dxa"/>
            <w:vAlign w:val="bottom"/>
            <w:tcBorders>
              <w:top w:val="single" w:sz="8" w:color="333333"/>
            </w:tcBorders>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248428</w:t>
            </w:r>
          </w:p>
        </w:tc>
        <w:tc>
          <w:tcPr>
            <w:tcW w:w="5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2020</w:t>
            </w:r>
          </w:p>
        </w:tc>
      </w:tr>
      <w:tr>
        <w:trPr>
          <w:trHeight w:val="375"/>
        </w:trPr>
        <w:tc>
          <w:tcPr>
            <w:tcW w:w="920" w:type="dxa"/>
            <w:vAlign w:val="bottom"/>
          </w:tcPr>
          <w:p>
            <w:pPr>
              <w:ind w:left="60"/>
              <w:spacing w:after="0"/>
              <w:rPr>
                <w:sz w:val="20"/>
                <w:szCs w:val="20"/>
                <w:color w:val="auto"/>
              </w:rPr>
            </w:pPr>
            <w:r>
              <w:rPr>
                <w:rFonts w:ascii="Arial" w:cs="Arial" w:eastAsia="Arial" w:hAnsi="Arial"/>
                <w:sz w:val="20"/>
                <w:szCs w:val="20"/>
                <w:color w:val="auto"/>
              </w:rPr>
              <w:t>10.12**</w:t>
            </w:r>
          </w:p>
        </w:tc>
        <w:tc>
          <w:tcPr>
            <w:tcW w:w="4680" w:type="dxa"/>
            <w:vAlign w:val="bottom"/>
            <w:gridSpan w:val="29"/>
          </w:tcPr>
          <w:p>
            <w:pPr>
              <w:spacing w:after="0"/>
              <w:rPr>
                <w:sz w:val="20"/>
                <w:szCs w:val="20"/>
                <w:color w:val="auto"/>
              </w:rPr>
            </w:pPr>
            <w:r>
              <w:rPr>
                <w:rFonts w:ascii="Arial" w:cs="Arial" w:eastAsia="Arial" w:hAnsi="Arial"/>
                <w:sz w:val="20"/>
                <w:szCs w:val="20"/>
                <w:color w:val="333333"/>
              </w:rPr>
              <w:t>Confirmatory Employment Letter between the</w:t>
            </w:r>
          </w:p>
        </w:tc>
        <w:tc>
          <w:tcPr>
            <w:tcW w:w="66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580" w:type="dxa"/>
            <w:vAlign w:val="bottom"/>
          </w:tcPr>
          <w:p>
            <w:pPr>
              <w:jc w:val="center"/>
              <w:spacing w:after="0"/>
              <w:rPr>
                <w:sz w:val="20"/>
                <w:szCs w:val="20"/>
                <w:color w:val="auto"/>
              </w:rPr>
            </w:pPr>
            <w:r>
              <w:rPr>
                <w:rFonts w:ascii="Arial" w:cs="Arial" w:eastAsia="Arial" w:hAnsi="Arial"/>
                <w:sz w:val="20"/>
                <w:szCs w:val="20"/>
                <w:color w:val="auto"/>
                <w:w w:val="99"/>
              </w:rPr>
              <w:t>10.15</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9,</w:t>
            </w:r>
          </w:p>
        </w:tc>
      </w:tr>
      <w:tr>
        <w:trPr>
          <w:trHeight w:val="210"/>
        </w:trPr>
        <w:tc>
          <w:tcPr>
            <w:tcW w:w="920" w:type="dxa"/>
            <w:vAlign w:val="bottom"/>
          </w:tcPr>
          <w:p>
            <w:pPr>
              <w:spacing w:after="0"/>
              <w:rPr>
                <w:sz w:val="18"/>
                <w:szCs w:val="18"/>
                <w:color w:val="auto"/>
              </w:rPr>
            </w:pPr>
          </w:p>
        </w:tc>
        <w:tc>
          <w:tcPr>
            <w:tcW w:w="4040" w:type="dxa"/>
            <w:vAlign w:val="bottom"/>
            <w:tcBorders>
              <w:top w:val="single" w:sz="8" w:color="333333"/>
            </w:tcBorders>
            <w:gridSpan w:val="13"/>
          </w:tcPr>
          <w:p>
            <w:pPr>
              <w:spacing w:after="0" w:line="210" w:lineRule="exact"/>
              <w:rPr>
                <w:sz w:val="20"/>
                <w:szCs w:val="20"/>
                <w:color w:val="auto"/>
              </w:rPr>
            </w:pPr>
            <w:r>
              <w:rPr>
                <w:rFonts w:ascii="Arial" w:cs="Arial" w:eastAsia="Arial" w:hAnsi="Arial"/>
                <w:sz w:val="20"/>
                <w:szCs w:val="20"/>
                <w:color w:val="333333"/>
              </w:rPr>
              <w:t>Registrant and Mark Litton, Ph.D.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3"/>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gridSpan w:val="3"/>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center"/>
              <w:spacing w:after="0" w:line="210" w:lineRule="exact"/>
              <w:rPr>
                <w:sz w:val="20"/>
                <w:szCs w:val="20"/>
                <w:color w:val="auto"/>
              </w:rPr>
            </w:pPr>
            <w:r>
              <w:rPr>
                <w:rFonts w:ascii="Arial" w:cs="Arial" w:eastAsia="Arial" w:hAnsi="Arial"/>
                <w:sz w:val="20"/>
                <w:szCs w:val="20"/>
                <w:color w:val="auto"/>
                <w:w w:val="98"/>
              </w:rPr>
              <w:t>248428</w:t>
            </w:r>
          </w:p>
        </w:tc>
        <w:tc>
          <w:tcPr>
            <w:tcW w:w="580" w:type="dxa"/>
            <w:vAlign w:val="bottom"/>
          </w:tcPr>
          <w:p>
            <w:pPr>
              <w:spacing w:after="0"/>
              <w:rPr>
                <w:sz w:val="18"/>
                <w:szCs w:val="18"/>
                <w:color w:val="auto"/>
              </w:rPr>
            </w:pPr>
          </w:p>
        </w:tc>
        <w:tc>
          <w:tcPr>
            <w:tcW w:w="1420" w:type="dxa"/>
            <w:vAlign w:val="bottom"/>
          </w:tcPr>
          <w:p>
            <w:pPr>
              <w:jc w:val="center"/>
              <w:spacing w:after="0" w:line="210" w:lineRule="exact"/>
              <w:rPr>
                <w:sz w:val="20"/>
                <w:szCs w:val="20"/>
                <w:color w:val="auto"/>
              </w:rPr>
            </w:pPr>
            <w:r>
              <w:rPr>
                <w:rFonts w:ascii="Arial" w:cs="Arial" w:eastAsia="Arial" w:hAnsi="Arial"/>
                <w:sz w:val="20"/>
                <w:szCs w:val="20"/>
                <w:color w:val="auto"/>
                <w:w w:val="98"/>
              </w:rPr>
              <w:t>2020</w:t>
            </w:r>
          </w:p>
        </w:tc>
      </w:tr>
      <w:tr>
        <w:trPr>
          <w:trHeight w:val="20"/>
        </w:trPr>
        <w:tc>
          <w:tcPr>
            <w:tcW w:w="920" w:type="dxa"/>
            <w:vAlign w:val="bottom"/>
          </w:tcPr>
          <w:p>
            <w:pPr>
              <w:spacing w:after="0" w:line="20" w:lineRule="exact"/>
              <w:rPr>
                <w:sz w:val="1"/>
                <w:szCs w:val="1"/>
                <w:color w:val="auto"/>
              </w:rPr>
            </w:pPr>
          </w:p>
        </w:tc>
        <w:tc>
          <w:tcPr>
            <w:tcW w:w="1600" w:type="dxa"/>
            <w:vAlign w:val="bottom"/>
            <w:shd w:val="clear" w:color="auto" w:fill="333333"/>
          </w:tcPr>
          <w:p>
            <w:pPr>
              <w:spacing w:after="0" w:line="20" w:lineRule="exact"/>
              <w:rPr>
                <w:sz w:val="1"/>
                <w:szCs w:val="1"/>
                <w:color w:val="auto"/>
              </w:rPr>
            </w:pPr>
          </w:p>
        </w:tc>
        <w:tc>
          <w:tcPr>
            <w:tcW w:w="240" w:type="dxa"/>
            <w:vAlign w:val="bottom"/>
            <w:shd w:val="clear" w:color="auto" w:fill="333333"/>
          </w:tcPr>
          <w:p>
            <w:pPr>
              <w:spacing w:after="0" w:line="20" w:lineRule="exact"/>
              <w:rPr>
                <w:sz w:val="1"/>
                <w:szCs w:val="1"/>
                <w:color w:val="auto"/>
              </w:rPr>
            </w:pPr>
          </w:p>
        </w:tc>
        <w:tc>
          <w:tcPr>
            <w:tcW w:w="120" w:type="dxa"/>
            <w:vAlign w:val="bottom"/>
            <w:gridSpan w:val="2"/>
            <w:shd w:val="clear" w:color="auto" w:fill="333333"/>
          </w:tcPr>
          <w:p>
            <w:pPr>
              <w:spacing w:after="0" w:line="20" w:lineRule="exact"/>
              <w:rPr>
                <w:sz w:val="1"/>
                <w:szCs w:val="1"/>
                <w:color w:val="auto"/>
              </w:rPr>
            </w:pPr>
          </w:p>
        </w:tc>
        <w:tc>
          <w:tcPr>
            <w:tcW w:w="20" w:type="dxa"/>
            <w:vAlign w:val="bottom"/>
            <w:shd w:val="clear" w:color="auto" w:fill="333333"/>
          </w:tcPr>
          <w:p>
            <w:pPr>
              <w:spacing w:after="0" w:line="20" w:lineRule="exact"/>
              <w:rPr>
                <w:sz w:val="1"/>
                <w:szCs w:val="1"/>
                <w:color w:val="auto"/>
              </w:rPr>
            </w:pPr>
          </w:p>
        </w:tc>
        <w:tc>
          <w:tcPr>
            <w:tcW w:w="300" w:type="dxa"/>
            <w:vAlign w:val="bottom"/>
            <w:shd w:val="clear" w:color="auto" w:fill="333333"/>
          </w:tcPr>
          <w:p>
            <w:pPr>
              <w:spacing w:after="0" w:line="20" w:lineRule="exact"/>
              <w:rPr>
                <w:sz w:val="1"/>
                <w:szCs w:val="1"/>
                <w:color w:val="auto"/>
              </w:rPr>
            </w:pPr>
          </w:p>
        </w:tc>
        <w:tc>
          <w:tcPr>
            <w:tcW w:w="680" w:type="dxa"/>
            <w:vAlign w:val="bottom"/>
            <w:shd w:val="clear" w:color="auto" w:fill="33333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98"/>
        </w:trPr>
        <w:tc>
          <w:tcPr>
            <w:tcW w:w="920" w:type="dxa"/>
            <w:vAlign w:val="bottom"/>
          </w:tcPr>
          <w:p>
            <w:pPr>
              <w:ind w:left="60"/>
              <w:spacing w:after="0"/>
              <w:rPr>
                <w:sz w:val="20"/>
                <w:szCs w:val="20"/>
                <w:color w:val="auto"/>
              </w:rPr>
            </w:pPr>
            <w:r>
              <w:rPr>
                <w:rFonts w:ascii="Arial" w:cs="Arial" w:eastAsia="Arial" w:hAnsi="Arial"/>
                <w:sz w:val="20"/>
                <w:szCs w:val="20"/>
                <w:color w:val="auto"/>
              </w:rPr>
              <w:t>10.13**</w:t>
            </w:r>
          </w:p>
        </w:tc>
        <w:tc>
          <w:tcPr>
            <w:tcW w:w="4680" w:type="dxa"/>
            <w:vAlign w:val="bottom"/>
            <w:gridSpan w:val="29"/>
          </w:tcPr>
          <w:p>
            <w:pPr>
              <w:spacing w:after="0"/>
              <w:rPr>
                <w:sz w:val="20"/>
                <w:szCs w:val="20"/>
                <w:color w:val="auto"/>
              </w:rPr>
            </w:pPr>
            <w:r>
              <w:rPr>
                <w:rFonts w:ascii="Arial" w:cs="Arial" w:eastAsia="Arial" w:hAnsi="Arial"/>
                <w:sz w:val="20"/>
                <w:szCs w:val="20"/>
                <w:color w:val="333333"/>
              </w:rPr>
              <w:t>Confirmatory Employment Letter between the</w:t>
            </w:r>
          </w:p>
        </w:tc>
        <w:tc>
          <w:tcPr>
            <w:tcW w:w="66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580" w:type="dxa"/>
            <w:vAlign w:val="bottom"/>
          </w:tcPr>
          <w:p>
            <w:pPr>
              <w:jc w:val="center"/>
              <w:spacing w:after="0"/>
              <w:rPr>
                <w:sz w:val="20"/>
                <w:szCs w:val="20"/>
                <w:color w:val="auto"/>
              </w:rPr>
            </w:pPr>
            <w:r>
              <w:rPr>
                <w:rFonts w:ascii="Arial" w:cs="Arial" w:eastAsia="Arial" w:hAnsi="Arial"/>
                <w:sz w:val="20"/>
                <w:szCs w:val="20"/>
                <w:color w:val="auto"/>
                <w:w w:val="99"/>
              </w:rPr>
              <w:t>10.16</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9,</w:t>
            </w:r>
          </w:p>
        </w:tc>
      </w:tr>
      <w:tr>
        <w:trPr>
          <w:trHeight w:val="210"/>
        </w:trPr>
        <w:tc>
          <w:tcPr>
            <w:tcW w:w="920" w:type="dxa"/>
            <w:vAlign w:val="bottom"/>
          </w:tcPr>
          <w:p>
            <w:pPr>
              <w:spacing w:after="0"/>
              <w:rPr>
                <w:sz w:val="18"/>
                <w:szCs w:val="18"/>
                <w:color w:val="auto"/>
              </w:rPr>
            </w:pPr>
          </w:p>
        </w:tc>
        <w:tc>
          <w:tcPr>
            <w:tcW w:w="3180" w:type="dxa"/>
            <w:vAlign w:val="bottom"/>
            <w:tcBorders>
              <w:top w:val="single" w:sz="8" w:color="333333"/>
              <w:bottom w:val="single" w:sz="8" w:color="333333"/>
            </w:tcBorders>
            <w:gridSpan w:val="8"/>
          </w:tcPr>
          <w:p>
            <w:pPr>
              <w:spacing w:after="0" w:line="210" w:lineRule="exact"/>
              <w:rPr>
                <w:sz w:val="20"/>
                <w:szCs w:val="20"/>
                <w:color w:val="auto"/>
              </w:rPr>
            </w:pPr>
            <w:r>
              <w:rPr>
                <w:rFonts w:ascii="Arial" w:cs="Arial" w:eastAsia="Arial" w:hAnsi="Arial"/>
                <w:sz w:val="20"/>
                <w:szCs w:val="20"/>
                <w:color w:val="333333"/>
                <w:w w:val="99"/>
              </w:rPr>
              <w:t>Registrant and Kevin Church, Ph.D.</w:t>
            </w:r>
          </w:p>
        </w:tc>
        <w:tc>
          <w:tcPr>
            <w:tcW w:w="860" w:type="dxa"/>
            <w:vAlign w:val="bottom"/>
            <w:tcBorders>
              <w:top w:val="single" w:sz="8" w:color="333333"/>
            </w:tcBorders>
            <w:gridSpan w:val="5"/>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3"/>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gridSpan w:val="3"/>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center"/>
              <w:spacing w:after="0" w:line="210" w:lineRule="exact"/>
              <w:rPr>
                <w:sz w:val="20"/>
                <w:szCs w:val="20"/>
                <w:color w:val="auto"/>
              </w:rPr>
            </w:pPr>
            <w:r>
              <w:rPr>
                <w:rFonts w:ascii="Arial" w:cs="Arial" w:eastAsia="Arial" w:hAnsi="Arial"/>
                <w:sz w:val="20"/>
                <w:szCs w:val="20"/>
                <w:color w:val="auto"/>
                <w:w w:val="98"/>
              </w:rPr>
              <w:t>248428</w:t>
            </w:r>
          </w:p>
        </w:tc>
        <w:tc>
          <w:tcPr>
            <w:tcW w:w="580" w:type="dxa"/>
            <w:vAlign w:val="bottom"/>
          </w:tcPr>
          <w:p>
            <w:pPr>
              <w:spacing w:after="0"/>
              <w:rPr>
                <w:sz w:val="18"/>
                <w:szCs w:val="18"/>
                <w:color w:val="auto"/>
              </w:rPr>
            </w:pPr>
          </w:p>
        </w:tc>
        <w:tc>
          <w:tcPr>
            <w:tcW w:w="1420" w:type="dxa"/>
            <w:vAlign w:val="bottom"/>
          </w:tcPr>
          <w:p>
            <w:pPr>
              <w:jc w:val="center"/>
              <w:spacing w:after="0" w:line="210" w:lineRule="exact"/>
              <w:rPr>
                <w:sz w:val="20"/>
                <w:szCs w:val="20"/>
                <w:color w:val="auto"/>
              </w:rPr>
            </w:pPr>
            <w:r>
              <w:rPr>
                <w:rFonts w:ascii="Arial" w:cs="Arial" w:eastAsia="Arial" w:hAnsi="Arial"/>
                <w:sz w:val="20"/>
                <w:szCs w:val="20"/>
                <w:color w:val="auto"/>
                <w:w w:val="98"/>
              </w:rPr>
              <w:t>2020</w:t>
            </w:r>
          </w:p>
        </w:tc>
      </w:tr>
      <w:tr>
        <w:trPr>
          <w:trHeight w:val="398"/>
        </w:trPr>
        <w:tc>
          <w:tcPr>
            <w:tcW w:w="920" w:type="dxa"/>
            <w:vAlign w:val="bottom"/>
          </w:tcPr>
          <w:p>
            <w:pPr>
              <w:ind w:left="60"/>
              <w:spacing w:after="0"/>
              <w:rPr>
                <w:sz w:val="20"/>
                <w:szCs w:val="20"/>
                <w:color w:val="auto"/>
              </w:rPr>
            </w:pPr>
            <w:r>
              <w:rPr>
                <w:rFonts w:ascii="Arial" w:cs="Arial" w:eastAsia="Arial" w:hAnsi="Arial"/>
                <w:sz w:val="20"/>
                <w:szCs w:val="20"/>
                <w:color w:val="auto"/>
              </w:rPr>
              <w:t>10.14**</w:t>
            </w:r>
          </w:p>
        </w:tc>
        <w:tc>
          <w:tcPr>
            <w:tcW w:w="4680" w:type="dxa"/>
            <w:vAlign w:val="bottom"/>
            <w:gridSpan w:val="29"/>
          </w:tcPr>
          <w:p>
            <w:pPr>
              <w:spacing w:after="0"/>
              <w:rPr>
                <w:sz w:val="20"/>
                <w:szCs w:val="20"/>
                <w:color w:val="auto"/>
              </w:rPr>
            </w:pPr>
            <w:r>
              <w:rPr>
                <w:rFonts w:ascii="Arial" w:cs="Arial" w:eastAsia="Arial" w:hAnsi="Arial"/>
                <w:sz w:val="20"/>
                <w:szCs w:val="20"/>
                <w:color w:val="333333"/>
              </w:rPr>
              <w:t>Employment Offer Letter between the Registrant</w:t>
            </w:r>
          </w:p>
        </w:tc>
        <w:tc>
          <w:tcPr>
            <w:tcW w:w="660" w:type="dxa"/>
            <w:vAlign w:val="bottom"/>
          </w:tcPr>
          <w:p>
            <w:pPr>
              <w:jc w:val="center"/>
              <w:spacing w:after="0"/>
              <w:rPr>
                <w:sz w:val="20"/>
                <w:szCs w:val="20"/>
                <w:color w:val="auto"/>
              </w:rPr>
            </w:pPr>
            <w:r>
              <w:rPr>
                <w:rFonts w:ascii="Arial" w:cs="Arial" w:eastAsia="Arial" w:hAnsi="Arial"/>
                <w:sz w:val="20"/>
                <w:szCs w:val="20"/>
                <w:color w:val="auto"/>
                <w:w w:val="87"/>
              </w:rPr>
              <w:t>8- K</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10.1</w:t>
            </w: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May 22, 2023</w:t>
            </w:r>
          </w:p>
        </w:tc>
      </w:tr>
      <w:tr>
        <w:trPr>
          <w:trHeight w:val="210"/>
        </w:trPr>
        <w:tc>
          <w:tcPr>
            <w:tcW w:w="920" w:type="dxa"/>
            <w:vAlign w:val="bottom"/>
          </w:tcPr>
          <w:p>
            <w:pPr>
              <w:spacing w:after="0"/>
              <w:rPr>
                <w:sz w:val="18"/>
                <w:szCs w:val="18"/>
                <w:color w:val="auto"/>
              </w:rPr>
            </w:pPr>
          </w:p>
        </w:tc>
        <w:tc>
          <w:tcPr>
            <w:tcW w:w="1840" w:type="dxa"/>
            <w:vAlign w:val="bottom"/>
            <w:tcBorders>
              <w:top w:val="single" w:sz="8" w:color="333333"/>
              <w:bottom w:val="single" w:sz="8" w:color="333333"/>
            </w:tcBorders>
            <w:gridSpan w:val="2"/>
          </w:tcPr>
          <w:p>
            <w:pPr>
              <w:spacing w:after="0" w:line="210" w:lineRule="exact"/>
              <w:rPr>
                <w:sz w:val="20"/>
                <w:szCs w:val="20"/>
                <w:color w:val="auto"/>
              </w:rPr>
            </w:pPr>
            <w:r>
              <w:rPr>
                <w:rFonts w:ascii="Arial" w:cs="Arial" w:eastAsia="Arial" w:hAnsi="Arial"/>
                <w:sz w:val="20"/>
                <w:szCs w:val="20"/>
                <w:color w:val="333333"/>
                <w:w w:val="99"/>
              </w:rPr>
              <w:t>and Andrew Gengos</w:t>
            </w:r>
          </w:p>
        </w:tc>
        <w:tc>
          <w:tcPr>
            <w:tcW w:w="2460" w:type="dxa"/>
            <w:vAlign w:val="bottom"/>
            <w:tcBorders>
              <w:top w:val="single" w:sz="8" w:color="333333"/>
            </w:tcBorders>
            <w:gridSpan w:val="19"/>
          </w:tcPr>
          <w:p>
            <w:pPr>
              <w:spacing w:after="0"/>
              <w:rPr>
                <w:sz w:val="18"/>
                <w:szCs w:val="18"/>
                <w:color w:val="auto"/>
              </w:rPr>
            </w:pPr>
          </w:p>
        </w:tc>
        <w:tc>
          <w:tcPr>
            <w:tcW w:w="100" w:type="dxa"/>
            <w:vAlign w:val="bottom"/>
            <w:gridSpan w:val="3"/>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gridSpan w:val="3"/>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98"/>
        </w:trPr>
        <w:tc>
          <w:tcPr>
            <w:tcW w:w="920" w:type="dxa"/>
            <w:vAlign w:val="bottom"/>
          </w:tcPr>
          <w:p>
            <w:pPr>
              <w:ind w:left="60"/>
              <w:spacing w:after="0"/>
              <w:rPr>
                <w:sz w:val="20"/>
                <w:szCs w:val="20"/>
                <w:color w:val="auto"/>
              </w:rPr>
            </w:pPr>
            <w:r>
              <w:rPr>
                <w:rFonts w:ascii="Arial" w:cs="Arial" w:eastAsia="Arial" w:hAnsi="Arial"/>
                <w:sz w:val="20"/>
                <w:szCs w:val="20"/>
                <w:color w:val="auto"/>
              </w:rPr>
              <w:t>10.15**</w:t>
            </w:r>
          </w:p>
        </w:tc>
        <w:tc>
          <w:tcPr>
            <w:tcW w:w="4680" w:type="dxa"/>
            <w:vAlign w:val="bottom"/>
            <w:gridSpan w:val="29"/>
          </w:tcPr>
          <w:p>
            <w:pPr>
              <w:spacing w:after="0"/>
              <w:rPr>
                <w:sz w:val="20"/>
                <w:szCs w:val="20"/>
                <w:color w:val="auto"/>
              </w:rPr>
            </w:pPr>
            <w:r>
              <w:rPr>
                <w:rFonts w:ascii="Arial" w:cs="Arial" w:eastAsia="Arial" w:hAnsi="Arial"/>
                <w:sz w:val="20"/>
                <w:szCs w:val="20"/>
                <w:color w:val="333333"/>
              </w:rPr>
              <w:t>Amended and Restated Change in Control and</w:t>
            </w:r>
          </w:p>
        </w:tc>
        <w:tc>
          <w:tcPr>
            <w:tcW w:w="660" w:type="dxa"/>
            <w:vAlign w:val="bottom"/>
          </w:tcPr>
          <w:p>
            <w:pPr>
              <w:jc w:val="center"/>
              <w:spacing w:after="0"/>
              <w:rPr>
                <w:sz w:val="20"/>
                <w:szCs w:val="20"/>
                <w:color w:val="auto"/>
              </w:rPr>
            </w:pPr>
            <w:r>
              <w:rPr>
                <w:rFonts w:ascii="Arial" w:cs="Arial" w:eastAsia="Arial" w:hAnsi="Arial"/>
                <w:sz w:val="20"/>
                <w:szCs w:val="20"/>
                <w:color w:val="auto"/>
                <w:w w:val="87"/>
              </w:rPr>
              <w:t>8- K</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10.1</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January 31,</w:t>
            </w:r>
          </w:p>
        </w:tc>
      </w:tr>
      <w:tr>
        <w:trPr>
          <w:trHeight w:val="210"/>
        </w:trPr>
        <w:tc>
          <w:tcPr>
            <w:tcW w:w="920" w:type="dxa"/>
            <w:vAlign w:val="bottom"/>
          </w:tcPr>
          <w:p>
            <w:pPr>
              <w:spacing w:after="0"/>
              <w:rPr>
                <w:sz w:val="18"/>
                <w:szCs w:val="18"/>
                <w:color w:val="auto"/>
              </w:rPr>
            </w:pPr>
          </w:p>
        </w:tc>
        <w:tc>
          <w:tcPr>
            <w:tcW w:w="4200" w:type="dxa"/>
            <w:vAlign w:val="bottom"/>
            <w:tcBorders>
              <w:top w:val="single" w:sz="8" w:color="333333"/>
            </w:tcBorders>
            <w:gridSpan w:val="20"/>
          </w:tcPr>
          <w:p>
            <w:pPr>
              <w:spacing w:after="0" w:line="210" w:lineRule="exact"/>
              <w:rPr>
                <w:sz w:val="20"/>
                <w:szCs w:val="20"/>
                <w:color w:val="auto"/>
              </w:rPr>
            </w:pPr>
            <w:r>
              <w:rPr>
                <w:rFonts w:ascii="Arial" w:cs="Arial" w:eastAsia="Arial" w:hAnsi="Arial"/>
                <w:sz w:val="20"/>
                <w:szCs w:val="20"/>
                <w:color w:val="333333"/>
              </w:rPr>
              <w:t>Severance Agreement between the Registrant</w:t>
            </w:r>
          </w:p>
        </w:tc>
        <w:tc>
          <w:tcPr>
            <w:tcW w:w="480" w:type="dxa"/>
            <w:vAlign w:val="bottom"/>
            <w:gridSpan w:val="9"/>
          </w:tcPr>
          <w:p>
            <w:pPr>
              <w:spacing w:after="0" w:line="210" w:lineRule="exact"/>
              <w:rPr>
                <w:sz w:val="20"/>
                <w:szCs w:val="20"/>
                <w:color w:val="auto"/>
              </w:rPr>
            </w:pPr>
            <w:r>
              <w:rPr>
                <w:rFonts w:ascii="Arial" w:cs="Arial" w:eastAsia="Arial" w:hAnsi="Arial"/>
                <w:sz w:val="20"/>
                <w:szCs w:val="20"/>
                <w:color w:val="333333"/>
              </w:rPr>
              <w:t>and</w:t>
            </w: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jc w:val="center"/>
              <w:spacing w:after="0" w:line="210" w:lineRule="exact"/>
              <w:rPr>
                <w:sz w:val="20"/>
                <w:szCs w:val="20"/>
                <w:color w:val="auto"/>
              </w:rPr>
            </w:pPr>
            <w:r>
              <w:rPr>
                <w:rFonts w:ascii="Arial" w:cs="Arial" w:eastAsia="Arial" w:hAnsi="Arial"/>
                <w:sz w:val="20"/>
                <w:szCs w:val="20"/>
                <w:color w:val="auto"/>
                <w:w w:val="98"/>
              </w:rPr>
              <w:t>2022</w:t>
            </w:r>
          </w:p>
        </w:tc>
      </w:tr>
      <w:tr>
        <w:trPr>
          <w:trHeight w:val="209"/>
        </w:trPr>
        <w:tc>
          <w:tcPr>
            <w:tcW w:w="920" w:type="dxa"/>
            <w:vAlign w:val="bottom"/>
          </w:tcPr>
          <w:p>
            <w:pPr>
              <w:spacing w:after="0"/>
              <w:rPr>
                <w:sz w:val="18"/>
                <w:szCs w:val="18"/>
                <w:color w:val="auto"/>
              </w:rPr>
            </w:pPr>
          </w:p>
        </w:tc>
        <w:tc>
          <w:tcPr>
            <w:tcW w:w="4500" w:type="dxa"/>
            <w:vAlign w:val="bottom"/>
            <w:tcBorders>
              <w:top w:val="single" w:sz="8" w:color="333333"/>
            </w:tcBorders>
            <w:gridSpan w:val="26"/>
          </w:tcPr>
          <w:p>
            <w:pPr>
              <w:spacing w:after="0" w:line="209" w:lineRule="exact"/>
              <w:rPr>
                <w:sz w:val="20"/>
                <w:szCs w:val="20"/>
                <w:color w:val="auto"/>
              </w:rPr>
            </w:pPr>
            <w:r>
              <w:rPr>
                <w:rFonts w:ascii="Arial" w:cs="Arial" w:eastAsia="Arial" w:hAnsi="Arial"/>
                <w:sz w:val="20"/>
                <w:szCs w:val="20"/>
                <w:color w:val="333333"/>
              </w:rPr>
              <w:t>Mark Litton, Ph.D.</w:t>
            </w:r>
          </w:p>
        </w:tc>
        <w:tc>
          <w:tcPr>
            <w:tcW w:w="180" w:type="dxa"/>
            <w:vAlign w:val="bottom"/>
            <w:gridSpan w:val="3"/>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600" w:type="dxa"/>
            <w:vAlign w:val="bottom"/>
            <w:shd w:val="clear" w:color="auto" w:fill="33333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99"/>
        </w:trPr>
        <w:tc>
          <w:tcPr>
            <w:tcW w:w="920" w:type="dxa"/>
            <w:vAlign w:val="bottom"/>
          </w:tcPr>
          <w:p>
            <w:pPr>
              <w:ind w:left="60"/>
              <w:spacing w:after="0"/>
              <w:rPr>
                <w:sz w:val="20"/>
                <w:szCs w:val="20"/>
                <w:color w:val="auto"/>
              </w:rPr>
            </w:pPr>
            <w:r>
              <w:rPr>
                <w:rFonts w:ascii="Arial" w:cs="Arial" w:eastAsia="Arial" w:hAnsi="Arial"/>
                <w:sz w:val="20"/>
                <w:szCs w:val="20"/>
                <w:color w:val="auto"/>
              </w:rPr>
              <w:t>10.16**</w:t>
            </w:r>
          </w:p>
        </w:tc>
        <w:tc>
          <w:tcPr>
            <w:tcW w:w="4680" w:type="dxa"/>
            <w:vAlign w:val="bottom"/>
            <w:gridSpan w:val="29"/>
          </w:tcPr>
          <w:p>
            <w:pPr>
              <w:spacing w:after="0"/>
              <w:rPr>
                <w:sz w:val="20"/>
                <w:szCs w:val="20"/>
                <w:color w:val="auto"/>
              </w:rPr>
            </w:pPr>
            <w:r>
              <w:rPr>
                <w:rFonts w:ascii="Arial" w:cs="Arial" w:eastAsia="Arial" w:hAnsi="Arial"/>
                <w:sz w:val="20"/>
                <w:szCs w:val="20"/>
                <w:color w:val="333333"/>
              </w:rPr>
              <w:t>Change in Control and Severance Agreement</w:t>
            </w:r>
          </w:p>
        </w:tc>
        <w:tc>
          <w:tcPr>
            <w:tcW w:w="660" w:type="dxa"/>
            <w:vAlign w:val="bottom"/>
          </w:tcPr>
          <w:p>
            <w:pPr>
              <w:jc w:val="center"/>
              <w:spacing w:after="0"/>
              <w:rPr>
                <w:sz w:val="20"/>
                <w:szCs w:val="20"/>
                <w:color w:val="auto"/>
              </w:rPr>
            </w:pPr>
            <w:r>
              <w:rPr>
                <w:rFonts w:ascii="Arial" w:cs="Arial" w:eastAsia="Arial" w:hAnsi="Arial"/>
                <w:sz w:val="20"/>
                <w:szCs w:val="20"/>
                <w:color w:val="auto"/>
                <w:w w:val="87"/>
              </w:rPr>
              <w:t>8- K</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10.2</w:t>
            </w: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May 22, 2023</w:t>
            </w:r>
          </w:p>
        </w:tc>
      </w:tr>
      <w:tr>
        <w:trPr>
          <w:trHeight w:val="209"/>
        </w:trPr>
        <w:tc>
          <w:tcPr>
            <w:tcW w:w="920" w:type="dxa"/>
            <w:vAlign w:val="bottom"/>
          </w:tcPr>
          <w:p>
            <w:pPr>
              <w:spacing w:after="0"/>
              <w:rPr>
                <w:sz w:val="18"/>
                <w:szCs w:val="18"/>
                <w:color w:val="auto"/>
              </w:rPr>
            </w:pPr>
          </w:p>
        </w:tc>
        <w:tc>
          <w:tcPr>
            <w:tcW w:w="4060" w:type="dxa"/>
            <w:vAlign w:val="bottom"/>
            <w:tcBorders>
              <w:top w:val="single" w:sz="8" w:color="333333"/>
            </w:tcBorders>
            <w:gridSpan w:val="14"/>
          </w:tcPr>
          <w:p>
            <w:pPr>
              <w:spacing w:after="0" w:line="209" w:lineRule="exact"/>
              <w:rPr>
                <w:sz w:val="20"/>
                <w:szCs w:val="20"/>
                <w:color w:val="auto"/>
              </w:rPr>
            </w:pPr>
            <w:r>
              <w:rPr>
                <w:rFonts w:ascii="Arial" w:cs="Arial" w:eastAsia="Arial" w:hAnsi="Arial"/>
                <w:sz w:val="20"/>
                <w:szCs w:val="20"/>
                <w:color w:val="333333"/>
              </w:rPr>
              <w:t>between the Registrant and Andrew Gengos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240" w:type="dxa"/>
            <w:vAlign w:val="bottom"/>
            <w:gridSpan w:val="6"/>
          </w:tcPr>
          <w:p>
            <w:pPr>
              <w:spacing w:after="0"/>
              <w:rPr>
                <w:sz w:val="18"/>
                <w:szCs w:val="18"/>
                <w:color w:val="auto"/>
              </w:rPr>
            </w:pPr>
          </w:p>
        </w:tc>
        <w:tc>
          <w:tcPr>
            <w:tcW w:w="280" w:type="dxa"/>
            <w:vAlign w:val="bottom"/>
            <w:gridSpan w:val="5"/>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960" w:type="dxa"/>
            <w:vAlign w:val="bottom"/>
            <w:gridSpan w:val="4"/>
            <w:shd w:val="clear" w:color="auto" w:fill="333333"/>
          </w:tcPr>
          <w:p>
            <w:pPr>
              <w:spacing w:after="0" w:line="20" w:lineRule="exact"/>
              <w:rPr>
                <w:sz w:val="1"/>
                <w:szCs w:val="1"/>
                <w:color w:val="auto"/>
              </w:rPr>
            </w:pPr>
          </w:p>
        </w:tc>
        <w:tc>
          <w:tcPr>
            <w:tcW w:w="20" w:type="dxa"/>
            <w:vAlign w:val="bottom"/>
            <w:shd w:val="clear" w:color="auto" w:fill="333333"/>
          </w:tcPr>
          <w:p>
            <w:pPr>
              <w:spacing w:after="0" w:line="20" w:lineRule="exact"/>
              <w:rPr>
                <w:sz w:val="1"/>
                <w:szCs w:val="1"/>
                <w:color w:val="auto"/>
              </w:rPr>
            </w:pPr>
          </w:p>
        </w:tc>
        <w:tc>
          <w:tcPr>
            <w:tcW w:w="300" w:type="dxa"/>
            <w:vAlign w:val="bottom"/>
            <w:shd w:val="clear" w:color="auto" w:fill="333333"/>
          </w:tcPr>
          <w:p>
            <w:pPr>
              <w:spacing w:after="0" w:line="20" w:lineRule="exact"/>
              <w:rPr>
                <w:sz w:val="1"/>
                <w:szCs w:val="1"/>
                <w:color w:val="auto"/>
              </w:rPr>
            </w:pPr>
          </w:p>
        </w:tc>
        <w:tc>
          <w:tcPr>
            <w:tcW w:w="1660" w:type="dxa"/>
            <w:vAlign w:val="bottom"/>
            <w:tcBorders>
              <w:right w:val="single" w:sz="8" w:color="333333"/>
            </w:tcBorders>
            <w:gridSpan w:val="4"/>
            <w:shd w:val="clear" w:color="auto" w:fill="33333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98"/>
        </w:trPr>
        <w:tc>
          <w:tcPr>
            <w:tcW w:w="920" w:type="dxa"/>
            <w:vAlign w:val="bottom"/>
          </w:tcPr>
          <w:p>
            <w:pPr>
              <w:ind w:left="60"/>
              <w:spacing w:after="0"/>
              <w:rPr>
                <w:sz w:val="20"/>
                <w:szCs w:val="20"/>
                <w:color w:val="auto"/>
              </w:rPr>
            </w:pPr>
            <w:r>
              <w:rPr>
                <w:rFonts w:ascii="Arial" w:cs="Arial" w:eastAsia="Arial" w:hAnsi="Arial"/>
                <w:sz w:val="20"/>
                <w:szCs w:val="20"/>
                <w:color w:val="auto"/>
              </w:rPr>
              <w:t>10.17**</w:t>
            </w:r>
          </w:p>
        </w:tc>
        <w:tc>
          <w:tcPr>
            <w:tcW w:w="4680" w:type="dxa"/>
            <w:vAlign w:val="bottom"/>
            <w:gridSpan w:val="29"/>
          </w:tcPr>
          <w:p>
            <w:pPr>
              <w:spacing w:after="0"/>
              <w:rPr>
                <w:sz w:val="20"/>
                <w:szCs w:val="20"/>
                <w:color w:val="auto"/>
              </w:rPr>
            </w:pPr>
            <w:r>
              <w:rPr>
                <w:rFonts w:ascii="Arial" w:cs="Arial" w:eastAsia="Arial" w:hAnsi="Arial"/>
                <w:sz w:val="20"/>
                <w:szCs w:val="20"/>
                <w:color w:val="333333"/>
              </w:rPr>
              <w:t>Employment Offer Letter between the Registrant</w:t>
            </w:r>
          </w:p>
        </w:tc>
        <w:tc>
          <w:tcPr>
            <w:tcW w:w="66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2000" w:type="dxa"/>
            <w:vAlign w:val="bottom"/>
            <w:gridSpan w:val="2"/>
          </w:tcPr>
          <w:p>
            <w:pPr>
              <w:ind w:left="40"/>
              <w:spacing w:after="0"/>
              <w:rPr>
                <w:sz w:val="20"/>
                <w:szCs w:val="20"/>
                <w:color w:val="auto"/>
              </w:rPr>
            </w:pPr>
            <w:r>
              <w:rPr>
                <w:rFonts w:ascii="Arial" w:cs="Arial" w:eastAsia="Arial" w:hAnsi="Arial"/>
                <w:sz w:val="20"/>
                <w:szCs w:val="20"/>
                <w:color w:val="auto"/>
              </w:rPr>
              <w:t>10.21 September 14,</w:t>
            </w:r>
          </w:p>
        </w:tc>
      </w:tr>
      <w:tr>
        <w:trPr>
          <w:trHeight w:val="210"/>
        </w:trPr>
        <w:tc>
          <w:tcPr>
            <w:tcW w:w="920" w:type="dxa"/>
            <w:vAlign w:val="bottom"/>
          </w:tcPr>
          <w:p>
            <w:pPr>
              <w:spacing w:after="0"/>
              <w:rPr>
                <w:sz w:val="18"/>
                <w:szCs w:val="18"/>
                <w:color w:val="auto"/>
              </w:rPr>
            </w:pPr>
          </w:p>
        </w:tc>
        <w:tc>
          <w:tcPr>
            <w:tcW w:w="4300" w:type="dxa"/>
            <w:vAlign w:val="bottom"/>
            <w:tcBorders>
              <w:top w:val="single" w:sz="8" w:color="333333"/>
            </w:tcBorders>
            <w:gridSpan w:val="21"/>
          </w:tcPr>
          <w:p>
            <w:pPr>
              <w:spacing w:after="0" w:line="210" w:lineRule="exact"/>
              <w:rPr>
                <w:sz w:val="20"/>
                <w:szCs w:val="20"/>
                <w:color w:val="auto"/>
              </w:rPr>
            </w:pPr>
            <w:r>
              <w:rPr>
                <w:rFonts w:ascii="Arial" w:cs="Arial" w:eastAsia="Arial" w:hAnsi="Arial"/>
                <w:sz w:val="20"/>
                <w:szCs w:val="20"/>
                <w:color w:val="333333"/>
              </w:rPr>
              <w:t>and Hans Moebius, Ph.D.</w:t>
            </w:r>
          </w:p>
        </w:tc>
        <w:tc>
          <w:tcPr>
            <w:tcW w:w="100" w:type="dxa"/>
            <w:vAlign w:val="bottom"/>
            <w:gridSpan w:val="3"/>
          </w:tcPr>
          <w:p>
            <w:pPr>
              <w:spacing w:after="0"/>
              <w:rPr>
                <w:sz w:val="18"/>
                <w:szCs w:val="18"/>
                <w:color w:val="auto"/>
              </w:rPr>
            </w:pPr>
          </w:p>
        </w:tc>
        <w:tc>
          <w:tcPr>
            <w:tcW w:w="280" w:type="dxa"/>
            <w:vAlign w:val="bottom"/>
            <w:gridSpan w:val="5"/>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center"/>
              <w:spacing w:after="0" w:line="210" w:lineRule="exact"/>
              <w:rPr>
                <w:sz w:val="20"/>
                <w:szCs w:val="20"/>
                <w:color w:val="auto"/>
              </w:rPr>
            </w:pPr>
            <w:r>
              <w:rPr>
                <w:rFonts w:ascii="Arial" w:cs="Arial" w:eastAsia="Arial" w:hAnsi="Arial"/>
                <w:sz w:val="20"/>
                <w:szCs w:val="20"/>
                <w:color w:val="auto"/>
                <w:w w:val="98"/>
              </w:rPr>
              <w:t>248428</w:t>
            </w:r>
          </w:p>
        </w:tc>
        <w:tc>
          <w:tcPr>
            <w:tcW w:w="580" w:type="dxa"/>
            <w:vAlign w:val="bottom"/>
          </w:tcPr>
          <w:p>
            <w:pPr>
              <w:spacing w:after="0"/>
              <w:rPr>
                <w:sz w:val="18"/>
                <w:szCs w:val="18"/>
                <w:color w:val="auto"/>
              </w:rPr>
            </w:pPr>
          </w:p>
        </w:tc>
        <w:tc>
          <w:tcPr>
            <w:tcW w:w="1420" w:type="dxa"/>
            <w:vAlign w:val="bottom"/>
          </w:tcPr>
          <w:p>
            <w:pPr>
              <w:jc w:val="center"/>
              <w:spacing w:after="0" w:line="210" w:lineRule="exact"/>
              <w:rPr>
                <w:sz w:val="20"/>
                <w:szCs w:val="20"/>
                <w:color w:val="auto"/>
              </w:rPr>
            </w:pPr>
            <w:r>
              <w:rPr>
                <w:rFonts w:ascii="Arial" w:cs="Arial" w:eastAsia="Arial" w:hAnsi="Arial"/>
                <w:sz w:val="20"/>
                <w:szCs w:val="20"/>
                <w:color w:val="auto"/>
                <w:w w:val="98"/>
              </w:rPr>
              <w:t>2020</w:t>
            </w:r>
          </w:p>
        </w:tc>
      </w:tr>
      <w:tr>
        <w:trPr>
          <w:trHeight w:val="20"/>
        </w:trPr>
        <w:tc>
          <w:tcPr>
            <w:tcW w:w="920" w:type="dxa"/>
            <w:vAlign w:val="bottom"/>
          </w:tcPr>
          <w:p>
            <w:pPr>
              <w:spacing w:after="0" w:line="20" w:lineRule="exact"/>
              <w:rPr>
                <w:sz w:val="1"/>
                <w:szCs w:val="1"/>
                <w:color w:val="auto"/>
              </w:rPr>
            </w:pPr>
          </w:p>
        </w:tc>
        <w:tc>
          <w:tcPr>
            <w:tcW w:w="1960" w:type="dxa"/>
            <w:vAlign w:val="bottom"/>
            <w:gridSpan w:val="4"/>
            <w:shd w:val="clear" w:color="auto" w:fill="333333"/>
          </w:tcPr>
          <w:p>
            <w:pPr>
              <w:spacing w:after="0" w:line="20" w:lineRule="exact"/>
              <w:rPr>
                <w:sz w:val="1"/>
                <w:szCs w:val="1"/>
                <w:color w:val="auto"/>
              </w:rPr>
            </w:pPr>
          </w:p>
        </w:tc>
        <w:tc>
          <w:tcPr>
            <w:tcW w:w="20" w:type="dxa"/>
            <w:vAlign w:val="bottom"/>
            <w:shd w:val="clear" w:color="auto" w:fill="333333"/>
          </w:tcPr>
          <w:p>
            <w:pPr>
              <w:spacing w:after="0" w:line="20" w:lineRule="exact"/>
              <w:rPr>
                <w:sz w:val="1"/>
                <w:szCs w:val="1"/>
                <w:color w:val="auto"/>
              </w:rPr>
            </w:pPr>
          </w:p>
        </w:tc>
        <w:tc>
          <w:tcPr>
            <w:tcW w:w="300" w:type="dxa"/>
            <w:vAlign w:val="bottom"/>
            <w:shd w:val="clear" w:color="auto" w:fill="333333"/>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r>
      <w:tr>
        <w:trPr>
          <w:trHeight w:val="398"/>
        </w:trPr>
        <w:tc>
          <w:tcPr>
            <w:tcW w:w="920" w:type="dxa"/>
            <w:vAlign w:val="bottom"/>
          </w:tcPr>
          <w:p>
            <w:pPr>
              <w:spacing w:after="0"/>
              <w:rPr>
                <w:sz w:val="20"/>
                <w:szCs w:val="20"/>
                <w:color w:val="auto"/>
              </w:rPr>
            </w:pPr>
            <w:r>
              <w:rPr>
                <w:rFonts w:ascii="Arial" w:cs="Arial" w:eastAsia="Arial" w:hAnsi="Arial"/>
                <w:sz w:val="20"/>
                <w:szCs w:val="20"/>
                <w:color w:val="auto"/>
              </w:rPr>
              <w:t>10.18**</w:t>
            </w:r>
          </w:p>
        </w:tc>
        <w:tc>
          <w:tcPr>
            <w:tcW w:w="4680" w:type="dxa"/>
            <w:vAlign w:val="bottom"/>
            <w:gridSpan w:val="29"/>
          </w:tcPr>
          <w:p>
            <w:pPr>
              <w:spacing w:after="0"/>
              <w:rPr>
                <w:sz w:val="20"/>
                <w:szCs w:val="20"/>
                <w:color w:val="auto"/>
              </w:rPr>
            </w:pPr>
            <w:r>
              <w:rPr>
                <w:rFonts w:ascii="Arial" w:cs="Arial" w:eastAsia="Arial" w:hAnsi="Arial"/>
                <w:sz w:val="20"/>
                <w:szCs w:val="20"/>
                <w:color w:val="333333"/>
              </w:rPr>
              <w:t>First Amendment to Employment Agreement</w:t>
            </w:r>
          </w:p>
        </w:tc>
        <w:tc>
          <w:tcPr>
            <w:tcW w:w="660" w:type="dxa"/>
            <w:vAlign w:val="bottom"/>
          </w:tcPr>
          <w:p>
            <w:pPr>
              <w:jc w:val="center"/>
              <w:spacing w:after="0"/>
              <w:rPr>
                <w:sz w:val="20"/>
                <w:szCs w:val="20"/>
                <w:color w:val="auto"/>
              </w:rPr>
            </w:pPr>
            <w:r>
              <w:rPr>
                <w:rFonts w:ascii="Arial" w:cs="Arial" w:eastAsia="Arial" w:hAnsi="Arial"/>
                <w:sz w:val="20"/>
                <w:szCs w:val="20"/>
                <w:color w:val="auto"/>
                <w:w w:val="87"/>
              </w:rPr>
              <w:t>10 -K</w:t>
            </w:r>
          </w:p>
        </w:tc>
        <w:tc>
          <w:tcPr>
            <w:tcW w:w="3080" w:type="dxa"/>
            <w:vAlign w:val="bottom"/>
            <w:gridSpan w:val="3"/>
          </w:tcPr>
          <w:p>
            <w:pPr>
              <w:ind w:left="100"/>
              <w:spacing w:after="0"/>
              <w:rPr>
                <w:sz w:val="20"/>
                <w:szCs w:val="20"/>
                <w:color w:val="auto"/>
              </w:rPr>
            </w:pPr>
            <w:r>
              <w:rPr>
                <w:rFonts w:ascii="Arial" w:cs="Arial" w:eastAsia="Arial" w:hAnsi="Arial"/>
                <w:sz w:val="20"/>
                <w:szCs w:val="20"/>
                <w:color w:val="auto"/>
              </w:rPr>
              <w:t>001-39503 10.27 March 28, 2022</w:t>
            </w:r>
          </w:p>
        </w:tc>
      </w:tr>
      <w:tr>
        <w:trPr>
          <w:trHeight w:val="210"/>
        </w:trPr>
        <w:tc>
          <w:tcPr>
            <w:tcW w:w="920" w:type="dxa"/>
            <w:vAlign w:val="bottom"/>
          </w:tcPr>
          <w:p>
            <w:pPr>
              <w:spacing w:after="0"/>
              <w:rPr>
                <w:sz w:val="18"/>
                <w:szCs w:val="18"/>
                <w:color w:val="auto"/>
              </w:rPr>
            </w:pPr>
          </w:p>
        </w:tc>
        <w:tc>
          <w:tcPr>
            <w:tcW w:w="3960" w:type="dxa"/>
            <w:vAlign w:val="bottom"/>
            <w:tcBorders>
              <w:top w:val="single" w:sz="8" w:color="333333"/>
              <w:bottom w:val="single" w:sz="8" w:color="333333"/>
            </w:tcBorders>
            <w:gridSpan w:val="11"/>
          </w:tcPr>
          <w:p>
            <w:pPr>
              <w:spacing w:after="0" w:line="210" w:lineRule="exact"/>
              <w:rPr>
                <w:sz w:val="20"/>
                <w:szCs w:val="20"/>
                <w:color w:val="auto"/>
              </w:rPr>
            </w:pPr>
            <w:r>
              <w:rPr>
                <w:rFonts w:ascii="Arial" w:cs="Arial" w:eastAsia="Arial" w:hAnsi="Arial"/>
                <w:sz w:val="20"/>
                <w:szCs w:val="20"/>
                <w:color w:val="333333"/>
              </w:rPr>
              <w:t>between the Registrant and Hans Moebius,</w:t>
            </w:r>
          </w:p>
        </w:tc>
        <w:tc>
          <w:tcPr>
            <w:tcW w:w="440" w:type="dxa"/>
            <w:vAlign w:val="bottom"/>
            <w:tcBorders>
              <w:bottom w:val="single" w:sz="8" w:color="333333"/>
            </w:tcBorders>
            <w:gridSpan w:val="13"/>
          </w:tcPr>
          <w:p>
            <w:pPr>
              <w:spacing w:after="0" w:line="210" w:lineRule="exact"/>
              <w:rPr>
                <w:sz w:val="20"/>
                <w:szCs w:val="20"/>
                <w:color w:val="auto"/>
              </w:rPr>
            </w:pPr>
            <w:r>
              <w:rPr>
                <w:rFonts w:ascii="Arial" w:cs="Arial" w:eastAsia="Arial" w:hAnsi="Arial"/>
                <w:sz w:val="20"/>
                <w:szCs w:val="20"/>
                <w:color w:val="333333"/>
                <w:w w:val="83"/>
              </w:rPr>
              <w:t>Ph.D.</w:t>
            </w:r>
          </w:p>
        </w:tc>
        <w:tc>
          <w:tcPr>
            <w:tcW w:w="280" w:type="dxa"/>
            <w:vAlign w:val="bottom"/>
            <w:gridSpan w:val="5"/>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98"/>
        </w:trPr>
        <w:tc>
          <w:tcPr>
            <w:tcW w:w="920" w:type="dxa"/>
            <w:vAlign w:val="bottom"/>
          </w:tcPr>
          <w:p>
            <w:pPr>
              <w:ind w:left="60"/>
              <w:spacing w:after="0"/>
              <w:rPr>
                <w:sz w:val="20"/>
                <w:szCs w:val="20"/>
                <w:color w:val="auto"/>
              </w:rPr>
            </w:pPr>
            <w:r>
              <w:rPr>
                <w:rFonts w:ascii="Arial" w:cs="Arial" w:eastAsia="Arial" w:hAnsi="Arial"/>
                <w:sz w:val="20"/>
                <w:szCs w:val="20"/>
                <w:color w:val="auto"/>
              </w:rPr>
              <w:t>10.19**</w:t>
            </w:r>
          </w:p>
        </w:tc>
        <w:tc>
          <w:tcPr>
            <w:tcW w:w="4060" w:type="dxa"/>
            <w:vAlign w:val="bottom"/>
            <w:tcBorders>
              <w:bottom w:val="single" w:sz="8" w:color="333333"/>
            </w:tcBorders>
            <w:gridSpan w:val="14"/>
          </w:tcPr>
          <w:p>
            <w:pPr>
              <w:spacing w:after="0"/>
              <w:rPr>
                <w:sz w:val="20"/>
                <w:szCs w:val="20"/>
                <w:color w:val="auto"/>
              </w:rPr>
            </w:pPr>
            <w:r>
              <w:rPr>
                <w:rFonts w:ascii="Arial" w:cs="Arial" w:eastAsia="Arial" w:hAnsi="Arial"/>
                <w:sz w:val="20"/>
                <w:szCs w:val="20"/>
                <w:color w:val="333333"/>
                <w:w w:val="99"/>
              </w:rPr>
              <w:t>Change in Control and Severance Agreement</w:t>
            </w:r>
          </w:p>
        </w:tc>
        <w:tc>
          <w:tcPr>
            <w:tcW w:w="620" w:type="dxa"/>
            <w:vAlign w:val="bottom"/>
            <w:gridSpan w:val="15"/>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2000" w:type="dxa"/>
            <w:vAlign w:val="bottom"/>
            <w:gridSpan w:val="2"/>
          </w:tcPr>
          <w:p>
            <w:pPr>
              <w:ind w:left="40"/>
              <w:spacing w:after="0"/>
              <w:rPr>
                <w:sz w:val="20"/>
                <w:szCs w:val="20"/>
                <w:color w:val="auto"/>
              </w:rPr>
            </w:pPr>
            <w:r>
              <w:rPr>
                <w:rFonts w:ascii="Arial" w:cs="Arial" w:eastAsia="Arial" w:hAnsi="Arial"/>
                <w:sz w:val="20"/>
                <w:szCs w:val="20"/>
                <w:color w:val="auto"/>
              </w:rPr>
              <w:t>10.22 September 14,</w:t>
            </w:r>
          </w:p>
        </w:tc>
      </w:tr>
      <w:tr>
        <w:trPr>
          <w:trHeight w:val="210"/>
        </w:trPr>
        <w:tc>
          <w:tcPr>
            <w:tcW w:w="920" w:type="dxa"/>
            <w:vAlign w:val="bottom"/>
          </w:tcPr>
          <w:p>
            <w:pPr>
              <w:spacing w:after="0"/>
              <w:rPr>
                <w:sz w:val="18"/>
                <w:szCs w:val="18"/>
                <w:color w:val="auto"/>
              </w:rPr>
            </w:pPr>
          </w:p>
        </w:tc>
        <w:tc>
          <w:tcPr>
            <w:tcW w:w="4400" w:type="dxa"/>
            <w:vAlign w:val="bottom"/>
            <w:tcBorders>
              <w:bottom w:val="single" w:sz="8" w:color="333333"/>
            </w:tcBorders>
            <w:gridSpan w:val="24"/>
          </w:tcPr>
          <w:p>
            <w:pPr>
              <w:spacing w:after="0" w:line="210" w:lineRule="exact"/>
              <w:rPr>
                <w:sz w:val="20"/>
                <w:szCs w:val="20"/>
                <w:color w:val="auto"/>
              </w:rPr>
            </w:pPr>
            <w:r>
              <w:rPr>
                <w:rFonts w:ascii="Arial" w:cs="Arial" w:eastAsia="Arial" w:hAnsi="Arial"/>
                <w:sz w:val="20"/>
                <w:szCs w:val="20"/>
                <w:color w:val="333333"/>
                <w:w w:val="99"/>
              </w:rPr>
              <w:t>between the Registrant and Hans Moebius, Ph.D.</w:t>
            </w:r>
          </w:p>
        </w:tc>
        <w:tc>
          <w:tcPr>
            <w:tcW w:w="280" w:type="dxa"/>
            <w:vAlign w:val="bottom"/>
            <w:gridSpan w:val="5"/>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center"/>
              <w:spacing w:after="0" w:line="210" w:lineRule="exact"/>
              <w:rPr>
                <w:sz w:val="20"/>
                <w:szCs w:val="20"/>
                <w:color w:val="auto"/>
              </w:rPr>
            </w:pPr>
            <w:r>
              <w:rPr>
                <w:rFonts w:ascii="Arial" w:cs="Arial" w:eastAsia="Arial" w:hAnsi="Arial"/>
                <w:sz w:val="20"/>
                <w:szCs w:val="20"/>
                <w:color w:val="auto"/>
                <w:w w:val="98"/>
              </w:rPr>
              <w:t>248428</w:t>
            </w:r>
          </w:p>
        </w:tc>
        <w:tc>
          <w:tcPr>
            <w:tcW w:w="580" w:type="dxa"/>
            <w:vAlign w:val="bottom"/>
          </w:tcPr>
          <w:p>
            <w:pPr>
              <w:spacing w:after="0"/>
              <w:rPr>
                <w:sz w:val="18"/>
                <w:szCs w:val="18"/>
                <w:color w:val="auto"/>
              </w:rPr>
            </w:pPr>
          </w:p>
        </w:tc>
        <w:tc>
          <w:tcPr>
            <w:tcW w:w="1420" w:type="dxa"/>
            <w:vAlign w:val="bottom"/>
          </w:tcPr>
          <w:p>
            <w:pPr>
              <w:jc w:val="center"/>
              <w:spacing w:after="0" w:line="210" w:lineRule="exact"/>
              <w:rPr>
                <w:sz w:val="20"/>
                <w:szCs w:val="20"/>
                <w:color w:val="auto"/>
              </w:rPr>
            </w:pPr>
            <w:r>
              <w:rPr>
                <w:rFonts w:ascii="Arial" w:cs="Arial" w:eastAsia="Arial" w:hAnsi="Arial"/>
                <w:sz w:val="20"/>
                <w:szCs w:val="20"/>
                <w:color w:val="auto"/>
                <w:w w:val="98"/>
              </w:rPr>
              <w:t>2020</w:t>
            </w:r>
          </w:p>
        </w:tc>
      </w:tr>
      <w:tr>
        <w:trPr>
          <w:trHeight w:val="398"/>
        </w:trPr>
        <w:tc>
          <w:tcPr>
            <w:tcW w:w="920" w:type="dxa"/>
            <w:vAlign w:val="bottom"/>
          </w:tcPr>
          <w:p>
            <w:pPr>
              <w:spacing w:after="0"/>
              <w:rPr>
                <w:sz w:val="20"/>
                <w:szCs w:val="20"/>
                <w:color w:val="auto"/>
              </w:rPr>
            </w:pPr>
            <w:r>
              <w:rPr>
                <w:rFonts w:ascii="Arial" w:cs="Arial" w:eastAsia="Arial" w:hAnsi="Arial"/>
                <w:sz w:val="20"/>
                <w:szCs w:val="20"/>
                <w:color w:val="auto"/>
              </w:rPr>
              <w:t>10.20**</w:t>
            </w:r>
          </w:p>
        </w:tc>
        <w:tc>
          <w:tcPr>
            <w:tcW w:w="4680" w:type="dxa"/>
            <w:vAlign w:val="bottom"/>
            <w:gridSpan w:val="29"/>
          </w:tcPr>
          <w:p>
            <w:pPr>
              <w:spacing w:after="0"/>
              <w:rPr>
                <w:sz w:val="20"/>
                <w:szCs w:val="20"/>
                <w:color w:val="auto"/>
              </w:rPr>
            </w:pPr>
            <w:r>
              <w:rPr>
                <w:rFonts w:ascii="Arial" w:cs="Arial" w:eastAsia="Arial" w:hAnsi="Arial"/>
                <w:sz w:val="20"/>
                <w:szCs w:val="20"/>
                <w:color w:val="333333"/>
              </w:rPr>
              <w:t>Employment Offer Letter between the Registrant</w:t>
            </w:r>
          </w:p>
        </w:tc>
        <w:tc>
          <w:tcPr>
            <w:tcW w:w="660" w:type="dxa"/>
            <w:vAlign w:val="bottom"/>
          </w:tcPr>
          <w:p>
            <w:pPr>
              <w:jc w:val="center"/>
              <w:spacing w:after="0"/>
              <w:rPr>
                <w:sz w:val="20"/>
                <w:szCs w:val="20"/>
                <w:color w:val="auto"/>
              </w:rPr>
            </w:pPr>
            <w:r>
              <w:rPr>
                <w:rFonts w:ascii="Arial" w:cs="Arial" w:eastAsia="Arial" w:hAnsi="Arial"/>
                <w:sz w:val="20"/>
                <w:szCs w:val="20"/>
                <w:color w:val="auto"/>
                <w:w w:val="87"/>
              </w:rPr>
              <w:t>10 -Q</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10.1</w:t>
            </w:r>
          </w:p>
        </w:tc>
        <w:tc>
          <w:tcPr>
            <w:tcW w:w="1420" w:type="dxa"/>
            <w:vAlign w:val="bottom"/>
          </w:tcPr>
          <w:p>
            <w:pPr>
              <w:jc w:val="center"/>
              <w:spacing w:after="0"/>
              <w:rPr>
                <w:sz w:val="20"/>
                <w:szCs w:val="20"/>
                <w:color w:val="auto"/>
              </w:rPr>
            </w:pPr>
            <w:r>
              <w:rPr>
                <w:rFonts w:ascii="Arial" w:cs="Arial" w:eastAsia="Arial" w:hAnsi="Arial"/>
                <w:sz w:val="20"/>
                <w:szCs w:val="20"/>
                <w:color w:val="auto"/>
              </w:rPr>
              <w:t>August 16,</w:t>
            </w:r>
          </w:p>
        </w:tc>
      </w:tr>
      <w:tr>
        <w:trPr>
          <w:trHeight w:val="210"/>
        </w:trPr>
        <w:tc>
          <w:tcPr>
            <w:tcW w:w="920" w:type="dxa"/>
            <w:vAlign w:val="bottom"/>
          </w:tcPr>
          <w:p>
            <w:pPr>
              <w:spacing w:after="0"/>
              <w:rPr>
                <w:sz w:val="18"/>
                <w:szCs w:val="18"/>
                <w:color w:val="auto"/>
              </w:rPr>
            </w:pPr>
          </w:p>
        </w:tc>
        <w:tc>
          <w:tcPr>
            <w:tcW w:w="1960" w:type="dxa"/>
            <w:vAlign w:val="bottom"/>
            <w:tcBorders>
              <w:top w:val="single" w:sz="8" w:color="333333"/>
              <w:bottom w:val="single" w:sz="8" w:color="333333"/>
            </w:tcBorders>
            <w:gridSpan w:val="4"/>
          </w:tcPr>
          <w:p>
            <w:pPr>
              <w:spacing w:after="0" w:line="210" w:lineRule="exact"/>
              <w:rPr>
                <w:sz w:val="20"/>
                <w:szCs w:val="20"/>
                <w:color w:val="auto"/>
              </w:rPr>
            </w:pPr>
            <w:r>
              <w:rPr>
                <w:rFonts w:ascii="Arial" w:cs="Arial" w:eastAsia="Arial" w:hAnsi="Arial"/>
                <w:sz w:val="20"/>
                <w:szCs w:val="20"/>
                <w:color w:val="333333"/>
                <w:w w:val="99"/>
              </w:rPr>
              <w:t>and Rachel Lenington</w:t>
            </w:r>
          </w:p>
        </w:tc>
        <w:tc>
          <w:tcPr>
            <w:tcW w:w="2340" w:type="dxa"/>
            <w:vAlign w:val="bottom"/>
            <w:tcBorders>
              <w:top w:val="single" w:sz="8" w:color="333333"/>
            </w:tcBorders>
            <w:gridSpan w:val="17"/>
          </w:tcPr>
          <w:p>
            <w:pPr>
              <w:spacing w:after="0"/>
              <w:rPr>
                <w:sz w:val="18"/>
                <w:szCs w:val="18"/>
                <w:color w:val="auto"/>
              </w:rPr>
            </w:pPr>
          </w:p>
        </w:tc>
        <w:tc>
          <w:tcPr>
            <w:tcW w:w="380" w:type="dxa"/>
            <w:vAlign w:val="bottom"/>
            <w:gridSpan w:val="8"/>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jc w:val="center"/>
              <w:spacing w:after="0" w:line="210" w:lineRule="exact"/>
              <w:rPr>
                <w:sz w:val="20"/>
                <w:szCs w:val="20"/>
                <w:color w:val="auto"/>
              </w:rPr>
            </w:pPr>
            <w:r>
              <w:rPr>
                <w:rFonts w:ascii="Arial" w:cs="Arial" w:eastAsia="Arial" w:hAnsi="Arial"/>
                <w:sz w:val="20"/>
                <w:szCs w:val="20"/>
                <w:color w:val="auto"/>
                <w:w w:val="98"/>
              </w:rPr>
              <w:t>2021</w:t>
            </w:r>
          </w:p>
        </w:tc>
      </w:tr>
      <w:tr>
        <w:trPr>
          <w:trHeight w:val="398"/>
        </w:trPr>
        <w:tc>
          <w:tcPr>
            <w:tcW w:w="920" w:type="dxa"/>
            <w:vAlign w:val="bottom"/>
          </w:tcPr>
          <w:p>
            <w:pPr>
              <w:spacing w:after="0"/>
              <w:rPr>
                <w:sz w:val="20"/>
                <w:szCs w:val="20"/>
                <w:color w:val="auto"/>
              </w:rPr>
            </w:pPr>
            <w:r>
              <w:rPr>
                <w:rFonts w:ascii="Arial" w:cs="Arial" w:eastAsia="Arial" w:hAnsi="Arial"/>
                <w:sz w:val="20"/>
                <w:szCs w:val="20"/>
                <w:color w:val="auto"/>
              </w:rPr>
              <w:t>10.21**</w:t>
            </w:r>
          </w:p>
        </w:tc>
        <w:tc>
          <w:tcPr>
            <w:tcW w:w="4680" w:type="dxa"/>
            <w:vAlign w:val="bottom"/>
            <w:gridSpan w:val="29"/>
          </w:tcPr>
          <w:p>
            <w:pPr>
              <w:spacing w:after="0"/>
              <w:rPr>
                <w:sz w:val="20"/>
                <w:szCs w:val="20"/>
                <w:color w:val="auto"/>
              </w:rPr>
            </w:pPr>
            <w:r>
              <w:rPr>
                <w:rFonts w:ascii="Arial" w:cs="Arial" w:eastAsia="Arial" w:hAnsi="Arial"/>
                <w:sz w:val="20"/>
                <w:szCs w:val="20"/>
                <w:color w:val="333333"/>
              </w:rPr>
              <w:t>Change in Control and Severance Agreement</w:t>
            </w:r>
          </w:p>
        </w:tc>
        <w:tc>
          <w:tcPr>
            <w:tcW w:w="660" w:type="dxa"/>
            <w:vAlign w:val="bottom"/>
          </w:tcPr>
          <w:p>
            <w:pPr>
              <w:jc w:val="center"/>
              <w:spacing w:after="0"/>
              <w:rPr>
                <w:sz w:val="20"/>
                <w:szCs w:val="20"/>
                <w:color w:val="auto"/>
              </w:rPr>
            </w:pPr>
            <w:r>
              <w:rPr>
                <w:rFonts w:ascii="Arial" w:cs="Arial" w:eastAsia="Arial" w:hAnsi="Arial"/>
                <w:sz w:val="20"/>
                <w:szCs w:val="20"/>
                <w:color w:val="auto"/>
                <w:w w:val="87"/>
              </w:rPr>
              <w:t>10 -Q</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10.2</w:t>
            </w:r>
          </w:p>
        </w:tc>
        <w:tc>
          <w:tcPr>
            <w:tcW w:w="1420" w:type="dxa"/>
            <w:vAlign w:val="bottom"/>
          </w:tcPr>
          <w:p>
            <w:pPr>
              <w:jc w:val="center"/>
              <w:spacing w:after="0"/>
              <w:rPr>
                <w:sz w:val="20"/>
                <w:szCs w:val="20"/>
                <w:color w:val="auto"/>
              </w:rPr>
            </w:pPr>
            <w:r>
              <w:rPr>
                <w:rFonts w:ascii="Arial" w:cs="Arial" w:eastAsia="Arial" w:hAnsi="Arial"/>
                <w:sz w:val="20"/>
                <w:szCs w:val="20"/>
                <w:color w:val="auto"/>
              </w:rPr>
              <w:t>August 16,</w:t>
            </w:r>
          </w:p>
        </w:tc>
      </w:tr>
      <w:tr>
        <w:trPr>
          <w:trHeight w:val="210"/>
        </w:trPr>
        <w:tc>
          <w:tcPr>
            <w:tcW w:w="920" w:type="dxa"/>
            <w:vAlign w:val="bottom"/>
          </w:tcPr>
          <w:p>
            <w:pPr>
              <w:spacing w:after="0"/>
              <w:rPr>
                <w:sz w:val="18"/>
                <w:szCs w:val="18"/>
                <w:color w:val="auto"/>
              </w:rPr>
            </w:pPr>
          </w:p>
        </w:tc>
        <w:tc>
          <w:tcPr>
            <w:tcW w:w="4060" w:type="dxa"/>
            <w:vAlign w:val="bottom"/>
            <w:tcBorders>
              <w:top w:val="single" w:sz="8" w:color="333333"/>
              <w:bottom w:val="single" w:sz="8" w:color="333333"/>
            </w:tcBorders>
            <w:gridSpan w:val="14"/>
          </w:tcPr>
          <w:p>
            <w:pPr>
              <w:spacing w:after="0" w:line="210" w:lineRule="exact"/>
              <w:rPr>
                <w:sz w:val="20"/>
                <w:szCs w:val="20"/>
                <w:color w:val="auto"/>
              </w:rPr>
            </w:pPr>
            <w:r>
              <w:rPr>
                <w:rFonts w:ascii="Arial" w:cs="Arial" w:eastAsia="Arial" w:hAnsi="Arial"/>
                <w:sz w:val="20"/>
                <w:szCs w:val="20"/>
                <w:color w:val="333333"/>
                <w:w w:val="99"/>
              </w:rPr>
              <w:t>between the Registrant and Rachel Lenington</w:t>
            </w:r>
          </w:p>
        </w:tc>
        <w:tc>
          <w:tcPr>
            <w:tcW w:w="20" w:type="dxa"/>
            <w:vAlign w:val="bottom"/>
            <w:tcBorders>
              <w:bottom w:val="single" w:sz="8" w:color="333333"/>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520" w:type="dxa"/>
            <w:vAlign w:val="bottom"/>
            <w:gridSpan w:val="11"/>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jc w:val="center"/>
              <w:spacing w:after="0" w:line="210" w:lineRule="exact"/>
              <w:rPr>
                <w:sz w:val="20"/>
                <w:szCs w:val="20"/>
                <w:color w:val="auto"/>
              </w:rPr>
            </w:pPr>
            <w:r>
              <w:rPr>
                <w:rFonts w:ascii="Arial" w:cs="Arial" w:eastAsia="Arial" w:hAnsi="Arial"/>
                <w:sz w:val="20"/>
                <w:szCs w:val="20"/>
                <w:color w:val="auto"/>
                <w:w w:val="98"/>
              </w:rPr>
              <w:t>2021</w:t>
            </w:r>
          </w:p>
        </w:tc>
      </w:tr>
      <w:tr>
        <w:trPr>
          <w:trHeight w:val="398"/>
        </w:trPr>
        <w:tc>
          <w:tcPr>
            <w:tcW w:w="920" w:type="dxa"/>
            <w:vAlign w:val="bottom"/>
          </w:tcPr>
          <w:p>
            <w:pPr>
              <w:spacing w:after="0"/>
              <w:rPr>
                <w:sz w:val="20"/>
                <w:szCs w:val="20"/>
                <w:color w:val="auto"/>
              </w:rPr>
            </w:pPr>
            <w:r>
              <w:rPr>
                <w:rFonts w:ascii="Arial" w:cs="Arial" w:eastAsia="Arial" w:hAnsi="Arial"/>
                <w:sz w:val="20"/>
                <w:szCs w:val="20"/>
                <w:color w:val="auto"/>
              </w:rPr>
              <w:t>10.22**</w:t>
            </w:r>
          </w:p>
        </w:tc>
        <w:tc>
          <w:tcPr>
            <w:tcW w:w="4680" w:type="dxa"/>
            <w:vAlign w:val="bottom"/>
            <w:gridSpan w:val="29"/>
          </w:tcPr>
          <w:p>
            <w:pPr>
              <w:spacing w:after="0"/>
              <w:rPr>
                <w:sz w:val="20"/>
                <w:szCs w:val="20"/>
                <w:color w:val="auto"/>
              </w:rPr>
            </w:pPr>
            <w:r>
              <w:rPr>
                <w:rFonts w:ascii="Arial" w:cs="Arial" w:eastAsia="Arial" w:hAnsi="Arial"/>
                <w:sz w:val="20"/>
                <w:szCs w:val="20"/>
                <w:color w:val="333333"/>
              </w:rPr>
              <w:t>Employment Offer Letter between the Registrant</w:t>
            </w:r>
          </w:p>
        </w:tc>
        <w:tc>
          <w:tcPr>
            <w:tcW w:w="660" w:type="dxa"/>
            <w:vAlign w:val="bottom"/>
          </w:tcPr>
          <w:p>
            <w:pPr>
              <w:jc w:val="center"/>
              <w:spacing w:after="0"/>
              <w:rPr>
                <w:sz w:val="20"/>
                <w:szCs w:val="20"/>
                <w:color w:val="auto"/>
              </w:rPr>
            </w:pPr>
            <w:r>
              <w:rPr>
                <w:rFonts w:ascii="Arial" w:cs="Arial" w:eastAsia="Arial" w:hAnsi="Arial"/>
                <w:sz w:val="20"/>
                <w:szCs w:val="20"/>
                <w:color w:val="auto"/>
                <w:w w:val="87"/>
              </w:rPr>
              <w:t>10 -Q</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10.3</w:t>
            </w:r>
          </w:p>
        </w:tc>
        <w:tc>
          <w:tcPr>
            <w:tcW w:w="1420" w:type="dxa"/>
            <w:vAlign w:val="bottom"/>
          </w:tcPr>
          <w:p>
            <w:pPr>
              <w:jc w:val="center"/>
              <w:spacing w:after="0"/>
              <w:rPr>
                <w:sz w:val="20"/>
                <w:szCs w:val="20"/>
                <w:color w:val="auto"/>
              </w:rPr>
            </w:pPr>
            <w:r>
              <w:rPr>
                <w:rFonts w:ascii="Arial" w:cs="Arial" w:eastAsia="Arial" w:hAnsi="Arial"/>
                <w:sz w:val="20"/>
                <w:szCs w:val="20"/>
                <w:color w:val="auto"/>
              </w:rPr>
              <w:t>August 16,</w:t>
            </w:r>
          </w:p>
        </w:tc>
      </w:tr>
      <w:tr>
        <w:trPr>
          <w:trHeight w:val="210"/>
        </w:trPr>
        <w:tc>
          <w:tcPr>
            <w:tcW w:w="920" w:type="dxa"/>
            <w:vAlign w:val="bottom"/>
          </w:tcPr>
          <w:p>
            <w:pPr>
              <w:spacing w:after="0"/>
              <w:rPr>
                <w:sz w:val="18"/>
                <w:szCs w:val="18"/>
                <w:color w:val="auto"/>
              </w:rPr>
            </w:pPr>
          </w:p>
        </w:tc>
        <w:tc>
          <w:tcPr>
            <w:tcW w:w="1980" w:type="dxa"/>
            <w:vAlign w:val="bottom"/>
            <w:tcBorders>
              <w:top w:val="single" w:sz="8" w:color="333333"/>
              <w:bottom w:val="single" w:sz="8" w:color="333333"/>
            </w:tcBorders>
            <w:gridSpan w:val="5"/>
          </w:tcPr>
          <w:p>
            <w:pPr>
              <w:spacing w:after="0" w:line="210" w:lineRule="exact"/>
              <w:rPr>
                <w:sz w:val="20"/>
                <w:szCs w:val="20"/>
                <w:color w:val="auto"/>
              </w:rPr>
            </w:pPr>
            <w:r>
              <w:rPr>
                <w:rFonts w:ascii="Arial" w:cs="Arial" w:eastAsia="Arial" w:hAnsi="Arial"/>
                <w:sz w:val="20"/>
                <w:szCs w:val="20"/>
                <w:color w:val="333333"/>
                <w:w w:val="99"/>
              </w:rPr>
              <w:t>and Mark Worthington</w:t>
            </w:r>
          </w:p>
        </w:tc>
        <w:tc>
          <w:tcPr>
            <w:tcW w:w="2320" w:type="dxa"/>
            <w:vAlign w:val="bottom"/>
            <w:tcBorders>
              <w:top w:val="single" w:sz="8" w:color="333333"/>
            </w:tcBorders>
            <w:gridSpan w:val="16"/>
          </w:tcPr>
          <w:p>
            <w:pPr>
              <w:spacing w:after="0"/>
              <w:rPr>
                <w:sz w:val="18"/>
                <w:szCs w:val="18"/>
                <w:color w:val="auto"/>
              </w:rPr>
            </w:pPr>
          </w:p>
        </w:tc>
        <w:tc>
          <w:tcPr>
            <w:tcW w:w="380" w:type="dxa"/>
            <w:vAlign w:val="bottom"/>
            <w:gridSpan w:val="8"/>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jc w:val="center"/>
              <w:spacing w:after="0" w:line="210" w:lineRule="exact"/>
              <w:rPr>
                <w:sz w:val="20"/>
                <w:szCs w:val="20"/>
                <w:color w:val="auto"/>
              </w:rPr>
            </w:pPr>
            <w:r>
              <w:rPr>
                <w:rFonts w:ascii="Arial" w:cs="Arial" w:eastAsia="Arial" w:hAnsi="Arial"/>
                <w:sz w:val="20"/>
                <w:szCs w:val="20"/>
                <w:color w:val="auto"/>
                <w:w w:val="98"/>
              </w:rPr>
              <w:t>2021</w:t>
            </w:r>
          </w:p>
        </w:tc>
      </w:tr>
      <w:tr>
        <w:trPr>
          <w:trHeight w:val="398"/>
        </w:trPr>
        <w:tc>
          <w:tcPr>
            <w:tcW w:w="920" w:type="dxa"/>
            <w:vAlign w:val="bottom"/>
          </w:tcPr>
          <w:p>
            <w:pPr>
              <w:spacing w:after="0"/>
              <w:rPr>
                <w:sz w:val="20"/>
                <w:szCs w:val="20"/>
                <w:color w:val="auto"/>
              </w:rPr>
            </w:pPr>
            <w:r>
              <w:rPr>
                <w:rFonts w:ascii="Arial" w:cs="Arial" w:eastAsia="Arial" w:hAnsi="Arial"/>
                <w:sz w:val="20"/>
                <w:szCs w:val="20"/>
                <w:color w:val="auto"/>
              </w:rPr>
              <w:t>10.23**</w:t>
            </w:r>
          </w:p>
        </w:tc>
        <w:tc>
          <w:tcPr>
            <w:tcW w:w="4680" w:type="dxa"/>
            <w:vAlign w:val="bottom"/>
            <w:gridSpan w:val="29"/>
          </w:tcPr>
          <w:p>
            <w:pPr>
              <w:spacing w:after="0"/>
              <w:rPr>
                <w:sz w:val="20"/>
                <w:szCs w:val="20"/>
                <w:color w:val="auto"/>
              </w:rPr>
            </w:pPr>
            <w:r>
              <w:rPr>
                <w:rFonts w:ascii="Arial" w:cs="Arial" w:eastAsia="Arial" w:hAnsi="Arial"/>
                <w:sz w:val="20"/>
                <w:szCs w:val="20"/>
                <w:color w:val="333333"/>
              </w:rPr>
              <w:t>Change in Control and Severance Agreement</w:t>
            </w:r>
          </w:p>
        </w:tc>
        <w:tc>
          <w:tcPr>
            <w:tcW w:w="660" w:type="dxa"/>
            <w:vAlign w:val="bottom"/>
          </w:tcPr>
          <w:p>
            <w:pPr>
              <w:jc w:val="center"/>
              <w:spacing w:after="0"/>
              <w:rPr>
                <w:sz w:val="20"/>
                <w:szCs w:val="20"/>
                <w:color w:val="auto"/>
              </w:rPr>
            </w:pPr>
            <w:r>
              <w:rPr>
                <w:rFonts w:ascii="Arial" w:cs="Arial" w:eastAsia="Arial" w:hAnsi="Arial"/>
                <w:sz w:val="20"/>
                <w:szCs w:val="20"/>
                <w:color w:val="auto"/>
                <w:w w:val="87"/>
              </w:rPr>
              <w:t>10 -Q</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10.4</w:t>
            </w:r>
          </w:p>
        </w:tc>
        <w:tc>
          <w:tcPr>
            <w:tcW w:w="1420" w:type="dxa"/>
            <w:vAlign w:val="bottom"/>
          </w:tcPr>
          <w:p>
            <w:pPr>
              <w:jc w:val="center"/>
              <w:spacing w:after="0"/>
              <w:rPr>
                <w:sz w:val="20"/>
                <w:szCs w:val="20"/>
                <w:color w:val="auto"/>
              </w:rPr>
            </w:pPr>
            <w:r>
              <w:rPr>
                <w:rFonts w:ascii="Arial" w:cs="Arial" w:eastAsia="Arial" w:hAnsi="Arial"/>
                <w:sz w:val="20"/>
                <w:szCs w:val="20"/>
                <w:color w:val="auto"/>
              </w:rPr>
              <w:t>August 16,</w:t>
            </w:r>
          </w:p>
        </w:tc>
      </w:tr>
      <w:tr>
        <w:trPr>
          <w:trHeight w:val="210"/>
        </w:trPr>
        <w:tc>
          <w:tcPr>
            <w:tcW w:w="920" w:type="dxa"/>
            <w:vAlign w:val="bottom"/>
          </w:tcPr>
          <w:p>
            <w:pPr>
              <w:spacing w:after="0"/>
              <w:rPr>
                <w:sz w:val="18"/>
                <w:szCs w:val="18"/>
                <w:color w:val="auto"/>
              </w:rPr>
            </w:pPr>
          </w:p>
        </w:tc>
        <w:tc>
          <w:tcPr>
            <w:tcW w:w="4060" w:type="dxa"/>
            <w:vAlign w:val="bottom"/>
            <w:tcBorders>
              <w:top w:val="single" w:sz="8" w:color="333333"/>
              <w:bottom w:val="single" w:sz="8" w:color="333333"/>
            </w:tcBorders>
            <w:gridSpan w:val="14"/>
          </w:tcPr>
          <w:p>
            <w:pPr>
              <w:spacing w:after="0" w:line="210" w:lineRule="exact"/>
              <w:rPr>
                <w:sz w:val="20"/>
                <w:szCs w:val="20"/>
                <w:color w:val="auto"/>
              </w:rPr>
            </w:pPr>
            <w:r>
              <w:rPr>
                <w:rFonts w:ascii="Arial" w:cs="Arial" w:eastAsia="Arial" w:hAnsi="Arial"/>
                <w:sz w:val="20"/>
                <w:szCs w:val="20"/>
                <w:color w:val="333333"/>
                <w:w w:val="99"/>
              </w:rPr>
              <w:t>between the Registrant and Mark Worthington</w:t>
            </w:r>
          </w:p>
        </w:tc>
        <w:tc>
          <w:tcPr>
            <w:tcW w:w="20" w:type="dxa"/>
            <w:vAlign w:val="bottom"/>
            <w:tcBorders>
              <w:bottom w:val="single" w:sz="8" w:color="333333"/>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520" w:type="dxa"/>
            <w:vAlign w:val="bottom"/>
            <w:gridSpan w:val="11"/>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jc w:val="center"/>
              <w:spacing w:after="0" w:line="210" w:lineRule="exact"/>
              <w:rPr>
                <w:sz w:val="20"/>
                <w:szCs w:val="20"/>
                <w:color w:val="auto"/>
              </w:rPr>
            </w:pPr>
            <w:r>
              <w:rPr>
                <w:rFonts w:ascii="Arial" w:cs="Arial" w:eastAsia="Arial" w:hAnsi="Arial"/>
                <w:sz w:val="20"/>
                <w:szCs w:val="20"/>
                <w:color w:val="auto"/>
                <w:w w:val="98"/>
              </w:rPr>
              <w:t>2021</w:t>
            </w:r>
          </w:p>
        </w:tc>
      </w:tr>
      <w:tr>
        <w:trPr>
          <w:trHeight w:val="398"/>
        </w:trPr>
        <w:tc>
          <w:tcPr>
            <w:tcW w:w="920" w:type="dxa"/>
            <w:vAlign w:val="bottom"/>
          </w:tcPr>
          <w:p>
            <w:pPr>
              <w:spacing w:after="0"/>
              <w:rPr>
                <w:sz w:val="20"/>
                <w:szCs w:val="20"/>
                <w:color w:val="auto"/>
              </w:rPr>
            </w:pPr>
            <w:r>
              <w:rPr>
                <w:rFonts w:ascii="Arial" w:cs="Arial" w:eastAsia="Arial" w:hAnsi="Arial"/>
                <w:sz w:val="20"/>
                <w:szCs w:val="20"/>
                <w:color w:val="auto"/>
              </w:rPr>
              <w:t>10.24</w:t>
            </w:r>
          </w:p>
        </w:tc>
        <w:tc>
          <w:tcPr>
            <w:tcW w:w="4680" w:type="dxa"/>
            <w:vAlign w:val="bottom"/>
            <w:gridSpan w:val="29"/>
          </w:tcPr>
          <w:p>
            <w:pPr>
              <w:spacing w:after="0"/>
              <w:rPr>
                <w:sz w:val="20"/>
                <w:szCs w:val="20"/>
                <w:color w:val="auto"/>
              </w:rPr>
            </w:pPr>
            <w:r>
              <w:rPr>
                <w:rFonts w:ascii="Arial" w:cs="Arial" w:eastAsia="Arial" w:hAnsi="Arial"/>
                <w:sz w:val="20"/>
                <w:szCs w:val="20"/>
                <w:color w:val="333333"/>
              </w:rPr>
              <w:t>First Amendment to Lease by and between the</w:t>
            </w:r>
          </w:p>
        </w:tc>
        <w:tc>
          <w:tcPr>
            <w:tcW w:w="660" w:type="dxa"/>
            <w:vAlign w:val="bottom"/>
          </w:tcPr>
          <w:p>
            <w:pPr>
              <w:jc w:val="center"/>
              <w:spacing w:after="0"/>
              <w:rPr>
                <w:sz w:val="20"/>
                <w:szCs w:val="20"/>
                <w:color w:val="auto"/>
              </w:rPr>
            </w:pPr>
            <w:r>
              <w:rPr>
                <w:rFonts w:ascii="Arial" w:cs="Arial" w:eastAsia="Arial" w:hAnsi="Arial"/>
                <w:sz w:val="20"/>
                <w:szCs w:val="20"/>
                <w:color w:val="auto"/>
                <w:w w:val="87"/>
              </w:rPr>
              <w:t>10 -Q</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10.5</w:t>
            </w:r>
          </w:p>
        </w:tc>
        <w:tc>
          <w:tcPr>
            <w:tcW w:w="1420" w:type="dxa"/>
            <w:vAlign w:val="bottom"/>
          </w:tcPr>
          <w:p>
            <w:pPr>
              <w:jc w:val="center"/>
              <w:spacing w:after="0"/>
              <w:rPr>
                <w:sz w:val="20"/>
                <w:szCs w:val="20"/>
                <w:color w:val="auto"/>
              </w:rPr>
            </w:pPr>
            <w:r>
              <w:rPr>
                <w:rFonts w:ascii="Arial" w:cs="Arial" w:eastAsia="Arial" w:hAnsi="Arial"/>
                <w:sz w:val="20"/>
                <w:szCs w:val="20"/>
                <w:color w:val="auto"/>
              </w:rPr>
              <w:t>August 16,</w:t>
            </w:r>
          </w:p>
        </w:tc>
      </w:tr>
      <w:tr>
        <w:trPr>
          <w:trHeight w:val="210"/>
        </w:trPr>
        <w:tc>
          <w:tcPr>
            <w:tcW w:w="920" w:type="dxa"/>
            <w:vAlign w:val="bottom"/>
          </w:tcPr>
          <w:p>
            <w:pPr>
              <w:spacing w:after="0"/>
              <w:rPr>
                <w:sz w:val="18"/>
                <w:szCs w:val="18"/>
                <w:color w:val="auto"/>
              </w:rPr>
            </w:pPr>
          </w:p>
        </w:tc>
        <w:tc>
          <w:tcPr>
            <w:tcW w:w="4160" w:type="dxa"/>
            <w:vAlign w:val="bottom"/>
            <w:tcBorders>
              <w:top w:val="single" w:sz="8" w:color="333333"/>
            </w:tcBorders>
            <w:gridSpan w:val="18"/>
          </w:tcPr>
          <w:p>
            <w:pPr>
              <w:spacing w:after="0" w:line="210" w:lineRule="exact"/>
              <w:rPr>
                <w:sz w:val="20"/>
                <w:szCs w:val="20"/>
                <w:color w:val="auto"/>
              </w:rPr>
            </w:pPr>
            <w:r>
              <w:rPr>
                <w:rFonts w:ascii="Arial" w:cs="Arial" w:eastAsia="Arial" w:hAnsi="Arial"/>
                <w:sz w:val="20"/>
                <w:szCs w:val="20"/>
                <w:color w:val="333333"/>
              </w:rPr>
              <w:t>Registrant and Nitrogen Propco 2020, L.P., as</w:t>
            </w:r>
          </w:p>
        </w:tc>
        <w:tc>
          <w:tcPr>
            <w:tcW w:w="520" w:type="dxa"/>
            <w:vAlign w:val="bottom"/>
            <w:gridSpan w:val="11"/>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jc w:val="center"/>
              <w:spacing w:after="0" w:line="210" w:lineRule="exact"/>
              <w:rPr>
                <w:sz w:val="20"/>
                <w:szCs w:val="20"/>
                <w:color w:val="auto"/>
              </w:rPr>
            </w:pPr>
            <w:r>
              <w:rPr>
                <w:rFonts w:ascii="Arial" w:cs="Arial" w:eastAsia="Arial" w:hAnsi="Arial"/>
                <w:sz w:val="20"/>
                <w:szCs w:val="20"/>
                <w:color w:val="auto"/>
                <w:w w:val="98"/>
              </w:rPr>
              <w:t>2021</w:t>
            </w:r>
          </w:p>
        </w:tc>
      </w:tr>
      <w:tr>
        <w:trPr>
          <w:trHeight w:val="210"/>
        </w:trPr>
        <w:tc>
          <w:tcPr>
            <w:tcW w:w="920" w:type="dxa"/>
            <w:vAlign w:val="bottom"/>
          </w:tcPr>
          <w:p>
            <w:pPr>
              <w:spacing w:after="0"/>
              <w:rPr>
                <w:sz w:val="18"/>
                <w:szCs w:val="18"/>
                <w:color w:val="auto"/>
              </w:rPr>
            </w:pPr>
          </w:p>
        </w:tc>
        <w:tc>
          <w:tcPr>
            <w:tcW w:w="4100" w:type="dxa"/>
            <w:vAlign w:val="bottom"/>
            <w:tcBorders>
              <w:top w:val="single" w:sz="8" w:color="333333"/>
            </w:tcBorders>
            <w:gridSpan w:val="16"/>
          </w:tcPr>
          <w:p>
            <w:pPr>
              <w:spacing w:after="0" w:line="210" w:lineRule="exact"/>
              <w:rPr>
                <w:sz w:val="20"/>
                <w:szCs w:val="20"/>
                <w:color w:val="auto"/>
              </w:rPr>
            </w:pPr>
            <w:r>
              <w:rPr>
                <w:rFonts w:ascii="Arial" w:cs="Arial" w:eastAsia="Arial" w:hAnsi="Arial"/>
                <w:sz w:val="20"/>
                <w:szCs w:val="20"/>
                <w:color w:val="333333"/>
              </w:rPr>
              <w:t>successor-in-interest to North Creek Parkway</w:t>
            </w:r>
          </w:p>
        </w:tc>
        <w:tc>
          <w:tcPr>
            <w:tcW w:w="580" w:type="dxa"/>
            <w:vAlign w:val="bottom"/>
            <w:gridSpan w:val="13"/>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9"/>
        </w:trPr>
        <w:tc>
          <w:tcPr>
            <w:tcW w:w="920" w:type="dxa"/>
            <w:vAlign w:val="bottom"/>
          </w:tcPr>
          <w:p>
            <w:pPr>
              <w:spacing w:after="0"/>
              <w:rPr>
                <w:sz w:val="18"/>
                <w:szCs w:val="18"/>
                <w:color w:val="auto"/>
              </w:rPr>
            </w:pPr>
          </w:p>
        </w:tc>
        <w:tc>
          <w:tcPr>
            <w:tcW w:w="3940" w:type="dxa"/>
            <w:vAlign w:val="bottom"/>
            <w:tcBorders>
              <w:top w:val="single" w:sz="8" w:color="333333"/>
              <w:bottom w:val="single" w:sz="8" w:color="333333"/>
            </w:tcBorders>
            <w:gridSpan w:val="10"/>
          </w:tcPr>
          <w:p>
            <w:pPr>
              <w:spacing w:after="0" w:line="209" w:lineRule="exact"/>
              <w:rPr>
                <w:sz w:val="20"/>
                <w:szCs w:val="20"/>
                <w:color w:val="auto"/>
              </w:rPr>
            </w:pPr>
            <w:r>
              <w:rPr>
                <w:rFonts w:ascii="Arial" w:cs="Arial" w:eastAsia="Arial" w:hAnsi="Arial"/>
                <w:sz w:val="20"/>
                <w:szCs w:val="20"/>
                <w:color w:val="333333"/>
              </w:rPr>
              <w:t>Center Investors, L.P., dated June 28, 2021</w:t>
            </w:r>
          </w:p>
        </w:tc>
        <w:tc>
          <w:tcPr>
            <w:tcW w:w="100" w:type="dxa"/>
            <w:vAlign w:val="bottom"/>
            <w:tcBorders>
              <w:top w:val="single" w:sz="8" w:color="333333"/>
            </w:tcBorders>
            <w:gridSpan w:val="3"/>
          </w:tcPr>
          <w:p>
            <w:pPr>
              <w:spacing w:after="0"/>
              <w:rPr>
                <w:sz w:val="18"/>
                <w:szCs w:val="18"/>
                <w:color w:val="auto"/>
              </w:rPr>
            </w:pPr>
          </w:p>
        </w:tc>
        <w:tc>
          <w:tcPr>
            <w:tcW w:w="640" w:type="dxa"/>
            <w:vAlign w:val="bottom"/>
            <w:gridSpan w:val="16"/>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r>
    </w:tbl>
    <w:p>
      <w:pPr>
        <w:spacing w:after="0" w:line="200" w:lineRule="exact"/>
        <w:rPr>
          <w:sz w:val="20"/>
          <w:szCs w:val="20"/>
          <w:color w:val="auto"/>
        </w:rPr>
      </w:pPr>
    </w:p>
    <w:p>
      <w:pPr>
        <w:sectPr>
          <w:pgSz w:w="11880" w:h="15474" w:orient="portrait"/>
          <w:cols w:equalWidth="0" w:num="1">
            <w:col w:w="9340"/>
          </w:cols>
          <w:pgMar w:left="1240" w:top="1273" w:right="1294" w:bottom="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162</w:t>
      </w:r>
    </w:p>
    <w:p>
      <w:pPr>
        <w:sectPr>
          <w:pgSz w:w="11880" w:h="15474" w:orient="portrait"/>
          <w:cols w:equalWidth="0" w:num="1">
            <w:col w:w="9340"/>
          </w:cols>
          <w:pgMar w:left="1240" w:top="1273" w:right="1294" w:bottom="0" w:gutter="0" w:footer="0" w:header="0"/>
          <w:type w:val="continuous"/>
        </w:sectPr>
      </w:pPr>
    </w:p>
    <w:bookmarkStart w:id="168" w:name="page169"/>
    <w:bookmarkEnd w:id="168"/>
    <w:p>
      <w:pPr>
        <w:ind w:left="920" w:right="480" w:hanging="922"/>
        <w:spacing w:after="0" w:line="283" w:lineRule="auto"/>
        <w:tabs>
          <w:tab w:leader="none" w:pos="900" w:val="left"/>
        </w:tabs>
        <w:rPr>
          <w:sz w:val="20"/>
          <w:szCs w:val="20"/>
          <w:color w:val="auto"/>
        </w:rPr>
      </w:pPr>
      <w:r>
        <w:rPr>
          <w:rFonts w:ascii="Arial" w:cs="Arial" w:eastAsia="Arial" w:hAnsi="Arial"/>
          <w:sz w:val="20"/>
          <w:szCs w:val="20"/>
          <w:color w:val="auto"/>
        </w:rPr>
        <w:t>10.25**</w:t>
      </w:r>
      <w:r>
        <w:rPr>
          <w:sz w:val="20"/>
          <w:szCs w:val="20"/>
          <w:color w:val="auto"/>
        </w:rPr>
        <w:tab/>
      </w:r>
      <w:r>
        <w:rPr>
          <w:rFonts w:ascii="Arial" w:cs="Arial" w:eastAsia="Arial" w:hAnsi="Arial"/>
          <w:sz w:val="20"/>
          <w:szCs w:val="20"/>
          <w:u w:val="single" w:color="auto"/>
          <w:color w:val="333333"/>
        </w:rPr>
        <w:t>Change in Control and Severance Agreement between the Registrant and Kevin Church</w:t>
      </w:r>
    </w:p>
    <w:p>
      <w:pPr>
        <w:spacing w:after="0" w:line="106" w:lineRule="exact"/>
        <w:rPr>
          <w:sz w:val="20"/>
          <w:szCs w:val="20"/>
          <w:color w:val="auto"/>
        </w:rPr>
      </w:pPr>
    </w:p>
    <w:p>
      <w:pPr>
        <w:jc w:val="both"/>
        <w:ind w:left="920" w:right="400" w:hanging="922"/>
        <w:spacing w:after="0" w:line="248" w:lineRule="auto"/>
        <w:tabs>
          <w:tab w:leader="none" w:pos="900" w:val="left"/>
        </w:tabs>
        <w:rPr>
          <w:sz w:val="20"/>
          <w:szCs w:val="20"/>
          <w:color w:val="auto"/>
        </w:rPr>
      </w:pPr>
      <w:r>
        <w:rPr>
          <w:rFonts w:ascii="Arial" w:cs="Arial" w:eastAsia="Arial" w:hAnsi="Arial"/>
          <w:sz w:val="20"/>
          <w:szCs w:val="20"/>
          <w:color w:val="auto"/>
        </w:rPr>
        <w:t>10.26</w:t>
      </w:r>
      <w:r>
        <w:rPr>
          <w:sz w:val="20"/>
          <w:szCs w:val="20"/>
          <w:color w:val="auto"/>
        </w:rPr>
        <w:tab/>
      </w:r>
      <w:r>
        <w:rPr>
          <w:rFonts w:ascii="Arial" w:cs="Arial" w:eastAsia="Arial" w:hAnsi="Arial"/>
          <w:sz w:val="19"/>
          <w:szCs w:val="19"/>
          <w:u w:val="single" w:color="auto"/>
          <w:color w:val="333333"/>
        </w:rPr>
        <w:t>Controlled Equity Offering Sales Agreement</w:t>
      </w:r>
      <w:r>
        <w:rPr>
          <w:rFonts w:ascii="Arial" w:cs="Arial" w:eastAsia="Arial" w:hAnsi="Arial"/>
          <w:sz w:val="24"/>
          <w:szCs w:val="24"/>
          <w:u w:val="single" w:color="auto"/>
          <w:color w:val="333333"/>
          <w:vertAlign w:val="superscript"/>
        </w:rPr>
        <w:t>SM</w:t>
      </w:r>
      <w:r>
        <w:rPr>
          <w:rFonts w:ascii="Arial" w:cs="Arial" w:eastAsia="Arial" w:hAnsi="Arial"/>
          <w:sz w:val="19"/>
          <w:szCs w:val="19"/>
          <w:u w:val="single" w:color="auto"/>
          <w:color w:val="333333"/>
        </w:rPr>
        <w:t>, dated January 6, 2023, among the Registrant, Cantor Fitzgerald &amp; Co. and BTIG, LLC</w:t>
      </w:r>
    </w:p>
    <w:p>
      <w:pPr>
        <w:spacing w:after="0" w:line="142" w:lineRule="exact"/>
        <w:rPr>
          <w:sz w:val="20"/>
          <w:szCs w:val="20"/>
          <w:color w:val="auto"/>
        </w:rPr>
      </w:pPr>
    </w:p>
    <w:p>
      <w:pPr>
        <w:ind w:left="920" w:right="360" w:hanging="922"/>
        <w:spacing w:after="0" w:line="261" w:lineRule="auto"/>
        <w:tabs>
          <w:tab w:leader="none" w:pos="900" w:val="left"/>
        </w:tabs>
        <w:rPr>
          <w:sz w:val="20"/>
          <w:szCs w:val="20"/>
          <w:color w:val="auto"/>
        </w:rPr>
      </w:pPr>
      <w:r>
        <w:rPr>
          <w:rFonts w:ascii="Arial" w:cs="Arial" w:eastAsia="Arial" w:hAnsi="Arial"/>
          <w:sz w:val="20"/>
          <w:szCs w:val="20"/>
          <w:color w:val="auto"/>
        </w:rPr>
        <w:t>10.27**</w:t>
      </w:r>
      <w:r>
        <w:rPr>
          <w:sz w:val="20"/>
          <w:szCs w:val="20"/>
          <w:color w:val="auto"/>
        </w:rPr>
        <w:tab/>
      </w:r>
      <w:r>
        <w:rPr>
          <w:rFonts w:ascii="Arial" w:cs="Arial" w:eastAsia="Arial" w:hAnsi="Arial"/>
          <w:sz w:val="20"/>
          <w:szCs w:val="20"/>
          <w:u w:val="single" w:color="auto"/>
          <w:color w:val="333333"/>
        </w:rPr>
        <w:t>Executive Transition Agreement between the Registrant and Hans Moebius dated January 5, 2024</w:t>
      </w:r>
    </w:p>
    <w:p>
      <w:pPr>
        <w:spacing w:after="0" w:line="12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9"/>
          <w:szCs w:val="19"/>
          <w:u w:val="single" w:color="auto"/>
          <w:color w:val="333333"/>
        </w:rPr>
        <w:t>List of Subsidiaries of the Registrant</w:t>
      </w:r>
    </w:p>
    <w:p>
      <w:pPr>
        <w:spacing w:after="0" w:line="200" w:lineRule="exact"/>
        <w:rPr>
          <w:sz w:val="20"/>
          <w:szCs w:val="20"/>
          <w:color w:val="auto"/>
        </w:rPr>
      </w:pPr>
    </w:p>
    <w:p>
      <w:pPr>
        <w:spacing w:after="0" w:line="218" w:lineRule="exact"/>
        <w:rPr>
          <w:sz w:val="20"/>
          <w:szCs w:val="20"/>
          <w:color w:val="auto"/>
        </w:rPr>
      </w:pPr>
    </w:p>
    <w:p>
      <w:pPr>
        <w:ind w:left="920" w:right="780" w:hanging="867"/>
        <w:spacing w:after="0" w:line="283" w:lineRule="auto"/>
        <w:tabs>
          <w:tab w:leader="none" w:pos="90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20"/>
          <w:szCs w:val="20"/>
          <w:u w:val="single" w:color="auto"/>
          <w:color w:val="333333"/>
        </w:rPr>
        <w:t>Consent of Independent Registered Public Accounting Firm</w:t>
      </w:r>
    </w:p>
    <w:p>
      <w:pPr>
        <w:spacing w:after="0" w:line="106" w:lineRule="exact"/>
        <w:rPr>
          <w:sz w:val="20"/>
          <w:szCs w:val="20"/>
          <w:color w:val="auto"/>
        </w:rPr>
      </w:pPr>
    </w:p>
    <w:p>
      <w:pPr>
        <w:ind w:left="920" w:right="380" w:hanging="867"/>
        <w:spacing w:after="0" w:line="283" w:lineRule="auto"/>
        <w:tabs>
          <w:tab w:leader="none" w:pos="900" w:val="left"/>
        </w:tabs>
        <w:rPr>
          <w:sz w:val="20"/>
          <w:szCs w:val="20"/>
          <w:color w:val="auto"/>
        </w:rPr>
      </w:pPr>
      <w:r>
        <w:rPr>
          <w:rFonts w:ascii="Arial" w:cs="Arial" w:eastAsia="Arial" w:hAnsi="Arial"/>
          <w:sz w:val="20"/>
          <w:szCs w:val="20"/>
          <w:color w:val="auto"/>
        </w:rPr>
        <w:t>24.1</w:t>
      </w:r>
      <w:r>
        <w:rPr>
          <w:sz w:val="20"/>
          <w:szCs w:val="20"/>
          <w:color w:val="auto"/>
        </w:rPr>
        <w:tab/>
      </w:r>
      <w:r>
        <w:rPr>
          <w:rFonts w:ascii="Arial" w:cs="Arial" w:eastAsia="Arial" w:hAnsi="Arial"/>
          <w:sz w:val="20"/>
          <w:szCs w:val="20"/>
          <w:color w:val="333333"/>
        </w:rPr>
        <w:t>Power of Attorney (included in signature pages hereto)</w:t>
      </w:r>
    </w:p>
    <w:p>
      <w:pPr>
        <w:spacing w:after="0" w:line="106" w:lineRule="exact"/>
        <w:rPr>
          <w:sz w:val="20"/>
          <w:szCs w:val="20"/>
          <w:color w:val="auto"/>
        </w:rPr>
      </w:pPr>
    </w:p>
    <w:p>
      <w:pPr>
        <w:ind w:left="920" w:hanging="867"/>
        <w:spacing w:after="0" w:line="250" w:lineRule="auto"/>
        <w:tabs>
          <w:tab w:leader="none" w:pos="90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20"/>
          <w:szCs w:val="20"/>
          <w:u w:val="single" w:color="auto"/>
          <w:color w:val="333333"/>
        </w:rPr>
        <w:t>Certification of Principal Executive Officer Pursuant to Rules 13a-14(a) and 15d -14(a) under the Securities Exchange Act of 1934, as Adopted Pursuant to Section 302 of the Sarbanes-Oxley Act of 2002</w:t>
      </w:r>
    </w:p>
    <w:p>
      <w:pPr>
        <w:spacing w:after="0" w:line="140" w:lineRule="exact"/>
        <w:rPr>
          <w:sz w:val="20"/>
          <w:szCs w:val="20"/>
          <w:color w:val="auto"/>
        </w:rPr>
      </w:pPr>
    </w:p>
    <w:p>
      <w:pPr>
        <w:ind w:left="920" w:right="60" w:hanging="867"/>
        <w:spacing w:after="0" w:line="250" w:lineRule="auto"/>
        <w:tabs>
          <w:tab w:leader="none" w:pos="90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20"/>
          <w:szCs w:val="20"/>
          <w:u w:val="single" w:color="auto"/>
          <w:color w:val="333333"/>
        </w:rPr>
        <w:t>Certification of Principal Accounting and Financial Officer Pursuant to Rules 13a-14(a) and 15d-14(a) under the Securities Exchange Act of 1934, as Adopted Pursuant to Section 302 of the Sarbanes-Oxley Act of 2002</w:t>
      </w:r>
    </w:p>
    <w:p>
      <w:pPr>
        <w:spacing w:after="0" w:line="140" w:lineRule="exact"/>
        <w:rPr>
          <w:sz w:val="20"/>
          <w:szCs w:val="20"/>
          <w:color w:val="auto"/>
        </w:rPr>
      </w:pPr>
    </w:p>
    <w:p>
      <w:pPr>
        <w:jc w:val="both"/>
        <w:ind w:left="920" w:hanging="867"/>
        <w:spacing w:after="0" w:line="261" w:lineRule="auto"/>
        <w:tabs>
          <w:tab w:leader="none" w:pos="90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20"/>
          <w:szCs w:val="20"/>
          <w:u w:val="single" w:color="auto"/>
          <w:color w:val="333333"/>
        </w:rPr>
        <w:t>Certification of Principal Executive Officer Pursuant to 18 U.S.C. Section 1350, as Adopted Pursuant to Section 906 of the Sarbanes-Oxley Act of 2002</w:t>
      </w:r>
    </w:p>
    <w:p>
      <w:pPr>
        <w:spacing w:after="0" w:line="128" w:lineRule="exact"/>
        <w:rPr>
          <w:sz w:val="20"/>
          <w:szCs w:val="20"/>
          <w:color w:val="auto"/>
        </w:rPr>
      </w:pPr>
    </w:p>
    <w:p>
      <w:pPr>
        <w:ind w:left="920" w:right="60" w:hanging="867"/>
        <w:spacing w:after="0" w:line="254" w:lineRule="auto"/>
        <w:tabs>
          <w:tab w:leader="none" w:pos="900" w:val="left"/>
        </w:tabs>
        <w:rPr>
          <w:sz w:val="20"/>
          <w:szCs w:val="20"/>
          <w:color w:val="auto"/>
        </w:rPr>
      </w:pPr>
      <w:r>
        <w:rPr>
          <w:rFonts w:ascii="Arial" w:cs="Arial" w:eastAsia="Arial" w:hAnsi="Arial"/>
          <w:sz w:val="20"/>
          <w:szCs w:val="20"/>
          <w:color w:val="auto"/>
        </w:rPr>
        <w:t>32.2*</w:t>
      </w:r>
      <w:r>
        <w:rPr>
          <w:sz w:val="20"/>
          <w:szCs w:val="20"/>
          <w:color w:val="auto"/>
        </w:rPr>
        <w:tab/>
      </w:r>
      <w:r>
        <w:rPr>
          <w:rFonts w:ascii="Arial" w:cs="Arial" w:eastAsia="Arial" w:hAnsi="Arial"/>
          <w:sz w:val="20"/>
          <w:szCs w:val="20"/>
          <w:u w:val="single" w:color="auto"/>
          <w:color w:val="333333"/>
        </w:rPr>
        <w:t>Certification of Principal Accounting and Financial Officer Pursuant to 18 U.S.C. Section 1350, as Adopted Pursuant to Section 906 of the Sarbanes-Oxley Act of 2002</w:t>
      </w:r>
    </w:p>
    <w:p>
      <w:pPr>
        <w:spacing w:after="0" w:line="134" w:lineRule="exact"/>
        <w:rPr>
          <w:sz w:val="20"/>
          <w:szCs w:val="20"/>
          <w:color w:val="auto"/>
        </w:rPr>
      </w:pPr>
    </w:p>
    <w:p>
      <w:pPr>
        <w:ind w:left="920" w:right="180" w:hanging="916"/>
        <w:spacing w:after="0" w:line="283" w:lineRule="auto"/>
        <w:tabs>
          <w:tab w:leader="none" w:pos="92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333333"/>
        </w:rPr>
        <w:t>Amended and Restated Compensation Recovery Policy</w:t>
      </w:r>
    </w:p>
    <w:p>
      <w:pPr>
        <w:spacing w:after="0" w:line="106"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color w:val="auto"/>
        </w:rPr>
        <w:t>101.INS</w:t>
        <w:tab/>
        <w:t>Inline XBRL Instance Document</w:t>
      </w:r>
    </w:p>
    <w:p>
      <w:pPr>
        <w:spacing w:after="0" w:line="188" w:lineRule="exact"/>
        <w:rPr>
          <w:sz w:val="20"/>
          <w:szCs w:val="20"/>
          <w:color w:val="auto"/>
        </w:rPr>
      </w:pPr>
    </w:p>
    <w:p>
      <w:pPr>
        <w:ind w:left="920" w:right="760" w:hanging="922"/>
        <w:spacing w:after="0" w:line="283" w:lineRule="auto"/>
        <w:rPr>
          <w:sz w:val="20"/>
          <w:szCs w:val="20"/>
          <w:color w:val="auto"/>
        </w:rPr>
      </w:pPr>
      <w:r>
        <w:rPr>
          <w:rFonts w:ascii="Arial" w:cs="Arial" w:eastAsia="Arial" w:hAnsi="Arial"/>
          <w:sz w:val="20"/>
          <w:szCs w:val="20"/>
          <w:color w:val="auto"/>
        </w:rPr>
        <w:t>101.SCH Inline XBRL Taxonomy Extension Schema Document</w:t>
      </w:r>
    </w:p>
    <w:p>
      <w:pPr>
        <w:spacing w:after="0" w:line="106" w:lineRule="exact"/>
        <w:rPr>
          <w:sz w:val="20"/>
          <w:szCs w:val="20"/>
          <w:color w:val="auto"/>
        </w:rPr>
      </w:pPr>
    </w:p>
    <w:p>
      <w:pPr>
        <w:ind w:left="920" w:right="500" w:hanging="922"/>
        <w:spacing w:after="0" w:line="283" w:lineRule="auto"/>
        <w:rPr>
          <w:sz w:val="20"/>
          <w:szCs w:val="20"/>
          <w:color w:val="auto"/>
        </w:rPr>
      </w:pPr>
      <w:r>
        <w:rPr>
          <w:rFonts w:ascii="Arial" w:cs="Arial" w:eastAsia="Arial" w:hAnsi="Arial"/>
          <w:sz w:val="20"/>
          <w:szCs w:val="20"/>
          <w:color w:val="auto"/>
        </w:rPr>
        <w:t>101.CAL Inline XBRL Taxonomy Extension Calculation Linkbase Document</w:t>
      </w:r>
    </w:p>
    <w:p>
      <w:pPr>
        <w:spacing w:after="0" w:line="106" w:lineRule="exact"/>
        <w:rPr>
          <w:sz w:val="20"/>
          <w:szCs w:val="20"/>
          <w:color w:val="auto"/>
        </w:rPr>
      </w:pPr>
    </w:p>
    <w:p>
      <w:pPr>
        <w:ind w:left="920" w:right="660" w:hanging="922"/>
        <w:spacing w:after="0" w:line="283" w:lineRule="auto"/>
        <w:rPr>
          <w:sz w:val="20"/>
          <w:szCs w:val="20"/>
          <w:color w:val="auto"/>
        </w:rPr>
      </w:pPr>
      <w:r>
        <w:rPr>
          <w:rFonts w:ascii="Arial" w:cs="Arial" w:eastAsia="Arial" w:hAnsi="Arial"/>
          <w:sz w:val="20"/>
          <w:szCs w:val="20"/>
          <w:color w:val="auto"/>
        </w:rPr>
        <w:t>101.DEF Inline XBRL Taxonomy Extension Definition Linkbase Document</w:t>
      </w:r>
    </w:p>
    <w:p>
      <w:pPr>
        <w:spacing w:after="0" w:line="106" w:lineRule="exact"/>
        <w:rPr>
          <w:sz w:val="20"/>
          <w:szCs w:val="20"/>
          <w:color w:val="auto"/>
        </w:rPr>
      </w:pPr>
    </w:p>
    <w:p>
      <w:pPr>
        <w:ind w:left="920" w:right="160" w:hanging="922"/>
        <w:spacing w:after="0" w:line="283" w:lineRule="auto"/>
        <w:rPr>
          <w:sz w:val="20"/>
          <w:szCs w:val="20"/>
          <w:color w:val="auto"/>
        </w:rPr>
      </w:pPr>
      <w:r>
        <w:rPr>
          <w:rFonts w:ascii="Arial" w:cs="Arial" w:eastAsia="Arial" w:hAnsi="Arial"/>
          <w:sz w:val="20"/>
          <w:szCs w:val="20"/>
          <w:color w:val="auto"/>
        </w:rPr>
        <w:t>101.LAB Inline XBRL Taxonomy Extension Label Linkbase Document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163</w:t>
      </w:r>
    </w:p>
    <w:p>
      <w:pPr>
        <w:spacing w:after="0" w:line="20" w:lineRule="exact"/>
        <w:rPr>
          <w:sz w:val="20"/>
          <w:szCs w:val="20"/>
          <w:color w:val="auto"/>
        </w:rPr>
      </w:pPr>
      <w:r>
        <w:rPr>
          <w:sz w:val="20"/>
          <w:szCs w:val="20"/>
          <w:color w:val="auto"/>
        </w:rPr>
        <w:br w:type="column"/>
      </w:r>
    </w:p>
    <w:p>
      <w:pPr>
        <w:ind w:left="40"/>
        <w:spacing w:after="0"/>
        <w:tabs>
          <w:tab w:leader="none" w:pos="660" w:val="left"/>
        </w:tabs>
        <w:rPr>
          <w:sz w:val="20"/>
          <w:szCs w:val="20"/>
          <w:color w:val="auto"/>
        </w:rPr>
      </w:pPr>
      <w:r>
        <w:rPr>
          <w:rFonts w:ascii="Arial" w:cs="Arial" w:eastAsia="Arial" w:hAnsi="Arial"/>
          <w:sz w:val="20"/>
          <w:szCs w:val="20"/>
          <w:color w:val="auto"/>
        </w:rPr>
        <w:t>10-K</w:t>
        <w:tab/>
        <w:t>001-39503 10.28 March 28, 2022</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center"/>
              <w:spacing w:after="0"/>
              <w:rPr>
                <w:sz w:val="20"/>
                <w:szCs w:val="20"/>
                <w:color w:val="auto"/>
              </w:rPr>
            </w:pPr>
            <w:r>
              <w:rPr>
                <w:rFonts w:ascii="Arial" w:cs="Arial" w:eastAsia="Arial" w:hAnsi="Arial"/>
                <w:sz w:val="20"/>
                <w:szCs w:val="20"/>
                <w:color w:val="auto"/>
              </w:rPr>
              <w:t>8-K</w:t>
            </w:r>
          </w:p>
        </w:tc>
        <w:tc>
          <w:tcPr>
            <w:tcW w:w="1120" w:type="dxa"/>
            <w:vAlign w:val="bottom"/>
          </w:tcPr>
          <w:p>
            <w:pPr>
              <w:jc w:val="right"/>
              <w:spacing w:after="0"/>
              <w:rPr>
                <w:sz w:val="20"/>
                <w:szCs w:val="20"/>
                <w:color w:val="auto"/>
              </w:rPr>
            </w:pPr>
            <w:r>
              <w:rPr>
                <w:rFonts w:ascii="Arial" w:cs="Arial" w:eastAsia="Arial" w:hAnsi="Arial"/>
                <w:sz w:val="20"/>
                <w:szCs w:val="20"/>
                <w:color w:val="auto"/>
              </w:rPr>
              <w:t>001-39503</w:t>
            </w:r>
          </w:p>
        </w:tc>
        <w:tc>
          <w:tcPr>
            <w:tcW w:w="560" w:type="dxa"/>
            <w:vAlign w:val="bottom"/>
          </w:tcPr>
          <w:p>
            <w:pPr>
              <w:jc w:val="right"/>
              <w:spacing w:after="0"/>
              <w:rPr>
                <w:sz w:val="20"/>
                <w:szCs w:val="20"/>
                <w:color w:val="auto"/>
              </w:rPr>
            </w:pPr>
            <w:r>
              <w:rPr>
                <w:rFonts w:ascii="Arial" w:cs="Arial" w:eastAsia="Arial" w:hAnsi="Arial"/>
                <w:sz w:val="20"/>
                <w:szCs w:val="20"/>
                <w:color w:val="auto"/>
              </w:rPr>
              <w:t>1.01</w:t>
            </w:r>
          </w:p>
        </w:tc>
        <w:tc>
          <w:tcPr>
            <w:tcW w:w="1300" w:type="dxa"/>
            <w:vAlign w:val="bottom"/>
          </w:tcPr>
          <w:p>
            <w:pPr>
              <w:jc w:val="center"/>
              <w:spacing w:after="0"/>
              <w:rPr>
                <w:sz w:val="20"/>
                <w:szCs w:val="20"/>
                <w:color w:val="auto"/>
              </w:rPr>
            </w:pPr>
            <w:r>
              <w:rPr>
                <w:rFonts w:ascii="Arial" w:cs="Arial" w:eastAsia="Arial" w:hAnsi="Arial"/>
                <w:sz w:val="20"/>
                <w:szCs w:val="20"/>
                <w:color w:val="auto"/>
                <w:w w:val="98"/>
              </w:rPr>
              <w:t>January 6,</w:t>
            </w:r>
          </w:p>
        </w:tc>
      </w:tr>
      <w:tr>
        <w:trPr>
          <w:trHeight w:val="271"/>
        </w:trPr>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20"/>
                <w:szCs w:val="20"/>
                <w:color w:val="auto"/>
                <w:w w:val="98"/>
              </w:rPr>
              <w:t>2023</w:t>
            </w:r>
          </w:p>
        </w:tc>
      </w:tr>
      <w:tr>
        <w:trPr>
          <w:trHeight w:val="606"/>
        </w:trPr>
        <w:tc>
          <w:tcPr>
            <w:tcW w:w="580" w:type="dxa"/>
            <w:vAlign w:val="bottom"/>
          </w:tcPr>
          <w:p>
            <w:pPr>
              <w:jc w:val="center"/>
              <w:spacing w:after="0"/>
              <w:rPr>
                <w:sz w:val="20"/>
                <w:szCs w:val="20"/>
                <w:color w:val="auto"/>
              </w:rPr>
            </w:pPr>
            <w:r>
              <w:rPr>
                <w:rFonts w:ascii="Arial" w:cs="Arial" w:eastAsia="Arial" w:hAnsi="Arial"/>
                <w:sz w:val="20"/>
                <w:szCs w:val="20"/>
                <w:color w:val="auto"/>
                <w:w w:val="87"/>
              </w:rPr>
              <w:t>8- K</w:t>
            </w:r>
          </w:p>
        </w:tc>
        <w:tc>
          <w:tcPr>
            <w:tcW w:w="1120" w:type="dxa"/>
            <w:vAlign w:val="bottom"/>
          </w:tcPr>
          <w:p>
            <w:pPr>
              <w:jc w:val="right"/>
              <w:spacing w:after="0"/>
              <w:rPr>
                <w:sz w:val="20"/>
                <w:szCs w:val="20"/>
                <w:color w:val="auto"/>
              </w:rPr>
            </w:pPr>
            <w:r>
              <w:rPr>
                <w:rFonts w:ascii="Arial" w:cs="Arial" w:eastAsia="Arial" w:hAnsi="Arial"/>
                <w:sz w:val="20"/>
                <w:szCs w:val="20"/>
                <w:color w:val="auto"/>
              </w:rPr>
              <w:t>001-39503</w:t>
            </w:r>
          </w:p>
        </w:tc>
        <w:tc>
          <w:tcPr>
            <w:tcW w:w="560" w:type="dxa"/>
            <w:vAlign w:val="bottom"/>
          </w:tcPr>
          <w:p>
            <w:pPr>
              <w:jc w:val="right"/>
              <w:spacing w:after="0"/>
              <w:rPr>
                <w:sz w:val="20"/>
                <w:szCs w:val="20"/>
                <w:color w:val="auto"/>
              </w:rPr>
            </w:pPr>
            <w:r>
              <w:rPr>
                <w:rFonts w:ascii="Arial" w:cs="Arial" w:eastAsia="Arial" w:hAnsi="Arial"/>
                <w:sz w:val="20"/>
                <w:szCs w:val="20"/>
                <w:color w:val="auto"/>
              </w:rPr>
              <w:t>10.1</w:t>
            </w:r>
          </w:p>
        </w:tc>
        <w:tc>
          <w:tcPr>
            <w:tcW w:w="1300" w:type="dxa"/>
            <w:vAlign w:val="bottom"/>
          </w:tcPr>
          <w:p>
            <w:pPr>
              <w:jc w:val="center"/>
              <w:spacing w:after="0"/>
              <w:rPr>
                <w:sz w:val="20"/>
                <w:szCs w:val="20"/>
                <w:color w:val="auto"/>
              </w:rPr>
            </w:pPr>
            <w:r>
              <w:rPr>
                <w:rFonts w:ascii="Arial" w:cs="Arial" w:eastAsia="Arial" w:hAnsi="Arial"/>
                <w:sz w:val="20"/>
                <w:szCs w:val="20"/>
                <w:color w:val="auto"/>
                <w:w w:val="98"/>
              </w:rPr>
              <w:t>January 8,</w:t>
            </w:r>
          </w:p>
        </w:tc>
      </w:tr>
      <w:tr>
        <w:trPr>
          <w:trHeight w:val="271"/>
        </w:trPr>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20"/>
                <w:szCs w:val="20"/>
                <w:color w:val="auto"/>
                <w:w w:val="98"/>
              </w:rPr>
              <w:t>2024</w:t>
            </w:r>
          </w:p>
        </w:tc>
      </w:tr>
      <w:tr>
        <w:trPr>
          <w:trHeight w:val="607"/>
        </w:trPr>
        <w:tc>
          <w:tcPr>
            <w:tcW w:w="58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120" w:type="dxa"/>
            <w:vAlign w:val="bottom"/>
          </w:tcPr>
          <w:p>
            <w:pPr>
              <w:jc w:val="right"/>
              <w:spacing w:after="0"/>
              <w:rPr>
                <w:sz w:val="20"/>
                <w:szCs w:val="20"/>
                <w:color w:val="auto"/>
              </w:rPr>
            </w:pPr>
            <w:r>
              <w:rPr>
                <w:rFonts w:ascii="Arial" w:cs="Arial" w:eastAsia="Arial" w:hAnsi="Arial"/>
                <w:sz w:val="20"/>
                <w:szCs w:val="20"/>
                <w:color w:val="auto"/>
              </w:rPr>
              <w:t>333-24828</w:t>
            </w:r>
          </w:p>
        </w:tc>
        <w:tc>
          <w:tcPr>
            <w:tcW w:w="560" w:type="dxa"/>
            <w:vAlign w:val="bottom"/>
          </w:tcPr>
          <w:p>
            <w:pPr>
              <w:jc w:val="right"/>
              <w:spacing w:after="0"/>
              <w:rPr>
                <w:sz w:val="20"/>
                <w:szCs w:val="20"/>
                <w:color w:val="auto"/>
              </w:rPr>
            </w:pPr>
            <w:r>
              <w:rPr>
                <w:rFonts w:ascii="Arial" w:cs="Arial" w:eastAsia="Arial" w:hAnsi="Arial"/>
                <w:sz w:val="20"/>
                <w:szCs w:val="20"/>
                <w:color w:val="auto"/>
              </w:rPr>
              <w:t>21.1</w:t>
            </w:r>
          </w:p>
        </w:tc>
        <w:tc>
          <w:tcPr>
            <w:tcW w:w="1300" w:type="dxa"/>
            <w:vAlign w:val="bottom"/>
          </w:tcPr>
          <w:p>
            <w:pPr>
              <w:jc w:val="center"/>
              <w:spacing w:after="0"/>
              <w:rPr>
                <w:sz w:val="20"/>
                <w:szCs w:val="20"/>
                <w:color w:val="auto"/>
              </w:rPr>
            </w:pPr>
            <w:r>
              <w:rPr>
                <w:rFonts w:ascii="Arial" w:cs="Arial" w:eastAsia="Arial" w:hAnsi="Arial"/>
                <w:sz w:val="20"/>
                <w:szCs w:val="20"/>
                <w:color w:val="auto"/>
                <w:w w:val="99"/>
              </w:rPr>
              <w:t>September 9,</w:t>
            </w:r>
          </w:p>
        </w:tc>
      </w:tr>
      <w:tr>
        <w:trPr>
          <w:trHeight w:val="271"/>
        </w:trPr>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20"/>
                <w:szCs w:val="20"/>
                <w:color w:val="auto"/>
                <w:w w:val="98"/>
              </w:rPr>
              <w:t>2020</w:t>
            </w:r>
          </w:p>
        </w:tc>
      </w:tr>
    </w:tbl>
    <w:p>
      <w:pPr>
        <w:sectPr>
          <w:pgSz w:w="11880" w:h="15474" w:orient="portrait"/>
          <w:cols w:equalWidth="0" w:num="2">
            <w:col w:w="5460" w:space="220"/>
            <w:col w:w="3660"/>
          </w:cols>
          <w:pgMar w:left="1240" w:top="1438" w:right="1294" w:bottom="0" w:gutter="0" w:footer="0" w:header="0"/>
        </w:sectPr>
      </w:pPr>
    </w:p>
    <w:bookmarkStart w:id="169" w:name="page170"/>
    <w:bookmarkEnd w:id="169"/>
    <w:p>
      <w:pPr>
        <w:ind w:left="920" w:right="4280" w:hanging="922"/>
        <w:spacing w:after="0" w:line="283" w:lineRule="auto"/>
        <w:rPr>
          <w:sz w:val="20"/>
          <w:szCs w:val="20"/>
          <w:color w:val="auto"/>
        </w:rPr>
      </w:pPr>
      <w:r>
        <w:rPr>
          <w:rFonts w:ascii="Arial" w:cs="Arial" w:eastAsia="Arial" w:hAnsi="Arial"/>
          <w:sz w:val="20"/>
          <w:szCs w:val="20"/>
          <w:color w:val="auto"/>
        </w:rPr>
        <w:t>101.PRE Inline XBRL Taxonomy Extension Presentation Linkbase Document</w:t>
      </w:r>
    </w:p>
    <w:p>
      <w:pPr>
        <w:spacing w:after="0" w:line="106" w:lineRule="exact"/>
        <w:rPr>
          <w:sz w:val="20"/>
          <w:szCs w:val="20"/>
          <w:color w:val="auto"/>
        </w:rPr>
      </w:pPr>
    </w:p>
    <w:p>
      <w:pPr>
        <w:ind w:left="920" w:right="4360" w:hanging="916"/>
        <w:spacing w:after="0" w:line="283" w:lineRule="auto"/>
        <w:tabs>
          <w:tab w:leader="none" w:pos="920" w:val="left"/>
        </w:tabs>
        <w:numPr>
          <w:ilvl w:val="0"/>
          <w:numId w:val="76"/>
        </w:numPr>
        <w:rPr>
          <w:rFonts w:ascii="Arial" w:cs="Arial" w:eastAsia="Arial" w:hAnsi="Arial"/>
          <w:sz w:val="20"/>
          <w:szCs w:val="20"/>
          <w:color w:val="auto"/>
        </w:rPr>
      </w:pPr>
      <w:r>
        <w:rPr>
          <w:rFonts w:ascii="Arial" w:cs="Arial" w:eastAsia="Arial" w:hAnsi="Arial"/>
          <w:sz w:val="20"/>
          <w:szCs w:val="20"/>
          <w:color w:val="auto"/>
        </w:rPr>
        <w:t>Cover Page Interactive Data File (formatted in Inline XBRL and included in Exhibit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66040</wp:posOffset>
                </wp:positionV>
                <wp:extent cx="64706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0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5.2pt" to="49.45pt,5.2pt" o:allowincell="f" strokecolor="#000000" strokeweight="0.4799pt"/>
            </w:pict>
          </mc:Fallback>
        </mc:AlternateContent>
      </w:r>
    </w:p>
    <w:p>
      <w:pPr>
        <w:sectPr>
          <w:pgSz w:w="11880" w:h="15474" w:orient="portrait"/>
          <w:cols w:equalWidth="0" w:num="1">
            <w:col w:w="9360"/>
          </w:cols>
          <w:pgMar w:left="1240" w:top="1274" w:right="1274" w:bottom="0"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certifications filed as Exhibits 32.1 and 32.2 are not deemed “filed” for purposes of Section 18 of the Securities Exchange Act of 1934 and are not to be incorporated by reference into any filing of the Company under the Securities Act of 1933 or the Securities Exchange Act of 1934, whether made before or after the date hereof irrespective of any general incorporation by reference language contained in any such filing, except to the extent that the registrant specifically incorporates it by reference. Indicates a management contract or compensatory plan.</w:t>
      </w:r>
    </w:p>
    <w:p>
      <w:pPr>
        <w:jc w:val="both"/>
        <w:spacing w:after="0" w:line="247" w:lineRule="auto"/>
        <w:rPr>
          <w:sz w:val="20"/>
          <w:szCs w:val="20"/>
          <w:color w:val="auto"/>
        </w:rPr>
      </w:pPr>
      <w:r>
        <w:rPr>
          <w:rFonts w:ascii="Arial" w:cs="Arial" w:eastAsia="Arial" w:hAnsi="Arial"/>
          <w:sz w:val="16"/>
          <w:szCs w:val="16"/>
          <w:color w:val="auto"/>
        </w:rPr>
        <w:t>Pursuant to Item 601(b)(10) of Regulation S-K, certain portions of this exhibit have been omitted by means of marking such portions with asterisks because the Registrant has determined that the information is not material and would likely cause competitive harm to the Registrant if publicly disclosed.</w:t>
      </w:r>
    </w:p>
    <w:p>
      <w:pPr>
        <w:spacing w:after="0" w:line="200" w:lineRule="exact"/>
        <w:rPr>
          <w:sz w:val="20"/>
          <w:szCs w:val="20"/>
          <w:color w:val="auto"/>
        </w:rPr>
      </w:pPr>
    </w:p>
    <w:p>
      <w:pPr>
        <w:sectPr>
          <w:pgSz w:w="11880" w:h="15474" w:orient="portrait"/>
          <w:cols w:equalWidth="0" w:num="2">
            <w:col w:w="80" w:space="400"/>
            <w:col w:w="8880"/>
          </w:cols>
          <w:pgMar w:left="1240" w:top="1274" w:right="1274" w:bottom="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Not applicable.</w:t>
      </w:r>
    </w:p>
    <w:p>
      <w:pPr>
        <w:sectPr>
          <w:pgSz w:w="11880" w:h="15474" w:orient="portrait"/>
          <w:cols w:equalWidth="0" w:num="1">
            <w:col w:w="9360"/>
          </w:cols>
          <w:pgMar w:left="1240" w:top="1274" w:right="1274"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164</w:t>
      </w:r>
    </w:p>
    <w:p>
      <w:pPr>
        <w:sectPr>
          <w:pgSz w:w="11880" w:h="15474" w:orient="portrait"/>
          <w:cols w:equalWidth="0" w:num="1">
            <w:col w:w="9360"/>
          </w:cols>
          <w:pgMar w:left="1240" w:top="1274" w:right="1274" w:bottom="0" w:gutter="0" w:footer="0" w:header="0"/>
          <w:type w:val="continuous"/>
        </w:sectPr>
      </w:pPr>
    </w:p>
    <w:bookmarkStart w:id="170" w:name="page171"/>
    <w:bookmarkEnd w:id="170"/>
    <w:p>
      <w:pPr>
        <w:jc w:val="center"/>
        <w:spacing w:after="0"/>
        <w:rPr>
          <w:sz w:val="20"/>
          <w:szCs w:val="20"/>
          <w:color w:val="auto"/>
        </w:rPr>
      </w:pPr>
      <w:r>
        <w:rPr>
          <w:rFonts w:ascii="Arial" w:cs="Arial" w:eastAsia="Arial" w:hAnsi="Arial"/>
          <w:sz w:val="20"/>
          <w:szCs w:val="20"/>
          <w:b w:val="1"/>
          <w:bCs w:val="1"/>
          <w:color w:val="auto"/>
        </w:rPr>
        <w:t>SIGNATURES</w:t>
      </w:r>
    </w:p>
    <w:p>
      <w:pPr>
        <w:spacing w:after="0" w:line="243"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20"/>
          <w:szCs w:val="20"/>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20"/>
          <w:szCs w:val="20"/>
          <w:b w:val="1"/>
          <w:bCs w:val="1"/>
          <w:color w:val="auto"/>
        </w:rPr>
        <w:t>.</w:t>
      </w:r>
    </w:p>
    <w:p>
      <w:pPr>
        <w:spacing w:after="0" w:line="163"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Athira Pharma, Inc.</w:t>
      </w:r>
    </w:p>
    <w:p>
      <w:pPr>
        <w:spacing w:after="0" w:line="265" w:lineRule="exact"/>
        <w:rPr>
          <w:sz w:val="20"/>
          <w:szCs w:val="20"/>
          <w:color w:val="auto"/>
        </w:rPr>
      </w:pPr>
    </w:p>
    <w:p>
      <w:pPr>
        <w:spacing w:after="0"/>
        <w:tabs>
          <w:tab w:leader="none" w:pos="4620" w:val="left"/>
          <w:tab w:leader="none" w:pos="6520" w:val="left"/>
        </w:tabs>
        <w:rPr>
          <w:sz w:val="20"/>
          <w:szCs w:val="20"/>
          <w:color w:val="auto"/>
        </w:rPr>
      </w:pPr>
      <w:r>
        <w:rPr>
          <w:rFonts w:ascii="Arial" w:cs="Arial" w:eastAsia="Arial" w:hAnsi="Arial"/>
          <w:sz w:val="20"/>
          <w:szCs w:val="20"/>
          <w:color w:val="auto"/>
        </w:rPr>
        <w:t>Date: February 22, 2024</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Mark Litton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3181350</wp:posOffset>
                </wp:positionH>
                <wp:positionV relativeFrom="paragraph">
                  <wp:posOffset>13335</wp:posOffset>
                </wp:positionV>
                <wp:extent cx="276161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61615" cy="4763"/>
                        </a:xfrm>
                        <a:prstGeom prst="line">
                          <a:avLst/>
                        </a:prstGeom>
                        <a:solidFill>
                          <a:srgbClr val="FFFFFF"/>
                        </a:solidFill>
                        <a:ln w="3035">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5pt,1.05pt" to="467.95pt,1.05pt" o:allowincell="f" strokecolor="#000000" strokeweight="0.239pt"/>
            </w:pict>
          </mc:Fallback>
        </mc:AlternateConten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Mark Litton</w:t>
      </w:r>
    </w:p>
    <w:p>
      <w:pPr>
        <w:spacing w:after="0" w:line="19"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President and Chief Executive Officer (</w:t>
      </w:r>
      <w:r>
        <w:rPr>
          <w:rFonts w:ascii="Arial" w:cs="Arial" w:eastAsia="Arial" w:hAnsi="Arial"/>
          <w:sz w:val="20"/>
          <w:szCs w:val="20"/>
          <w:i w:val="1"/>
          <w:iCs w:val="1"/>
          <w:color w:val="auto"/>
        </w:rPr>
        <w:t>Principal</w:t>
      </w:r>
    </w:p>
    <w:p>
      <w:pPr>
        <w:ind w:left="5020"/>
        <w:spacing w:after="0"/>
        <w:rPr>
          <w:sz w:val="20"/>
          <w:szCs w:val="20"/>
          <w:color w:val="auto"/>
        </w:rPr>
      </w:pPr>
      <w:r>
        <w:rPr>
          <w:rFonts w:ascii="Arial" w:cs="Arial" w:eastAsia="Arial" w:hAnsi="Arial"/>
          <w:sz w:val="20"/>
          <w:szCs w:val="20"/>
          <w:i w:val="1"/>
          <w:iCs w:val="1"/>
          <w:color w:val="auto"/>
        </w:rPr>
        <w:t>Executive Officer</w:t>
      </w:r>
      <w:r>
        <w:rPr>
          <w:rFonts w:ascii="Arial" w:cs="Arial" w:eastAsia="Arial" w:hAnsi="Arial"/>
          <w:sz w:val="20"/>
          <w:szCs w:val="20"/>
          <w:color w:val="auto"/>
        </w:rPr>
        <w:t>)</w:t>
      </w:r>
    </w:p>
    <w:p>
      <w:pPr>
        <w:spacing w:after="0" w:line="243"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KNOW ALL PERSONS BY THESE PRESENTS, that each person whose signature appears below constitutes and appoints Mark Litton and Andrew Gengos,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194" w:lineRule="exact"/>
        <w:rPr>
          <w:sz w:val="20"/>
          <w:szCs w:val="20"/>
          <w:color w:val="auto"/>
        </w:rPr>
      </w:pPr>
    </w:p>
    <w:p>
      <w:pPr>
        <w:jc w:val="both"/>
        <w:ind w:firstLine="489"/>
        <w:spacing w:after="0" w:line="261" w:lineRule="auto"/>
        <w:rPr>
          <w:sz w:val="20"/>
          <w:szCs w:val="20"/>
          <w:color w:val="auto"/>
        </w:rPr>
      </w:pPr>
      <w:r>
        <w:rPr>
          <w:rFonts w:ascii="Arial" w:cs="Arial" w:eastAsia="Arial" w:hAnsi="Arial"/>
          <w:sz w:val="20"/>
          <w:szCs w:val="20"/>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Signature</w:t>
            </w:r>
          </w:p>
        </w:tc>
        <w:tc>
          <w:tcPr>
            <w:tcW w:w="180" w:type="dxa"/>
            <w:vAlign w:val="bottom"/>
          </w:tcPr>
          <w:p>
            <w:pPr>
              <w:spacing w:after="0"/>
              <w:rPr>
                <w:sz w:val="17"/>
                <w:szCs w:val="17"/>
                <w:color w:val="auto"/>
              </w:rPr>
            </w:pPr>
          </w:p>
        </w:tc>
        <w:tc>
          <w:tcPr>
            <w:tcW w:w="4020" w:type="dxa"/>
            <w:vAlign w:val="bottom"/>
            <w:tcBorders>
              <w:bottom w:val="single" w:sz="8" w:color="auto"/>
            </w:tcBorders>
          </w:tcPr>
          <w:p>
            <w:pPr>
              <w:ind w:left="1840"/>
              <w:spacing w:after="0"/>
              <w:rPr>
                <w:sz w:val="20"/>
                <w:szCs w:val="20"/>
                <w:color w:val="auto"/>
              </w:rPr>
            </w:pPr>
            <w:r>
              <w:rPr>
                <w:rFonts w:ascii="Arial" w:cs="Arial" w:eastAsia="Arial" w:hAnsi="Arial"/>
                <w:sz w:val="16"/>
                <w:szCs w:val="16"/>
                <w:b w:val="1"/>
                <w:bCs w:val="1"/>
                <w:color w:val="auto"/>
              </w:rPr>
              <w:t>Title</w:t>
            </w:r>
          </w:p>
        </w:tc>
        <w:tc>
          <w:tcPr>
            <w:tcW w:w="200" w:type="dxa"/>
            <w:vAlign w:val="bottom"/>
          </w:tcPr>
          <w:p>
            <w:pPr>
              <w:spacing w:after="0"/>
              <w:rPr>
                <w:sz w:val="17"/>
                <w:szCs w:val="17"/>
                <w:color w:val="auto"/>
              </w:rPr>
            </w:pPr>
          </w:p>
        </w:tc>
        <w:tc>
          <w:tcPr>
            <w:tcW w:w="1900" w:type="dxa"/>
            <w:vAlign w:val="bottom"/>
            <w:tcBorders>
              <w:bottom w:val="single" w:sz="8" w:color="auto"/>
            </w:tcBorders>
          </w:tcPr>
          <w:p>
            <w:pPr>
              <w:ind w:left="760"/>
              <w:spacing w:after="0"/>
              <w:rPr>
                <w:sz w:val="20"/>
                <w:szCs w:val="20"/>
                <w:color w:val="auto"/>
              </w:rPr>
            </w:pPr>
            <w:r>
              <w:rPr>
                <w:rFonts w:ascii="Arial" w:cs="Arial" w:eastAsia="Arial" w:hAnsi="Arial"/>
                <w:sz w:val="16"/>
                <w:szCs w:val="16"/>
                <w:b w:val="1"/>
                <w:bCs w:val="1"/>
                <w:color w:val="auto"/>
              </w:rPr>
              <w:t>Date</w:t>
            </w:r>
          </w:p>
        </w:tc>
      </w:tr>
      <w:tr>
        <w:trPr>
          <w:trHeight w:val="367"/>
        </w:trPr>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President, Chief Executive Officer and</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49"/>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Mark Litton</w:t>
            </w:r>
          </w:p>
        </w:tc>
        <w:tc>
          <w:tcPr>
            <w:tcW w:w="18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Director</w:t>
            </w:r>
          </w:p>
        </w:tc>
        <w:tc>
          <w:tcPr>
            <w:tcW w:w="200" w:type="dxa"/>
            <w:vAlign w:val="bottom"/>
          </w:tcPr>
          <w:p>
            <w:pPr>
              <w:spacing w:after="0"/>
              <w:rPr>
                <w:sz w:val="21"/>
                <w:szCs w:val="21"/>
                <w:color w:val="auto"/>
              </w:rPr>
            </w:pPr>
          </w:p>
        </w:tc>
        <w:tc>
          <w:tcPr>
            <w:tcW w:w="1900" w:type="dxa"/>
            <w:vAlign w:val="bottom"/>
          </w:tcPr>
          <w:p>
            <w:pPr>
              <w:spacing w:after="0"/>
              <w:rPr>
                <w:sz w:val="20"/>
                <w:szCs w:val="20"/>
                <w:color w:val="auto"/>
              </w:rPr>
            </w:pPr>
            <w:r>
              <w:rPr>
                <w:rFonts w:ascii="Arial" w:cs="Arial" w:eastAsia="Arial" w:hAnsi="Arial"/>
                <w:sz w:val="20"/>
                <w:szCs w:val="20"/>
                <w:color w:val="auto"/>
              </w:rPr>
              <w:t>February 22, 2024</w:t>
            </w:r>
          </w:p>
        </w:tc>
      </w:tr>
      <w:tr>
        <w:trPr>
          <w:trHeight w:val="256"/>
        </w:trPr>
        <w:tc>
          <w:tcPr>
            <w:tcW w:w="3060" w:type="dxa"/>
            <w:vAlign w:val="bottom"/>
          </w:tcPr>
          <w:p>
            <w:pPr>
              <w:jc w:val="center"/>
              <w:spacing w:after="0"/>
              <w:rPr>
                <w:sz w:val="20"/>
                <w:szCs w:val="20"/>
                <w:color w:val="auto"/>
              </w:rPr>
            </w:pPr>
            <w:r>
              <w:rPr>
                <w:rFonts w:ascii="Arial" w:cs="Arial" w:eastAsia="Arial" w:hAnsi="Arial"/>
                <w:sz w:val="20"/>
                <w:szCs w:val="20"/>
                <w:color w:val="auto"/>
              </w:rPr>
              <w:t>Mark Litton</w:t>
            </w:r>
          </w:p>
        </w:tc>
        <w:tc>
          <w:tcPr>
            <w:tcW w:w="180" w:type="dxa"/>
            <w:vAlign w:val="bottom"/>
          </w:tcPr>
          <w:p>
            <w:pPr>
              <w:spacing w:after="0"/>
              <w:rPr>
                <w:sz w:val="22"/>
                <w:szCs w:val="22"/>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Principal Executive Officer</w:t>
            </w: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349"/>
        </w:trPr>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Chief Financial Officer and Chief Business</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49"/>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Andrew Gengos</w:t>
            </w:r>
          </w:p>
        </w:tc>
        <w:tc>
          <w:tcPr>
            <w:tcW w:w="18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Officer</w:t>
            </w:r>
          </w:p>
        </w:tc>
        <w:tc>
          <w:tcPr>
            <w:tcW w:w="200" w:type="dxa"/>
            <w:vAlign w:val="bottom"/>
          </w:tcPr>
          <w:p>
            <w:pPr>
              <w:spacing w:after="0"/>
              <w:rPr>
                <w:sz w:val="21"/>
                <w:szCs w:val="21"/>
                <w:color w:val="auto"/>
              </w:rPr>
            </w:pPr>
          </w:p>
        </w:tc>
        <w:tc>
          <w:tcPr>
            <w:tcW w:w="1900" w:type="dxa"/>
            <w:vAlign w:val="bottom"/>
          </w:tcPr>
          <w:p>
            <w:pPr>
              <w:spacing w:after="0"/>
              <w:rPr>
                <w:sz w:val="20"/>
                <w:szCs w:val="20"/>
                <w:color w:val="auto"/>
              </w:rPr>
            </w:pPr>
            <w:r>
              <w:rPr>
                <w:rFonts w:ascii="Arial" w:cs="Arial" w:eastAsia="Arial" w:hAnsi="Arial"/>
                <w:sz w:val="20"/>
                <w:szCs w:val="20"/>
                <w:color w:val="auto"/>
              </w:rPr>
              <w:t>February 22, 2024</w:t>
            </w:r>
          </w:p>
        </w:tc>
      </w:tr>
      <w:tr>
        <w:trPr>
          <w:trHeight w:val="256"/>
        </w:trPr>
        <w:tc>
          <w:tcPr>
            <w:tcW w:w="3060" w:type="dxa"/>
            <w:vAlign w:val="bottom"/>
          </w:tcPr>
          <w:p>
            <w:pPr>
              <w:jc w:val="center"/>
              <w:spacing w:after="0"/>
              <w:rPr>
                <w:sz w:val="20"/>
                <w:szCs w:val="20"/>
                <w:color w:val="auto"/>
              </w:rPr>
            </w:pPr>
            <w:r>
              <w:rPr>
                <w:rFonts w:ascii="Arial" w:cs="Arial" w:eastAsia="Arial" w:hAnsi="Arial"/>
                <w:sz w:val="20"/>
                <w:szCs w:val="20"/>
                <w:color w:val="auto"/>
              </w:rPr>
              <w:t>Andrew Gengos</w:t>
            </w:r>
          </w:p>
        </w:tc>
        <w:tc>
          <w:tcPr>
            <w:tcW w:w="180" w:type="dxa"/>
            <w:vAlign w:val="bottom"/>
          </w:tcPr>
          <w:p>
            <w:pPr>
              <w:spacing w:after="0"/>
              <w:rPr>
                <w:sz w:val="22"/>
                <w:szCs w:val="22"/>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Principal Financial and Accounting Officer</w:t>
            </w: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368"/>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/s/ Kelly A. Romano</w:t>
            </w:r>
          </w:p>
        </w:tc>
        <w:tc>
          <w:tcPr>
            <w:tcW w:w="18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Chairwoman of the Board of Directors</w:t>
            </w:r>
          </w:p>
        </w:tc>
        <w:tc>
          <w:tcPr>
            <w:tcW w:w="20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20"/>
                <w:szCs w:val="20"/>
                <w:color w:val="auto"/>
              </w:rPr>
              <w:t>February 22, 2024</w:t>
            </w:r>
          </w:p>
        </w:tc>
      </w:tr>
      <w:tr>
        <w:trPr>
          <w:trHeight w:val="256"/>
        </w:trPr>
        <w:tc>
          <w:tcPr>
            <w:tcW w:w="3060" w:type="dxa"/>
            <w:vAlign w:val="bottom"/>
          </w:tcPr>
          <w:p>
            <w:pPr>
              <w:jc w:val="center"/>
              <w:spacing w:after="0"/>
              <w:rPr>
                <w:sz w:val="20"/>
                <w:szCs w:val="20"/>
                <w:color w:val="auto"/>
              </w:rPr>
            </w:pPr>
            <w:r>
              <w:rPr>
                <w:rFonts w:ascii="Arial" w:cs="Arial" w:eastAsia="Arial" w:hAnsi="Arial"/>
                <w:sz w:val="20"/>
                <w:szCs w:val="20"/>
                <w:color w:val="auto"/>
                <w:w w:val="99"/>
              </w:rPr>
              <w:t>Kelly A. Romano</w:t>
            </w:r>
          </w:p>
        </w:tc>
        <w:tc>
          <w:tcPr>
            <w:tcW w:w="1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369"/>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/s/ Joseph Edelman</w:t>
            </w:r>
          </w:p>
        </w:tc>
        <w:tc>
          <w:tcPr>
            <w:tcW w:w="18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Director</w:t>
            </w:r>
          </w:p>
        </w:tc>
        <w:tc>
          <w:tcPr>
            <w:tcW w:w="20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20"/>
                <w:szCs w:val="20"/>
                <w:color w:val="auto"/>
              </w:rPr>
              <w:t>February 22, 2024</w:t>
            </w:r>
          </w:p>
        </w:tc>
      </w:tr>
      <w:tr>
        <w:trPr>
          <w:trHeight w:val="256"/>
        </w:trPr>
        <w:tc>
          <w:tcPr>
            <w:tcW w:w="3060" w:type="dxa"/>
            <w:vAlign w:val="bottom"/>
          </w:tcPr>
          <w:p>
            <w:pPr>
              <w:jc w:val="center"/>
              <w:spacing w:after="0"/>
              <w:rPr>
                <w:sz w:val="20"/>
                <w:szCs w:val="20"/>
                <w:color w:val="auto"/>
              </w:rPr>
            </w:pPr>
            <w:r>
              <w:rPr>
                <w:rFonts w:ascii="Arial" w:cs="Arial" w:eastAsia="Arial" w:hAnsi="Arial"/>
                <w:sz w:val="20"/>
                <w:szCs w:val="20"/>
                <w:color w:val="auto"/>
                <w:w w:val="99"/>
              </w:rPr>
              <w:t>Joseph Edelman</w:t>
            </w:r>
          </w:p>
        </w:tc>
        <w:tc>
          <w:tcPr>
            <w:tcW w:w="1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368"/>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John M. Fluke, Jr.</w:t>
            </w:r>
          </w:p>
        </w:tc>
        <w:tc>
          <w:tcPr>
            <w:tcW w:w="18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Director</w:t>
            </w:r>
          </w:p>
        </w:tc>
        <w:tc>
          <w:tcPr>
            <w:tcW w:w="20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20"/>
                <w:szCs w:val="20"/>
                <w:color w:val="auto"/>
              </w:rPr>
              <w:t>February 22, 2024</w:t>
            </w:r>
          </w:p>
        </w:tc>
      </w:tr>
      <w:tr>
        <w:trPr>
          <w:trHeight w:val="256"/>
        </w:trPr>
        <w:tc>
          <w:tcPr>
            <w:tcW w:w="3060" w:type="dxa"/>
            <w:vAlign w:val="bottom"/>
          </w:tcPr>
          <w:p>
            <w:pPr>
              <w:jc w:val="center"/>
              <w:spacing w:after="0"/>
              <w:rPr>
                <w:sz w:val="20"/>
                <w:szCs w:val="20"/>
                <w:color w:val="auto"/>
              </w:rPr>
            </w:pPr>
            <w:r>
              <w:rPr>
                <w:rFonts w:ascii="Arial" w:cs="Arial" w:eastAsia="Arial" w:hAnsi="Arial"/>
                <w:sz w:val="20"/>
                <w:szCs w:val="20"/>
                <w:color w:val="auto"/>
              </w:rPr>
              <w:t>John M. Fluke, Jr.</w:t>
            </w:r>
          </w:p>
        </w:tc>
        <w:tc>
          <w:tcPr>
            <w:tcW w:w="1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369"/>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/s/ James A. Johnson</w:t>
            </w:r>
          </w:p>
        </w:tc>
        <w:tc>
          <w:tcPr>
            <w:tcW w:w="18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Director</w:t>
            </w:r>
          </w:p>
        </w:tc>
        <w:tc>
          <w:tcPr>
            <w:tcW w:w="20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20"/>
                <w:szCs w:val="20"/>
                <w:color w:val="auto"/>
              </w:rPr>
              <w:t>February 22, 2024</w:t>
            </w:r>
          </w:p>
        </w:tc>
      </w:tr>
      <w:tr>
        <w:trPr>
          <w:trHeight w:val="261"/>
        </w:trPr>
        <w:tc>
          <w:tcPr>
            <w:tcW w:w="3060" w:type="dxa"/>
            <w:vAlign w:val="bottom"/>
          </w:tcPr>
          <w:p>
            <w:pPr>
              <w:jc w:val="center"/>
              <w:spacing w:after="0"/>
              <w:rPr>
                <w:sz w:val="20"/>
                <w:szCs w:val="20"/>
                <w:color w:val="auto"/>
              </w:rPr>
            </w:pPr>
            <w:r>
              <w:rPr>
                <w:rFonts w:ascii="Arial" w:cs="Arial" w:eastAsia="Arial" w:hAnsi="Arial"/>
                <w:sz w:val="20"/>
                <w:szCs w:val="20"/>
                <w:color w:val="auto"/>
                <w:w w:val="99"/>
              </w:rPr>
              <w:t>James A. Johnson</w:t>
            </w:r>
          </w:p>
        </w:tc>
        <w:tc>
          <w:tcPr>
            <w:tcW w:w="1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368"/>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Barbara Kosacz</w:t>
            </w:r>
          </w:p>
        </w:tc>
        <w:tc>
          <w:tcPr>
            <w:tcW w:w="18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Director</w:t>
            </w:r>
          </w:p>
        </w:tc>
        <w:tc>
          <w:tcPr>
            <w:tcW w:w="20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20"/>
                <w:szCs w:val="20"/>
                <w:color w:val="auto"/>
              </w:rPr>
              <w:t>February 22, 2024</w:t>
            </w:r>
          </w:p>
        </w:tc>
      </w:tr>
      <w:tr>
        <w:trPr>
          <w:trHeight w:val="261"/>
        </w:trPr>
        <w:tc>
          <w:tcPr>
            <w:tcW w:w="3060" w:type="dxa"/>
            <w:vAlign w:val="bottom"/>
          </w:tcPr>
          <w:p>
            <w:pPr>
              <w:jc w:val="center"/>
              <w:spacing w:after="0"/>
              <w:rPr>
                <w:sz w:val="20"/>
                <w:szCs w:val="20"/>
                <w:color w:val="auto"/>
              </w:rPr>
            </w:pPr>
            <w:r>
              <w:rPr>
                <w:rFonts w:ascii="Arial" w:cs="Arial" w:eastAsia="Arial" w:hAnsi="Arial"/>
                <w:sz w:val="20"/>
                <w:szCs w:val="20"/>
                <w:color w:val="auto"/>
              </w:rPr>
              <w:t>Barbara Kosacz</w:t>
            </w:r>
          </w:p>
        </w:tc>
        <w:tc>
          <w:tcPr>
            <w:tcW w:w="1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369"/>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/s/ Michael Panzara</w:t>
            </w:r>
          </w:p>
        </w:tc>
        <w:tc>
          <w:tcPr>
            <w:tcW w:w="18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Director</w:t>
            </w:r>
          </w:p>
        </w:tc>
        <w:tc>
          <w:tcPr>
            <w:tcW w:w="20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20"/>
                <w:szCs w:val="20"/>
                <w:color w:val="auto"/>
              </w:rPr>
              <w:t>February 22, 2024</w:t>
            </w:r>
          </w:p>
        </w:tc>
      </w:tr>
      <w:tr>
        <w:trPr>
          <w:trHeight w:val="261"/>
        </w:trPr>
        <w:tc>
          <w:tcPr>
            <w:tcW w:w="3060" w:type="dxa"/>
            <w:vAlign w:val="bottom"/>
          </w:tcPr>
          <w:p>
            <w:pPr>
              <w:jc w:val="center"/>
              <w:spacing w:after="0"/>
              <w:rPr>
                <w:sz w:val="20"/>
                <w:szCs w:val="20"/>
                <w:color w:val="auto"/>
              </w:rPr>
            </w:pPr>
            <w:r>
              <w:rPr>
                <w:rFonts w:ascii="Arial" w:cs="Arial" w:eastAsia="Arial" w:hAnsi="Arial"/>
                <w:sz w:val="20"/>
                <w:szCs w:val="20"/>
                <w:color w:val="auto"/>
                <w:w w:val="99"/>
              </w:rPr>
              <w:t>Michael Panzara</w:t>
            </w:r>
          </w:p>
        </w:tc>
        <w:tc>
          <w:tcPr>
            <w:tcW w:w="1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369"/>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Grant Pickering</w:t>
            </w:r>
          </w:p>
        </w:tc>
        <w:tc>
          <w:tcPr>
            <w:tcW w:w="18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Director</w:t>
            </w:r>
          </w:p>
        </w:tc>
        <w:tc>
          <w:tcPr>
            <w:tcW w:w="20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20"/>
                <w:szCs w:val="20"/>
                <w:color w:val="auto"/>
              </w:rPr>
              <w:t>February 22, 2024</w:t>
            </w:r>
          </w:p>
        </w:tc>
      </w:tr>
      <w:tr>
        <w:trPr>
          <w:trHeight w:val="261"/>
        </w:trPr>
        <w:tc>
          <w:tcPr>
            <w:tcW w:w="3060" w:type="dxa"/>
            <w:vAlign w:val="bottom"/>
          </w:tcPr>
          <w:p>
            <w:pPr>
              <w:jc w:val="center"/>
              <w:spacing w:after="0"/>
              <w:rPr>
                <w:sz w:val="20"/>
                <w:szCs w:val="20"/>
                <w:color w:val="auto"/>
              </w:rPr>
            </w:pPr>
            <w:r>
              <w:rPr>
                <w:rFonts w:ascii="Arial" w:cs="Arial" w:eastAsia="Arial" w:hAnsi="Arial"/>
                <w:sz w:val="20"/>
                <w:szCs w:val="20"/>
                <w:color w:val="auto"/>
              </w:rPr>
              <w:t>Grant Pickering</w:t>
            </w:r>
          </w:p>
        </w:tc>
        <w:tc>
          <w:tcPr>
            <w:tcW w:w="1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-993140</wp:posOffset>
                </wp:positionV>
                <wp:extent cx="194119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11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8.1999pt" to="152.85pt,-78.1999pt" o:allowincell="f" strokecolor="#FFFFFF" strokeweight="0.72pt"/>
            </w:pict>
          </mc:Fallback>
        </mc:AlternateContent>
      </w:r>
    </w:p>
    <w:p>
      <w:pPr>
        <w:sectPr>
          <w:pgSz w:w="11880" w:h="15474" w:orient="portrait"/>
          <w:cols w:equalWidth="0" w:num="1">
            <w:col w:w="9360"/>
          </w:cols>
          <w:pgMar w:left="1240" w:top="1251" w:right="12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165</w:t>
      </w:r>
    </w:p>
    <w:p>
      <w:pPr>
        <w:sectPr>
          <w:pgSz w:w="11880" w:h="15474" w:orient="portrait"/>
          <w:cols w:equalWidth="0" w:num="1">
            <w:col w:w="9360"/>
          </w:cols>
          <w:pgMar w:left="1240" w:top="1251" w:right="1274" w:bottom="0" w:gutter="0" w:footer="0" w:header="0"/>
          <w:type w:val="continuous"/>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4"/>
        <w:spacing w:after="0"/>
        <w:rPr>
          <w:sz w:val="20"/>
          <w:szCs w:val="20"/>
          <w:color w:val="auto"/>
        </w:rPr>
      </w:pPr>
      <w:r>
        <w:rPr>
          <w:rFonts w:ascii="Arial" w:cs="Arial" w:eastAsia="Arial" w:hAnsi="Arial"/>
          <w:sz w:val="23"/>
          <w:szCs w:val="23"/>
          <w:color w:val="auto"/>
        </w:rPr>
        <w:t>(Intentionally Left Blank)</w:t>
      </w:r>
    </w:p>
    <w:p>
      <w:pPr>
        <w:sectPr>
          <w:pgSz w:w="11880" w:h="15474" w:orient="portrait"/>
          <w:cols w:equalWidth="0" w:num="1">
            <w:col w:w="8994"/>
          </w:cols>
          <w:pgMar w:left="1440" w:top="1440" w:right="1440" w:bottom="1440" w:gutter="0" w:footer="0" w:header="0"/>
        </w:sectPr>
      </w:pPr>
    </w:p>
    <w:bookmarkStart w:id="172" w:name="page173"/>
    <w:bookmarkEnd w:id="1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wp:posOffset>
            </wp:positionH>
            <wp:positionV relativeFrom="page">
              <wp:posOffset>0</wp:posOffset>
            </wp:positionV>
            <wp:extent cx="7542530" cy="98291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35">
                      <a:extLst>
                        <a:ext uri="{28A0092B-C50C-407E-A947-70E740481C1C}"/>
                      </a:extLst>
                    </a:blip>
                    <a:srcRect/>
                    <a:stretch>
                      <a:fillRect/>
                    </a:stretch>
                  </pic:blipFill>
                  <pic:spPr bwMode="auto">
                    <a:xfrm>
                      <a:off x="0" y="0"/>
                      <a:ext cx="754253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6200"/>
        <w:spacing w:after="0"/>
        <w:rPr>
          <w:sz w:val="20"/>
          <w:szCs w:val="20"/>
          <w:color w:val="auto"/>
        </w:rPr>
      </w:pPr>
      <w:r>
        <w:rPr>
          <w:rFonts w:ascii="Arial" w:cs="Arial" w:eastAsia="Arial" w:hAnsi="Arial"/>
          <w:sz w:val="18"/>
          <w:szCs w:val="18"/>
          <w:color w:val="EE8C43"/>
        </w:rPr>
        <w:t>ON THE FRONT COVER</w:t>
      </w:r>
    </w:p>
    <w:p>
      <w:pPr>
        <w:spacing w:after="0" w:line="134" w:lineRule="exact"/>
        <w:rPr>
          <w:sz w:val="20"/>
          <w:szCs w:val="20"/>
          <w:color w:val="auto"/>
        </w:rPr>
      </w:pPr>
    </w:p>
    <w:p>
      <w:pPr>
        <w:jc w:val="center"/>
        <w:ind w:left="6200"/>
        <w:spacing w:after="0"/>
        <w:rPr>
          <w:sz w:val="20"/>
          <w:szCs w:val="20"/>
          <w:color w:val="auto"/>
        </w:rPr>
      </w:pPr>
      <w:r>
        <w:rPr>
          <w:rFonts w:ascii="Arial" w:cs="Arial" w:eastAsia="Arial" w:hAnsi="Arial"/>
          <w:sz w:val="22"/>
          <w:szCs w:val="22"/>
          <w:color w:val="auto"/>
        </w:rPr>
        <w:t>Cortical neurons activated</w:t>
      </w:r>
    </w:p>
    <w:p>
      <w:pPr>
        <w:spacing w:after="0" w:line="87" w:lineRule="exact"/>
        <w:rPr>
          <w:sz w:val="20"/>
          <w:szCs w:val="20"/>
          <w:color w:val="auto"/>
        </w:rPr>
      </w:pPr>
    </w:p>
    <w:p>
      <w:pPr>
        <w:jc w:val="center"/>
        <w:ind w:left="6200"/>
        <w:spacing w:after="0"/>
        <w:rPr>
          <w:sz w:val="20"/>
          <w:szCs w:val="20"/>
          <w:color w:val="auto"/>
        </w:rPr>
      </w:pPr>
      <w:r>
        <w:rPr>
          <w:rFonts w:ascii="Arial" w:cs="Arial" w:eastAsia="Arial" w:hAnsi="Arial"/>
          <w:sz w:val="22"/>
          <w:szCs w:val="22"/>
          <w:color w:val="auto"/>
        </w:rPr>
        <w:t>by fosgonimeton</w:t>
      </w:r>
    </w:p>
    <w:p>
      <w:pPr>
        <w:sectPr>
          <w:pgSz w:w="11880" w:h="15479" w:orient="portrait"/>
          <w:cols w:equalWidth="0" w:num="1">
            <w:col w:w="8999"/>
          </w:cols>
          <w:pgMar w:left="1440" w:top="1440" w:right="1440" w:bottom="1440" w:gutter="0" w:footer="0" w:header="0"/>
        </w:sectPr>
      </w:pPr>
    </w:p>
    <w:bookmarkStart w:id="173" w:name="page174"/>
    <w:bookmarkEnd w:id="1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wp:posOffset>
            </wp:positionH>
            <wp:positionV relativeFrom="page">
              <wp:posOffset>0</wp:posOffset>
            </wp:positionV>
            <wp:extent cx="7542530" cy="98291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6">
                      <a:extLst>
                        <a:ext uri="{28A0092B-C50C-407E-A947-70E740481C1C}"/>
                      </a:extLst>
                    </a:blip>
                    <a:srcRect/>
                    <a:stretch>
                      <a:fillRect/>
                    </a:stretch>
                  </pic:blipFill>
                  <pic:spPr bwMode="auto">
                    <a:xfrm>
                      <a:off x="0" y="0"/>
                      <a:ext cx="754253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4"/>
          <w:szCs w:val="24"/>
          <w:color w:val="F97223"/>
        </w:rPr>
        <w:t>NASDAQ: ATHA</w:t>
      </w:r>
    </w:p>
    <w:p>
      <w:pPr>
        <w:sectPr>
          <w:pgSz w:w="11880" w:h="15479" w:orient="portrait"/>
          <w:cols w:equalWidth="0" w:num="1">
            <w:col w:w="8999"/>
          </w:cols>
          <w:pgMar w:left="1440" w:top="1440" w:right="1440" w:bottom="1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tabs>
          <w:tab w:leader="none" w:pos="280" w:val="left"/>
          <w:tab w:leader="none" w:pos="280" w:val="left"/>
        </w:tabs>
        <w:rPr>
          <w:sz w:val="20"/>
          <w:szCs w:val="20"/>
          <w:color w:val="auto"/>
        </w:rPr>
      </w:pPr>
      <w:r>
        <w:rPr>
          <w:rFonts w:ascii="Arial" w:cs="Arial" w:eastAsia="Arial" w:hAnsi="Arial"/>
          <w:sz w:val="19"/>
          <w:szCs w:val="19"/>
          <w:color w:val="FFFFFF"/>
        </w:rPr>
        <w:t>18706 NORTH CREEK PARK WAY, SUITE 104, BOTHELL, WA 98011</w:t>
      </w:r>
      <w:r>
        <w:rPr>
          <w:sz w:val="20"/>
          <w:szCs w:val="20"/>
          <w:color w:val="auto"/>
        </w:rPr>
        <w:tab/>
      </w:r>
      <w:r>
        <w:rPr>
          <w:rFonts w:ascii="Arial" w:cs="Arial" w:eastAsia="Arial" w:hAnsi="Arial"/>
          <w:sz w:val="19"/>
          <w:szCs w:val="19"/>
          <w:color w:val="FFFFFF"/>
        </w:rPr>
        <w:t>•</w:t>
      </w:r>
      <w:r>
        <w:rPr>
          <w:sz w:val="20"/>
          <w:szCs w:val="20"/>
          <w:color w:val="auto"/>
        </w:rPr>
        <w:tab/>
      </w:r>
      <w:r>
        <w:rPr>
          <w:rFonts w:ascii="Arial" w:cs="Arial" w:eastAsia="Arial" w:hAnsi="Arial"/>
          <w:sz w:val="16"/>
          <w:szCs w:val="16"/>
          <w:color w:val="FFFFFF"/>
        </w:rPr>
        <w:t>AT H I R A .CO M</w:t>
      </w:r>
    </w:p>
    <w:sectPr>
      <w:pgSz w:w="11880" w:h="15479" w:orient="portrait"/>
      <w:cols w:equalWidth="0" w:num="1">
        <w:col w:w="8999"/>
      </w:cols>
      <w:pgMar w:left="1440" w:top="1440" w:right="1440" w:bottom="1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 w:name="PMingLiU">
    <w:panose1 w:val="02020500000000000000"/>
    <w:charset w:val="00"/>
    <w:family w:val="roman"/>
    <w:pitch w:val="variable"/>
    <w:sig w:usb0="A00002FF" w:usb1="28CFFCFA" w:usb2="00000016" w:usb3="00000000" w:csb0="00100001" w:csb1="0000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ց"/>
      <w:numFmt w:val="bullet"/>
      <w:start w:val="1"/>
    </w:lvl>
  </w:abstractNum>
  <w:abstractNum w:abstractNumId="1">
    <w:nsid w:val="5E884ADC"/>
    <w:multiLevelType w:val="hybridMultilevel"/>
    <w:lvl w:ilvl="0">
      <w:lvlJc w:val="left"/>
      <w:lvlText w:val="տ"/>
      <w:numFmt w:val="bullet"/>
      <w:start w:val="1"/>
    </w:lvl>
  </w:abstractNum>
  <w:abstractNum w:abstractNumId="2">
    <w:nsid w:val="51EAD36B"/>
    <w:multiLevelType w:val="hybridMultilevel"/>
    <w:lvl w:ilvl="0">
      <w:lvlJc w:val="left"/>
      <w:lvlText w:val="x"/>
      <w:numFmt w:val="bullet"/>
      <w:start w:val="1"/>
    </w:lvl>
  </w:abstractNum>
  <w:abstractNum w:abstractNumId="3">
    <w:nsid w:val="2D517796"/>
    <w:multiLevelType w:val="hybridMultilevel"/>
    <w:lvl w:ilvl="0">
      <w:lvlJc w:val="left"/>
      <w:lvlText w:val="x"/>
      <w:numFmt w:val="bullet"/>
      <w:start w:val="1"/>
    </w:lvl>
  </w:abstractNum>
  <w:abstractNum w:abstractNumId="4">
    <w:nsid w:val="580BD78F"/>
    <w:multiLevelType w:val="hybridMultilevel"/>
    <w:lvl w:ilvl="0">
      <w:lvlJc w:val="left"/>
      <w:lvlText w:val="x"/>
      <w:numFmt w:val="bullet"/>
      <w:start w:val="1"/>
    </w:lvl>
  </w:abstractNum>
  <w:abstractNum w:abstractNumId="5">
    <w:nsid w:val="153EA438"/>
    <w:multiLevelType w:val="hybridMultilevel"/>
    <w:lvl w:ilvl="0">
      <w:lvlJc w:val="left"/>
      <w:lvlText w:val="x"/>
      <w:numFmt w:val="bullet"/>
      <w:start w:val="1"/>
    </w:lvl>
  </w:abstractNum>
  <w:abstractNum w:abstractNumId="6">
    <w:nsid w:val="3855585C"/>
    <w:multiLevelType w:val="hybridMultilevel"/>
    <w:lvl w:ilvl="0">
      <w:lvlJc w:val="left"/>
      <w:lvlText w:val="x"/>
      <w:numFmt w:val="bullet"/>
      <w:start w:val="1"/>
    </w:lvl>
  </w:abstractNum>
  <w:abstractNum w:abstractNumId="7">
    <w:nsid w:val="70A64E2A"/>
    <w:multiLevelType w:val="hybridMultilevel"/>
    <w:lvl w:ilvl="0">
      <w:lvlJc w:val="left"/>
      <w:lvlText w:val="x"/>
      <w:numFmt w:val="bullet"/>
      <w:start w:val="1"/>
    </w:lvl>
  </w:abstractNum>
  <w:abstractNum w:abstractNumId="8">
    <w:nsid w:val="6A2342EC"/>
    <w:multiLevelType w:val="hybridMultilevel"/>
    <w:lvl w:ilvl="0">
      <w:lvlJc w:val="left"/>
      <w:lvlText w:val="x"/>
      <w:numFmt w:val="bullet"/>
      <w:start w:val="1"/>
    </w:lvl>
  </w:abstractNum>
  <w:abstractNum w:abstractNumId="9">
    <w:nsid w:val="2A487CB0"/>
    <w:multiLevelType w:val="hybridMultilevel"/>
    <w:lvl w:ilvl="0">
      <w:lvlJc w:val="left"/>
      <w:lvlText w:val="x"/>
      <w:numFmt w:val="bullet"/>
      <w:start w:val="1"/>
    </w:lvl>
  </w:abstractNum>
  <w:abstractNum w:abstractNumId="10">
    <w:nsid w:val="1D4ED43B"/>
    <w:multiLevelType w:val="hybridMultilevel"/>
    <w:lvl w:ilvl="0">
      <w:lvlJc w:val="left"/>
      <w:lvlText w:val="x"/>
      <w:numFmt w:val="bullet"/>
      <w:start w:val="1"/>
    </w:lvl>
  </w:abstractNum>
  <w:abstractNum w:abstractNumId="11">
    <w:nsid w:val="725A06FB"/>
    <w:multiLevelType w:val="hybridMultilevel"/>
    <w:lvl w:ilvl="0">
      <w:lvlJc w:val="left"/>
      <w:lvlText w:val="x"/>
      <w:numFmt w:val="bullet"/>
      <w:start w:val="1"/>
    </w:lvl>
  </w:abstractNum>
  <w:abstractNum w:abstractNumId="12">
    <w:nsid w:val="2CD89A32"/>
    <w:multiLevelType w:val="hybridMultilevel"/>
    <w:lvl w:ilvl="0">
      <w:lvlJc w:val="left"/>
      <w:lvlText w:val="x"/>
      <w:numFmt w:val="bullet"/>
      <w:start w:val="1"/>
    </w:lvl>
  </w:abstractNum>
  <w:abstractNum w:abstractNumId="13">
    <w:nsid w:val="57E4CCAF"/>
    <w:multiLevelType w:val="hybridMultilevel"/>
    <w:lvl w:ilvl="0">
      <w:lvlJc w:val="left"/>
      <w:lvlText w:val="x"/>
      <w:numFmt w:val="bullet"/>
      <w:start w:val="1"/>
    </w:lvl>
  </w:abstractNum>
  <w:abstractNum w:abstractNumId="14">
    <w:nsid w:val="7A6D8D3C"/>
    <w:multiLevelType w:val="hybridMultilevel"/>
    <w:lvl w:ilvl="0">
      <w:lvlJc w:val="left"/>
      <w:lvlText w:val="x"/>
      <w:numFmt w:val="bullet"/>
      <w:start w:val="1"/>
    </w:lvl>
  </w:abstractNum>
  <w:abstractNum w:abstractNumId="15">
    <w:nsid w:val="4B588F54"/>
    <w:multiLevelType w:val="hybridMultilevel"/>
    <w:lvl w:ilvl="0">
      <w:lvlJc w:val="left"/>
      <w:lvlText w:val="x"/>
      <w:numFmt w:val="bullet"/>
      <w:start w:val="1"/>
    </w:lvl>
  </w:abstractNum>
  <w:abstractNum w:abstractNumId="16">
    <w:nsid w:val="542289EC"/>
    <w:multiLevelType w:val="hybridMultilevel"/>
    <w:lvl w:ilvl="0">
      <w:lvlJc w:val="left"/>
      <w:lvlText w:val="x"/>
      <w:numFmt w:val="bullet"/>
      <w:start w:val="1"/>
    </w:lvl>
  </w:abstractNum>
  <w:abstractNum w:abstractNumId="17">
    <w:nsid w:val="6DE91B18"/>
    <w:multiLevelType w:val="hybridMultilevel"/>
    <w:lvl w:ilvl="0">
      <w:lvlJc w:val="left"/>
      <w:lvlText w:val="x"/>
      <w:numFmt w:val="bullet"/>
      <w:start w:val="1"/>
    </w:lvl>
  </w:abstractNum>
  <w:abstractNum w:abstractNumId="18">
    <w:nsid w:val="38437FDB"/>
    <w:multiLevelType w:val="hybridMultilevel"/>
    <w:lvl w:ilvl="0">
      <w:lvlJc w:val="left"/>
      <w:lvlText w:val="x"/>
      <w:numFmt w:val="bullet"/>
      <w:start w:val="1"/>
    </w:lvl>
  </w:abstractNum>
  <w:abstractNum w:abstractNumId="19">
    <w:nsid w:val="7644A45C"/>
    <w:multiLevelType w:val="hybridMultilevel"/>
    <w:lvl w:ilvl="0">
      <w:lvlJc w:val="left"/>
      <w:lvlText w:val="x"/>
      <w:numFmt w:val="bullet"/>
      <w:start w:val="1"/>
    </w:lvl>
  </w:abstractNum>
  <w:abstractNum w:abstractNumId="20">
    <w:nsid w:val="32FFF902"/>
    <w:multiLevelType w:val="hybridMultilevel"/>
    <w:lvl w:ilvl="0">
      <w:lvlJc w:val="left"/>
      <w:lvlText w:val="x"/>
      <w:numFmt w:val="bullet"/>
      <w:start w:val="1"/>
    </w:lvl>
  </w:abstractNum>
  <w:abstractNum w:abstractNumId="21">
    <w:nsid w:val="684A481A"/>
    <w:multiLevelType w:val="hybridMultilevel"/>
    <w:lvl w:ilvl="0">
      <w:lvlJc w:val="left"/>
      <w:lvlText w:val="x"/>
      <w:numFmt w:val="bullet"/>
      <w:start w:val="1"/>
    </w:lvl>
  </w:abstractNum>
  <w:abstractNum w:abstractNumId="22">
    <w:nsid w:val="579478FE"/>
    <w:multiLevelType w:val="hybridMultilevel"/>
    <w:lvl w:ilvl="0">
      <w:lvlJc w:val="left"/>
      <w:lvlText w:val="x"/>
      <w:numFmt w:val="bullet"/>
      <w:start w:val="1"/>
    </w:lvl>
  </w:abstractNum>
  <w:abstractNum w:abstractNumId="23">
    <w:nsid w:val="749ABB43"/>
    <w:multiLevelType w:val="hybridMultilevel"/>
    <w:lvl w:ilvl="0">
      <w:lvlJc w:val="left"/>
      <w:lvlText w:val="x"/>
      <w:numFmt w:val="bullet"/>
      <w:start w:val="1"/>
    </w:lvl>
  </w:abstractNum>
  <w:abstractNum w:abstractNumId="24">
    <w:nsid w:val="3DC240FB"/>
    <w:multiLevelType w:val="hybridMultilevel"/>
    <w:lvl w:ilvl="0">
      <w:lvlJc w:val="left"/>
      <w:lvlText w:val="x"/>
      <w:numFmt w:val="bullet"/>
      <w:start w:val="1"/>
    </w:lvl>
  </w:abstractNum>
  <w:abstractNum w:abstractNumId="25">
    <w:nsid w:val="1BA026FA"/>
    <w:multiLevelType w:val="hybridMultilevel"/>
    <w:lvl w:ilvl="0">
      <w:lvlJc w:val="left"/>
      <w:lvlText w:val="x"/>
      <w:numFmt w:val="bullet"/>
      <w:start w:val="1"/>
    </w:lvl>
  </w:abstractNum>
  <w:abstractNum w:abstractNumId="26">
    <w:nsid w:val="79A1DEAA"/>
    <w:multiLevelType w:val="hybridMultilevel"/>
    <w:lvl w:ilvl="0">
      <w:lvlJc w:val="left"/>
      <w:lvlText w:val="x"/>
      <w:numFmt w:val="bullet"/>
      <w:start w:val="1"/>
    </w:lvl>
  </w:abstractNum>
  <w:abstractNum w:abstractNumId="27">
    <w:nsid w:val="75C6C33A"/>
    <w:multiLevelType w:val="hybridMultilevel"/>
    <w:lvl w:ilvl="0">
      <w:lvlJc w:val="left"/>
      <w:lvlText w:val="x"/>
      <w:numFmt w:val="bullet"/>
      <w:start w:val="1"/>
    </w:lvl>
  </w:abstractNum>
  <w:abstractNum w:abstractNumId="28">
    <w:nsid w:val="12E685FB"/>
    <w:multiLevelType w:val="hybridMultilevel"/>
    <w:lvl w:ilvl="0">
      <w:lvlJc w:val="left"/>
      <w:lvlText w:val="x"/>
      <w:numFmt w:val="bullet"/>
      <w:start w:val="1"/>
    </w:lvl>
  </w:abstractNum>
  <w:abstractNum w:abstractNumId="29">
    <w:nsid w:val="70C6A529"/>
    <w:multiLevelType w:val="hybridMultilevel"/>
    <w:lvl w:ilvl="0">
      <w:lvlJc w:val="left"/>
      <w:lvlText w:val="x"/>
      <w:numFmt w:val="bullet"/>
      <w:start w:val="1"/>
    </w:lvl>
  </w:abstractNum>
  <w:abstractNum w:abstractNumId="30">
    <w:nsid w:val="520EEDD1"/>
    <w:multiLevelType w:val="hybridMultilevel"/>
    <w:lvl w:ilvl="0">
      <w:lvlJc w:val="left"/>
      <w:lvlText w:val="x"/>
      <w:numFmt w:val="bullet"/>
      <w:start w:val="1"/>
    </w:lvl>
  </w:abstractNum>
  <w:abstractNum w:abstractNumId="31">
    <w:nsid w:val="374A3FE6"/>
    <w:multiLevelType w:val="hybridMultilevel"/>
    <w:lvl w:ilvl="0">
      <w:lvlJc w:val="left"/>
      <w:lvlText w:val="x"/>
      <w:numFmt w:val="bullet"/>
      <w:start w:val="1"/>
    </w:lvl>
  </w:abstractNum>
  <w:abstractNum w:abstractNumId="32">
    <w:nsid w:val="4F4EF005"/>
    <w:multiLevelType w:val="hybridMultilevel"/>
    <w:lvl w:ilvl="0">
      <w:lvlJc w:val="left"/>
      <w:lvlText w:val="x"/>
      <w:numFmt w:val="bullet"/>
      <w:start w:val="1"/>
    </w:lvl>
  </w:abstractNum>
  <w:abstractNum w:abstractNumId="33">
    <w:nsid w:val="23F9C13C"/>
    <w:multiLevelType w:val="hybridMultilevel"/>
    <w:lvl w:ilvl="0">
      <w:lvlJc w:val="left"/>
      <w:lvlText w:val="x"/>
      <w:numFmt w:val="bullet"/>
      <w:start w:val="1"/>
    </w:lvl>
  </w:abstractNum>
  <w:abstractNum w:abstractNumId="34">
    <w:nsid w:val="649BB77C"/>
    <w:multiLevelType w:val="hybridMultilevel"/>
    <w:lvl w:ilvl="0">
      <w:lvlJc w:val="left"/>
      <w:lvlText w:val="x"/>
      <w:numFmt w:val="bullet"/>
      <w:start w:val="1"/>
    </w:lvl>
  </w:abstractNum>
  <w:abstractNum w:abstractNumId="35">
    <w:nsid w:val="275AC794"/>
    <w:multiLevelType w:val="hybridMultilevel"/>
    <w:lvl w:ilvl="0">
      <w:lvlJc w:val="left"/>
      <w:lvlText w:val="x"/>
      <w:numFmt w:val="bullet"/>
      <w:start w:val="1"/>
    </w:lvl>
  </w:abstractNum>
  <w:abstractNum w:abstractNumId="36">
    <w:nsid w:val="39386575"/>
    <w:multiLevelType w:val="hybridMultilevel"/>
    <w:lvl w:ilvl="0">
      <w:lvlJc w:val="left"/>
      <w:lvlText w:val="x"/>
      <w:numFmt w:val="bullet"/>
      <w:start w:val="1"/>
    </w:lvl>
  </w:abstractNum>
  <w:abstractNum w:abstractNumId="37">
    <w:nsid w:val="1CF10FD8"/>
    <w:multiLevelType w:val="hybridMultilevel"/>
    <w:lvl w:ilvl="0">
      <w:lvlJc w:val="left"/>
      <w:lvlText w:val="x"/>
      <w:numFmt w:val="bullet"/>
      <w:start w:val="1"/>
    </w:lvl>
  </w:abstractNum>
  <w:abstractNum w:abstractNumId="38">
    <w:nsid w:val="180115BE"/>
    <w:multiLevelType w:val="hybridMultilevel"/>
    <w:lvl w:ilvl="0">
      <w:lvlJc w:val="left"/>
      <w:lvlText w:val="x"/>
      <w:numFmt w:val="bullet"/>
      <w:start w:val="1"/>
    </w:lvl>
  </w:abstractNum>
  <w:abstractNum w:abstractNumId="39">
    <w:nsid w:val="235BA861"/>
    <w:multiLevelType w:val="hybridMultilevel"/>
    <w:lvl w:ilvl="0">
      <w:lvlJc w:val="left"/>
      <w:lvlText w:val="x"/>
      <w:numFmt w:val="bullet"/>
      <w:start w:val="1"/>
    </w:lvl>
  </w:abstractNum>
  <w:abstractNum w:abstractNumId="40">
    <w:nsid w:val="47398C89"/>
    <w:multiLevelType w:val="hybridMultilevel"/>
    <w:lvl w:ilvl="0">
      <w:lvlJc w:val="left"/>
      <w:lvlText w:val="x"/>
      <w:numFmt w:val="bullet"/>
      <w:start w:val="1"/>
    </w:lvl>
  </w:abstractNum>
  <w:abstractNum w:abstractNumId="41">
    <w:nsid w:val="354FE9F9"/>
    <w:multiLevelType w:val="hybridMultilevel"/>
    <w:lvl w:ilvl="0">
      <w:lvlJc w:val="left"/>
      <w:lvlText w:val="x"/>
      <w:numFmt w:val="bullet"/>
      <w:start w:val="1"/>
    </w:lvl>
  </w:abstractNum>
  <w:abstractNum w:abstractNumId="42">
    <w:nsid w:val="15B5AF5C"/>
    <w:multiLevelType w:val="hybridMultilevel"/>
    <w:lvl w:ilvl="0">
      <w:lvlJc w:val="left"/>
      <w:lvlText w:val="x"/>
      <w:numFmt w:val="bullet"/>
      <w:start w:val="1"/>
    </w:lvl>
  </w:abstractNum>
  <w:abstractNum w:abstractNumId="43">
    <w:nsid w:val="741226BB"/>
    <w:multiLevelType w:val="hybridMultilevel"/>
    <w:lvl w:ilvl="0">
      <w:lvlJc w:val="left"/>
      <w:lvlText w:val="x"/>
      <w:numFmt w:val="bullet"/>
      <w:start w:val="1"/>
    </w:lvl>
  </w:abstractNum>
  <w:abstractNum w:abstractNumId="44">
    <w:nsid w:val="D34B6A8"/>
    <w:multiLevelType w:val="hybridMultilevel"/>
    <w:lvl w:ilvl="0">
      <w:lvlJc w:val="left"/>
      <w:lvlText w:val="x"/>
      <w:numFmt w:val="bullet"/>
      <w:start w:val="1"/>
    </w:lvl>
  </w:abstractNum>
  <w:abstractNum w:abstractNumId="45">
    <w:nsid w:val="10233C99"/>
    <w:multiLevelType w:val="hybridMultilevel"/>
    <w:lvl w:ilvl="0">
      <w:lvlJc w:val="left"/>
      <w:lvlText w:val="x"/>
      <w:numFmt w:val="bullet"/>
      <w:start w:val="1"/>
    </w:lvl>
  </w:abstractNum>
  <w:abstractNum w:abstractNumId="46">
    <w:nsid w:val="3F6AB60F"/>
    <w:multiLevelType w:val="hybridMultilevel"/>
    <w:lvl w:ilvl="0">
      <w:lvlJc w:val="left"/>
      <w:lvlText w:val="x"/>
      <w:numFmt w:val="bullet"/>
      <w:start w:val="1"/>
    </w:lvl>
  </w:abstractNum>
  <w:abstractNum w:abstractNumId="47">
    <w:nsid w:val="61574095"/>
    <w:multiLevelType w:val="hybridMultilevel"/>
    <w:lvl w:ilvl="0">
      <w:lvlJc w:val="left"/>
      <w:lvlText w:val="x"/>
      <w:numFmt w:val="bullet"/>
      <w:start w:val="1"/>
    </w:lvl>
  </w:abstractNum>
  <w:abstractNum w:abstractNumId="48">
    <w:nsid w:val="7E0C57B1"/>
    <w:multiLevelType w:val="hybridMultilevel"/>
    <w:lvl w:ilvl="0">
      <w:lvlJc w:val="left"/>
      <w:lvlText w:val="x"/>
      <w:numFmt w:val="bullet"/>
      <w:start w:val="1"/>
    </w:lvl>
  </w:abstractNum>
  <w:abstractNum w:abstractNumId="49">
    <w:nsid w:val="77AE35EB"/>
    <w:multiLevelType w:val="hybridMultilevel"/>
    <w:lvl w:ilvl="0">
      <w:lvlJc w:val="left"/>
      <w:lvlText w:val="x"/>
      <w:numFmt w:val="bullet"/>
      <w:start w:val="1"/>
    </w:lvl>
  </w:abstractNum>
  <w:abstractNum w:abstractNumId="50">
    <w:nsid w:val="579BE4F1"/>
    <w:multiLevelType w:val="hybridMultilevel"/>
    <w:lvl w:ilvl="0">
      <w:lvlJc w:val="left"/>
      <w:lvlText w:val="x"/>
      <w:numFmt w:val="bullet"/>
      <w:start w:val="1"/>
    </w:lvl>
  </w:abstractNum>
  <w:abstractNum w:abstractNumId="51">
    <w:nsid w:val="310C50B3"/>
    <w:multiLevelType w:val="hybridMultilevel"/>
    <w:lvl w:ilvl="0">
      <w:lvlJc w:val="left"/>
      <w:lvlText w:val="x"/>
      <w:numFmt w:val="bullet"/>
      <w:start w:val="1"/>
    </w:lvl>
  </w:abstractNum>
  <w:abstractNum w:abstractNumId="52">
    <w:nsid w:val="5FF87E05"/>
    <w:multiLevelType w:val="hybridMultilevel"/>
    <w:lvl w:ilvl="0">
      <w:lvlJc w:val="left"/>
      <w:lvlText w:val="x"/>
      <w:numFmt w:val="bullet"/>
      <w:start w:val="1"/>
    </w:lvl>
  </w:abstractNum>
  <w:abstractNum w:abstractNumId="53">
    <w:nsid w:val="2F305DEF"/>
    <w:multiLevelType w:val="hybridMultilevel"/>
    <w:lvl w:ilvl="0">
      <w:lvlJc w:val="left"/>
      <w:lvlText w:val="x"/>
      <w:numFmt w:val="bullet"/>
      <w:start w:val="1"/>
    </w:lvl>
  </w:abstractNum>
  <w:abstractNum w:abstractNumId="54">
    <w:nsid w:val="25A70BF7"/>
    <w:multiLevelType w:val="hybridMultilevel"/>
    <w:lvl w:ilvl="0">
      <w:lvlJc w:val="left"/>
      <w:lvlText w:val="(%1)"/>
      <w:numFmt w:val="decimal"/>
      <w:start w:val="1"/>
    </w:lvl>
  </w:abstractNum>
  <w:abstractNum w:abstractNumId="55">
    <w:nsid w:val="1DBABF00"/>
    <w:multiLevelType w:val="hybridMultilevel"/>
    <w:lvl w:ilvl="0">
      <w:lvlJc w:val="left"/>
      <w:lvlText w:val="x"/>
      <w:numFmt w:val="bullet"/>
      <w:start w:val="1"/>
    </w:lvl>
  </w:abstractNum>
  <w:abstractNum w:abstractNumId="56">
    <w:nsid w:val="4AD084E9"/>
    <w:multiLevelType w:val="hybridMultilevel"/>
    <w:lvl w:ilvl="0">
      <w:lvlJc w:val="left"/>
      <w:lvlText w:val="x"/>
      <w:numFmt w:val="bullet"/>
      <w:start w:val="1"/>
    </w:lvl>
  </w:abstractNum>
  <w:abstractNum w:abstractNumId="57">
    <w:nsid w:val="1F48EAA1"/>
    <w:multiLevelType w:val="hybridMultilevel"/>
    <w:lvl w:ilvl="0">
      <w:lvlJc w:val="left"/>
      <w:lvlText w:val="x"/>
      <w:numFmt w:val="bullet"/>
      <w:start w:val="1"/>
    </w:lvl>
  </w:abstractNum>
  <w:abstractNum w:abstractNumId="58">
    <w:nsid w:val="1381823A"/>
    <w:multiLevelType w:val="hybridMultilevel"/>
    <w:lvl w:ilvl="0">
      <w:lvlJc w:val="left"/>
      <w:lvlText w:val="x"/>
      <w:numFmt w:val="bullet"/>
      <w:start w:val="1"/>
    </w:lvl>
  </w:abstractNum>
  <w:abstractNum w:abstractNumId="59">
    <w:nsid w:val="5DB70AE5"/>
    <w:multiLevelType w:val="hybridMultilevel"/>
    <w:lvl w:ilvl="0">
      <w:lvlJc w:val="left"/>
      <w:lvlText w:val="x"/>
      <w:numFmt w:val="bullet"/>
      <w:start w:val="1"/>
    </w:lvl>
  </w:abstractNum>
  <w:abstractNum w:abstractNumId="60">
    <w:nsid w:val="100F8FCA"/>
    <w:multiLevelType w:val="hybridMultilevel"/>
    <w:lvl w:ilvl="0">
      <w:lvlJc w:val="left"/>
      <w:lvlText w:val="x"/>
      <w:numFmt w:val="bullet"/>
      <w:start w:val="1"/>
    </w:lvl>
  </w:abstractNum>
  <w:abstractNum w:abstractNumId="61">
    <w:nsid w:val="6590700B"/>
    <w:multiLevelType w:val="hybridMultilevel"/>
    <w:lvl w:ilvl="0">
      <w:lvlJc w:val="left"/>
      <w:lvlText w:val="x"/>
      <w:numFmt w:val="bullet"/>
      <w:start w:val="1"/>
    </w:lvl>
  </w:abstractNum>
  <w:abstractNum w:abstractNumId="62">
    <w:nsid w:val="15014ACB"/>
    <w:multiLevelType w:val="hybridMultilevel"/>
    <w:lvl w:ilvl="0">
      <w:lvlJc w:val="left"/>
      <w:lvlText w:val="x"/>
      <w:numFmt w:val="bullet"/>
      <w:start w:val="1"/>
    </w:lvl>
  </w:abstractNum>
  <w:abstractNum w:abstractNumId="63">
    <w:nsid w:val="5F5E7FD0"/>
    <w:multiLevelType w:val="hybridMultilevel"/>
    <w:lvl w:ilvl="0">
      <w:lvlJc w:val="left"/>
      <w:lvlText w:val="x"/>
      <w:numFmt w:val="bullet"/>
      <w:start w:val="1"/>
    </w:lvl>
  </w:abstractNum>
  <w:abstractNum w:abstractNumId="64">
    <w:nsid w:val="98A3148"/>
    <w:multiLevelType w:val="hybridMultilevel"/>
    <w:lvl w:ilvl="0">
      <w:lvlJc w:val="left"/>
      <w:lvlText w:val="%1."/>
      <w:numFmt w:val="decimal"/>
      <w:start w:val="1"/>
    </w:lvl>
  </w:abstractNum>
  <w:abstractNum w:abstractNumId="65">
    <w:nsid w:val="799D0247"/>
    <w:multiLevelType w:val="hybridMultilevel"/>
    <w:lvl w:ilvl="0">
      <w:lvlJc w:val="left"/>
      <w:lvlText w:val="%1."/>
      <w:numFmt w:val="decimal"/>
      <w:start w:val="2"/>
    </w:lvl>
  </w:abstractNum>
  <w:abstractNum w:abstractNumId="66">
    <w:nsid w:val="6B94764"/>
    <w:multiLevelType w:val="hybridMultilevel"/>
    <w:lvl w:ilvl="0">
      <w:lvlJc w:val="left"/>
      <w:lvlText w:val="x"/>
      <w:numFmt w:val="bullet"/>
      <w:start w:val="1"/>
    </w:lvl>
  </w:abstractNum>
  <w:abstractNum w:abstractNumId="67">
    <w:nsid w:val="42C296BD"/>
    <w:multiLevelType w:val="hybridMultilevel"/>
    <w:lvl w:ilvl="0">
      <w:lvlJc w:val="left"/>
      <w:lvlText w:val="%1."/>
      <w:numFmt w:val="decimal"/>
      <w:start w:val="7"/>
    </w:lvl>
  </w:abstractNum>
  <w:abstractNum w:abstractNumId="68">
    <w:nsid w:val="168E121F"/>
    <w:multiLevelType w:val="hybridMultilevel"/>
    <w:lvl w:ilvl="0">
      <w:lvlJc w:val="left"/>
      <w:lvlText w:val="x"/>
      <w:numFmt w:val="bullet"/>
      <w:start w:val="1"/>
    </w:lvl>
  </w:abstractNum>
  <w:abstractNum w:abstractNumId="69">
    <w:nsid w:val="1EBA5D23"/>
    <w:multiLevelType w:val="hybridMultilevel"/>
    <w:lvl w:ilvl="0">
      <w:lvlJc w:val="left"/>
      <w:lvlText w:val="x"/>
      <w:numFmt w:val="bullet"/>
      <w:start w:val="1"/>
    </w:lvl>
  </w:abstractNum>
  <w:abstractNum w:abstractNumId="70">
    <w:nsid w:val="661E3F1E"/>
    <w:multiLevelType w:val="hybridMultilevel"/>
    <w:lvl w:ilvl="0">
      <w:lvlJc w:val="left"/>
      <w:lvlText w:val="(%1)"/>
      <w:numFmt w:val="lowerLetter"/>
      <w:start w:val="1"/>
    </w:lvl>
  </w:abstractNum>
  <w:abstractNum w:abstractNumId="71">
    <w:nsid w:val="5DC79EA8"/>
    <w:multiLevelType w:val="hybridMultilevel"/>
    <w:lvl w:ilvl="0">
      <w:lvlJc w:val="left"/>
      <w:lvlText w:val="(%1)"/>
      <w:numFmt w:val="decimal"/>
      <w:start w:val="1"/>
    </w:lvl>
  </w:abstractNum>
  <w:abstractNum w:abstractNumId="72">
    <w:nsid w:val="540A471C"/>
    <w:multiLevelType w:val="hybridMultilevel"/>
    <w:lvl w:ilvl="0">
      <w:lvlJc w:val="left"/>
      <w:lvlText w:val="(%1)"/>
      <w:numFmt w:val="decimal"/>
      <w:start w:val="2"/>
    </w:lvl>
  </w:abstractNum>
  <w:abstractNum w:abstractNumId="73">
    <w:nsid w:val="7BD3EE7B"/>
    <w:multiLevelType w:val="hybridMultilevel"/>
    <w:lvl w:ilvl="0">
      <w:lvlJc w:val="left"/>
      <w:lvlText w:val="(%1)"/>
      <w:numFmt w:val="decimal"/>
      <w:start w:val="3"/>
    </w:lvl>
  </w:abstractNum>
  <w:abstractNum w:abstractNumId="74">
    <w:nsid w:val="51D9C564"/>
    <w:multiLevelType w:val="hybridMultilevel"/>
    <w:lvl w:ilvl="0">
      <w:lvlJc w:val="left"/>
      <w:lvlText w:val="%1"/>
      <w:numFmt w:val="decimal"/>
      <w:start w:val="97"/>
    </w:lvl>
  </w:abstractNum>
  <w:abstractNum w:abstractNumId="75">
    <w:nsid w:val="613EFDC5"/>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2024-04-09T07:41:21Z</dcterms:created>
  <dcterms:modified xsi:type="dcterms:W3CDTF">2024-04-09T07:41:21Z</dcterms:modified>
</cp:coreProperties>
</file>