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313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1304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996"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Worthington Mark</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8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12/31/2024</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697"/>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396" w:lineRule="exact"/>
        <w:rPr>
          <w:sz w:val="20"/>
          <w:szCs w:val="20"/>
          <w:color w:val="auto"/>
        </w:rPr>
      </w:pPr>
    </w:p>
    <w:p>
      <w:pPr>
        <w:sectPr>
          <w:pgSz w:w="11900" w:h="16838" w:orient="portrait"/>
          <w:cols w:equalWidth="0" w:num="2">
            <w:col w:w="7660" w:space="63"/>
            <w:col w:w="3357"/>
          </w:cols>
          <w:pgMar w:left="460" w:top="217" w:right="359" w:bottom="996"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98011</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3"/>
              </w:rPr>
              <w:t>11/18/2024</w:t>
            </w:r>
            <w:r>
              <w:rPr>
                <w:rFonts w:ascii="Times New Roman" w:cs="Times New Roman" w:eastAsia="Times New Roman" w:hAnsi="Times New Roman"/>
                <w:sz w:val="21"/>
                <w:szCs w:val="21"/>
                <w:color w:val="008000"/>
                <w:w w:val="93"/>
                <w:vertAlign w:val="superscript"/>
              </w:rPr>
              <w:t>(2)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3,651</w:t>
            </w:r>
          </w:p>
        </w:tc>
        <w:tc>
          <w:tcPr>
            <w:tcW w:w="6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68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0.55</w:t>
            </w:r>
            <w:r>
              <w:rPr>
                <w:rFonts w:ascii="Times New Roman" w:cs="Times New Roman" w:eastAsia="Times New Roman" w:hAnsi="Times New Roman"/>
                <w:sz w:val="21"/>
                <w:szCs w:val="21"/>
                <w:color w:val="008000"/>
                <w:w w:val="89"/>
                <w:vertAlign w:val="superscript"/>
              </w:rPr>
              <w:t>(3)</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55,578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12/31/2024</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6"/>
              </w:rPr>
              <w:t>M</w:t>
            </w:r>
          </w:p>
        </w:tc>
        <w:tc>
          <w:tcPr>
            <w:tcW w:w="300" w:type="dxa"/>
            <w:vAlign w:val="bottom"/>
          </w:tcPr>
          <w:p>
            <w:pPr>
              <w:spacing w:after="0"/>
              <w:rPr>
                <w:sz w:val="22"/>
                <w:szCs w:val="22"/>
                <w:color w:val="auto"/>
              </w:rPr>
            </w:pP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0000FF"/>
                <w:w w:val="98"/>
              </w:rPr>
              <w:t>36,667</w:t>
            </w:r>
          </w:p>
        </w:tc>
        <w:tc>
          <w:tcPr>
            <w:tcW w:w="60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92,245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01/02/2025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8,510</w:t>
            </w:r>
          </w:p>
        </w:tc>
        <w:tc>
          <w:tcPr>
            <w:tcW w:w="6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0.5619</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83,735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36,667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12/31/2024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36,667</w:t>
            </w:r>
          </w:p>
        </w:tc>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300" w:type="dxa"/>
            <w:vAlign w:val="bottom"/>
          </w:tcPr>
          <w:p>
            <w:pPr>
              <w:spacing w:after="0"/>
              <w:rPr>
                <w:sz w:val="12"/>
                <w:szCs w:val="1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73,333</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(6)</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20, 2024 through November 18, 2024. This transaction is also exempt under Rule 16b-3(c).</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November 18, 2024 and is the Purchase Period comprising the Offering Period (as defined in the ESPP) that began May 20, 2024.</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18, 2024.</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$0.5414 to $0.5939,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110,000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Mark Worthington</w:t>
            </w:r>
          </w:p>
        </w:tc>
        <w:tc>
          <w:tcPr>
            <w:tcW w:w="7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01/03/2025</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46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2025-01-03T16:07:24Z</dcterms:created>
  <dcterms:modified xsi:type="dcterms:W3CDTF">2025-01-03T16:07:24Z</dcterms:modified>
</cp:coreProperties>
</file>