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Renninger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 and Accounting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0.3762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73,350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fourth (1/4th) of shares subject to the option shall be scheduled to vest on the one (1)-year anniversary of the grant date, and one thirty-sixth (1/36th) of the remaining Shares subject to the Option each month thereafter on the same day of the month as the grant date subject to the optionee continuing to be a Service Provider (as defined in the Issuer's 2020 Equity Incentive Plan) through the applicable vesting dates.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made solely to correct the vesting schedule of the referenced stock option award, which vesting schedule was erroneously reported in the original Form 4 filed on March 4, 2025.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Worthington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Renninger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38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37968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2025-03-12T16:30:08Z</dcterms:created>
  <dcterms:modified xsi:type="dcterms:W3CDTF">2025-03-12T16:30:08Z</dcterms:modified>
</cp:coreProperties>
</file>