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17, 2020</w:t>
      </w:r>
    </w:p>
    <w:p>
      <w:pPr>
        <w:spacing w:after="0" w:line="59"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0" w:lineRule="exact"/>
        <w:rPr>
          <w:sz w:val="24"/>
          <w:szCs w:val="24"/>
          <w:color w:val="auto"/>
        </w:rPr>
      </w:pPr>
    </w:p>
    <w:p>
      <w:pPr>
        <w:jc w:val="center"/>
        <w:ind w:right="-19"/>
        <w:spacing w:after="0" w:line="357" w:lineRule="exact"/>
        <w:rPr>
          <w:sz w:val="20"/>
          <w:szCs w:val="20"/>
          <w:color w:val="auto"/>
        </w:rPr>
      </w:pPr>
      <w:r>
        <w:rPr>
          <w:rFonts w:ascii="Times New Roman" w:cs="Times New Roman" w:eastAsia="Times New Roman" w:hAnsi="Times New Roman"/>
          <w:sz w:val="31"/>
          <w:szCs w:val="31"/>
          <w:b w:val="1"/>
          <w:bCs w:val="1"/>
          <w:color w:val="auto"/>
        </w:rPr>
        <w:t>FORM S</w:t>
      </w:r>
      <w:r>
        <w:rPr>
          <w:rFonts w:ascii="MS PGothic" w:cs="MS PGothic" w:eastAsia="MS PGothic" w:hAnsi="MS PGothic"/>
          <w:sz w:val="31"/>
          <w:szCs w:val="31"/>
          <w:color w:val="auto"/>
          <w:strike w:val="1"/>
        </w:rPr>
        <w:t>‑</w:t>
      </w:r>
      <w:r>
        <w:rPr>
          <w:rFonts w:ascii="Times New Roman" w:cs="Times New Roman" w:eastAsia="Times New Roman" w:hAnsi="Times New Roman"/>
          <w:sz w:val="31"/>
          <w:szCs w:val="31"/>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-222885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60325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Athira Pharma,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64770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0" w:lineRule="exact"/>
        <w:rPr>
          <w:sz w:val="24"/>
          <w:szCs w:val="24"/>
          <w:color w:val="auto"/>
        </w:rPr>
      </w:pPr>
    </w:p>
    <w:tbl>
      <w:tblPr>
        <w:tblLayout w:type="fixed"/>
        <w:tblInd w:w="960" w:type="dxa"/>
        <w:tblCellMar>
          <w:top w:w="0" w:type="dxa"/>
          <w:left w:w="0" w:type="dxa"/>
          <w:bottom w:w="0" w:type="dxa"/>
          <w:right w:w="0" w:type="dxa"/>
        </w:tblCellMar>
      </w:tblPr>
      <w:tr>
        <w:trPr>
          <w:trHeight w:val="232"/>
        </w:trPr>
        <w:tc>
          <w:tcPr>
            <w:tcW w:w="2820" w:type="dxa"/>
            <w:vAlign w:val="bottom"/>
          </w:tcPr>
          <w:p>
            <w:pPr>
              <w:jc w:val="center"/>
              <w:ind w:right="85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820" w:type="dxa"/>
            <w:vAlign w:val="bottom"/>
          </w:tcPr>
          <w:p>
            <w:pPr>
              <w:jc w:val="center"/>
              <w:ind w:right="19"/>
              <w:spacing w:after="0"/>
              <w:rPr>
                <w:sz w:val="20"/>
                <w:szCs w:val="20"/>
                <w:color w:val="auto"/>
              </w:rPr>
            </w:pPr>
            <w:r>
              <w:rPr>
                <w:rFonts w:ascii="Times New Roman" w:cs="Times New Roman" w:eastAsia="Times New Roman" w:hAnsi="Times New Roman"/>
                <w:sz w:val="20"/>
                <w:szCs w:val="20"/>
                <w:b w:val="1"/>
                <w:bCs w:val="1"/>
                <w:color w:val="auto"/>
                <w:w w:val="99"/>
              </w:rPr>
              <w:t>2836</w:t>
            </w:r>
          </w:p>
        </w:tc>
        <w:tc>
          <w:tcPr>
            <w:tcW w:w="2480" w:type="dxa"/>
            <w:vAlign w:val="bottom"/>
          </w:tcPr>
          <w:p>
            <w:pPr>
              <w:jc w:val="center"/>
              <w:ind w:left="979"/>
              <w:spacing w:after="0"/>
              <w:rPr>
                <w:sz w:val="20"/>
                <w:szCs w:val="20"/>
                <w:color w:val="auto"/>
              </w:rPr>
            </w:pPr>
            <w:r>
              <w:rPr>
                <w:rFonts w:ascii="Times New Roman" w:cs="Times New Roman" w:eastAsia="Times New Roman" w:hAnsi="Times New Roman"/>
                <w:sz w:val="20"/>
                <w:szCs w:val="20"/>
                <w:b w:val="1"/>
                <w:bCs w:val="1"/>
                <w:color w:val="auto"/>
                <w:w w:val="97"/>
              </w:rPr>
              <w:t>45-3368487</w:t>
            </w:r>
          </w:p>
        </w:tc>
      </w:tr>
      <w:tr>
        <w:trPr>
          <w:trHeight w:val="148"/>
        </w:trPr>
        <w:tc>
          <w:tcPr>
            <w:tcW w:w="2820" w:type="dxa"/>
            <w:vAlign w:val="bottom"/>
          </w:tcPr>
          <w:p>
            <w:pPr>
              <w:jc w:val="center"/>
              <w:ind w:righ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80" w:type="dxa"/>
            <w:vAlign w:val="bottom"/>
          </w:tcPr>
          <w:p>
            <w:pPr>
              <w:jc w:val="center"/>
              <w:ind w:left="9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80" w:type="dxa"/>
            <w:vAlign w:val="bottom"/>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4000 Mason Road, Suite 300</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Seattle, WA 98195</w:t>
      </w:r>
    </w:p>
    <w:p>
      <w:pPr>
        <w:jc w:val="center"/>
        <w:ind w:right="-19"/>
        <w:spacing w:after="0" w:line="233" w:lineRule="auto"/>
        <w:rPr>
          <w:sz w:val="20"/>
          <w:szCs w:val="20"/>
          <w:color w:val="auto"/>
        </w:rPr>
      </w:pPr>
      <w:r>
        <w:rPr>
          <w:rFonts w:ascii="Times New Roman" w:cs="Times New Roman" w:eastAsia="Times New Roman" w:hAnsi="Times New Roman"/>
          <w:sz w:val="20"/>
          <w:szCs w:val="20"/>
          <w:b w:val="1"/>
          <w:bCs w:val="1"/>
          <w:color w:val="auto"/>
        </w:rPr>
        <w:t>(206) 221-8112</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56515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Leen Kawas, Ph.D.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Athira Pharma, Inc.</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4000 Mason Road, Suite 300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Seattle, WA 98195</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(206) 221-8112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56515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Copies to:</w:t>
      </w:r>
    </w:p>
    <w:p>
      <w:pPr>
        <w:spacing w:after="0" w:line="92" w:lineRule="exact"/>
        <w:rPr>
          <w:sz w:val="24"/>
          <w:szCs w:val="24"/>
          <w:color w:val="auto"/>
        </w:rPr>
      </w:pPr>
    </w:p>
    <w:tbl>
      <w:tblPr>
        <w:tblLayout w:type="fixed"/>
        <w:tblInd w:w="1620" w:type="dxa"/>
        <w:tblCellMar>
          <w:top w:w="0" w:type="dxa"/>
          <w:left w:w="0" w:type="dxa"/>
          <w:bottom w:w="0" w:type="dxa"/>
          <w:right w:w="0" w:type="dxa"/>
        </w:tblCellMar>
      </w:tblPr>
      <w:tr>
        <w:trPr>
          <w:trHeight w:val="203"/>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Michael Nordtvedt</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9"/>
              </w:rPr>
              <w:t>Charles S. Kim</w:t>
            </w:r>
          </w:p>
        </w:tc>
      </w:tr>
      <w:tr>
        <w:trPr>
          <w:trHeight w:val="203"/>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Bryan D. King</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rPr>
              <w:t>Alan D. Hambelton</w:t>
            </w:r>
          </w:p>
        </w:tc>
      </w:tr>
      <w:tr>
        <w:trPr>
          <w:trHeight w:val="203"/>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Donna Petkanics</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rPr>
              <w:t>David Peinsipp</w:t>
            </w:r>
          </w:p>
        </w:tc>
      </w:tr>
      <w:tr>
        <w:trPr>
          <w:trHeight w:val="203"/>
        </w:trPr>
        <w:tc>
          <w:tcPr>
            <w:tcW w:w="406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Wilson Sonsini Goodrich &amp; Rosati,</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rPr>
              <w:t>Cooley LLP</w:t>
            </w:r>
          </w:p>
        </w:tc>
      </w:tr>
      <w:tr>
        <w:trPr>
          <w:trHeight w:val="203"/>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Professional Corporation</w:t>
            </w:r>
          </w:p>
        </w:tc>
        <w:tc>
          <w:tcPr>
            <w:tcW w:w="388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1700 Seventh Avenue, Suite 1900</w:t>
            </w:r>
          </w:p>
        </w:tc>
      </w:tr>
      <w:tr>
        <w:trPr>
          <w:trHeight w:val="203"/>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701 Fifth Avenue, Suite 5100</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8"/>
              </w:rPr>
              <w:t>Seattle, WA 98101</w:t>
            </w:r>
          </w:p>
        </w:tc>
      </w:tr>
      <w:tr>
        <w:trPr>
          <w:trHeight w:val="203"/>
        </w:trPr>
        <w:tc>
          <w:tcPr>
            <w:tcW w:w="406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Seattle, WA 98104</w:t>
            </w:r>
          </w:p>
        </w:tc>
        <w:tc>
          <w:tcPr>
            <w:tcW w:w="388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9"/>
              </w:rPr>
              <w:t>(206) 452-8700</w:t>
            </w:r>
          </w:p>
        </w:tc>
      </w:tr>
      <w:tr>
        <w:trPr>
          <w:trHeight w:val="212"/>
        </w:trPr>
        <w:tc>
          <w:tcPr>
            <w:tcW w:w="40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(206) 883-2500</w:t>
            </w:r>
          </w:p>
        </w:tc>
        <w:tc>
          <w:tcPr>
            <w:tcW w:w="3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63500</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 As soon as practicable after this registration statement becomes effective.</w:t>
      </w:r>
    </w:p>
    <w:p>
      <w:pPr>
        <w:spacing w:after="0" w:line="34" w:lineRule="exact"/>
        <w:rPr>
          <w:sz w:val="24"/>
          <w:szCs w:val="24"/>
          <w:color w:val="auto"/>
        </w:rPr>
      </w:pPr>
    </w:p>
    <w:p>
      <w:pPr>
        <w:ind w:right="300"/>
        <w:spacing w:after="0" w:line="195"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ind w:right="58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File No. 333-248428</w:t>
      </w:r>
    </w:p>
    <w:p>
      <w:pPr>
        <w:spacing w:after="0" w:line="3" w:lineRule="exact"/>
        <w:rPr>
          <w:sz w:val="24"/>
          <w:szCs w:val="24"/>
          <w:color w:val="auto"/>
        </w:rPr>
      </w:pPr>
    </w:p>
    <w:p>
      <w:pPr>
        <w:ind w:right="10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 w:lineRule="exact"/>
        <w:rPr>
          <w:sz w:val="24"/>
          <w:szCs w:val="24"/>
          <w:color w:val="auto"/>
        </w:rPr>
      </w:pPr>
    </w:p>
    <w:p>
      <w:pPr>
        <w:ind w:right="8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right="60"/>
        <w:spacing w:after="0" w:line="24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1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41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4120" w:type="dxa"/>
            <w:vAlign w:val="bottom"/>
          </w:tcPr>
          <w:p>
            <w:pPr>
              <w:spacing w:after="0"/>
              <w:rPr>
                <w:sz w:val="24"/>
                <w:szCs w:val="24"/>
                <w:color w:val="auto"/>
              </w:rPr>
            </w:pPr>
          </w:p>
        </w:tc>
        <w:tc>
          <w:tcPr>
            <w:tcW w:w="478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5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60960</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CALCULATION OF REGISTRATION FEE</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3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98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Maximum</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auto"/>
            </w:tcBorders>
            <w:vMerge w:val="continue"/>
          </w:tcPr>
          <w:p>
            <w:pPr>
              <w:spacing w:after="0"/>
              <w:rPr>
                <w:sz w:val="12"/>
                <w:szCs w:val="12"/>
                <w:color w:val="auto"/>
              </w:rPr>
            </w:pPr>
          </w:p>
        </w:tc>
        <w:tc>
          <w:tcPr>
            <w:tcW w:w="198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 to</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Registered</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94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2"/>
              </w:rPr>
              <w:t>Fee</w:t>
            </w:r>
            <w:r>
              <w:rPr>
                <w:rFonts w:ascii="Times New Roman" w:cs="Times New Roman" w:eastAsia="Times New Roman" w:hAnsi="Times New Roman"/>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Common Stock, par value</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2,300,000</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$17.00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$39,100,000</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$5,075.18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$0.0001 per share</w:t>
            </w:r>
          </w:p>
        </w:tc>
        <w:tc>
          <w:tcPr>
            <w:tcW w:w="1980" w:type="dxa"/>
            <w:vAlign w:val="bottom"/>
            <w:tcBorders>
              <w:bottom w:val="single" w:sz="8" w:color="auto"/>
              <w:right w:val="single" w:sz="8" w:color="auto"/>
            </w:tcBorders>
            <w:vMerge w:val="continue"/>
          </w:tcPr>
          <w:p>
            <w:pPr>
              <w:spacing w:after="0"/>
              <w:rPr>
                <w:sz w:val="14"/>
                <w:szCs w:val="14"/>
                <w:color w:val="auto"/>
              </w:rPr>
            </w:pPr>
          </w:p>
        </w:tc>
        <w:tc>
          <w:tcPr>
            <w:tcW w:w="1960" w:type="dxa"/>
            <w:vAlign w:val="bottom"/>
            <w:tcBorders>
              <w:bottom w:val="single" w:sz="8" w:color="auto"/>
              <w:right w:val="single" w:sz="8" w:color="auto"/>
            </w:tcBorders>
            <w:vMerge w:val="continue"/>
          </w:tcPr>
          <w:p>
            <w:pPr>
              <w:spacing w:after="0"/>
              <w:rPr>
                <w:sz w:val="14"/>
                <w:szCs w:val="14"/>
                <w:color w:val="auto"/>
              </w:rPr>
            </w:pPr>
          </w:p>
        </w:tc>
        <w:tc>
          <w:tcPr>
            <w:tcW w:w="1980" w:type="dxa"/>
            <w:vAlign w:val="bottom"/>
            <w:tcBorders>
              <w:bottom w:val="single" w:sz="8" w:color="auto"/>
              <w:right w:val="single" w:sz="8" w:color="auto"/>
            </w:tcBorders>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4"/>
          <w:szCs w:val="24"/>
          <w:color w:val="auto"/>
        </w:rPr>
      </w:pPr>
    </w:p>
    <w:p>
      <w:pPr>
        <w:ind w:left="380" w:right="120" w:hanging="372"/>
        <w:spacing w:after="0" w:line="267"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only the additional number of shares of Common Stock being registered, and includes 300,000 additional shares of Common Stock that the underwriters have the option to purchase. Does not include the securities that the registrant previously registered on the Registration Statement on Form S-1, as amended (File No. 333-248428).</w:t>
      </w:r>
    </w:p>
    <w:p>
      <w:pPr>
        <w:spacing w:after="0" w:line="1" w:lineRule="exact"/>
        <w:rPr>
          <w:rFonts w:ascii="Times New Roman" w:cs="Times New Roman" w:eastAsia="Times New Roman" w:hAnsi="Times New Roman"/>
          <w:sz w:val="16"/>
          <w:szCs w:val="16"/>
          <w:color w:val="auto"/>
        </w:rPr>
      </w:pPr>
    </w:p>
    <w:p>
      <w:pPr>
        <w:ind w:left="380" w:right="20" w:hanging="372"/>
        <w:spacing w:after="0" w:line="272"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457(a) under the Securities Act of 1933, as amended, or the Securities Act, for the purpose of determining the registration fee. The registrant previously registered securities with a proposed maximum aggregate offering price not to exceed $195,500,000 on the Registration Statement on Form S-1, as amended (File No. 333-248428), which was declared effective by the Securities and Exchange Commission on September 17, 2020. In accordance with Rule 462(b) under the Securities Act, an additional amount of securities having a proposed maximum aggregate offering price of $39,100,000 are hereby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48260</wp:posOffset>
            </wp:positionV>
            <wp:extent cx="1577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This Registration Statement shall become effective upon filing with the Securities and Exchange Commission in accordance with Rule 462(b)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5"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 AND INCORPORATION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INFORMATION BY REFERENCE</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Athira Pharma, Inc., a Delaware corporation (the “Registrant”), is filing this Registration Statement with the Securities and Exchange Commission (the “Commission”) pursuant to Rule 462(b) under the Securities Act of 1933, as amended. This Registration Statement relates to the public offering of securities contemplated by the Registration Statement on Form S-1, as amended (File No. 333-248428) (the “Prior Registration Statement”), which the Commission declared effective on September 17, 2020.</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Registrant is filing this Registration Statement for the sole purpose of increasing by 2,300,000 shares the number of shares of its Common Stock, par value $0.0001 per share, to be registered for sale, 300,000 of which may be sold by the Registrant upon exercise of the underwriters’ option to purchase additional shares. The additional shares that are being registered for issuance and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and all exhibits to the Prior Registration Statement, are hereby incorporated by reference into this Registration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required opinions and consents are listed on the Exhibit Index attached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1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960" w:type="dxa"/>
            <w:vAlign w:val="bottom"/>
            <w:gridSpan w:val="2"/>
          </w:tcPr>
          <w:p>
            <w:pPr>
              <w:ind w:left="25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24"/>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gridSpan w:val="2"/>
          </w:tcPr>
          <w:p>
            <w:pPr>
              <w:ind w:left="38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70"/>
        </w:trPr>
        <w:tc>
          <w:tcPr>
            <w:tcW w:w="172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rPr>
              <w:t>5.1</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Opinion of Wilson Sonsini Goodrich &amp; Rosati, Professional Corporation</w:t>
              </w:r>
            </w:hyperlink>
          </w:p>
        </w:tc>
      </w:tr>
      <w:tr>
        <w:trPr>
          <w:trHeight w:val="432"/>
        </w:trPr>
        <w:tc>
          <w:tcPr>
            <w:tcW w:w="172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w w:val="95"/>
              </w:rPr>
              <w:t>23.1</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432"/>
        </w:trPr>
        <w:tc>
          <w:tcPr>
            <w:tcW w:w="172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w w:val="95"/>
              </w:rPr>
              <w:t>23.2</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Consent of Wilson Sonsini Goodrich &amp; Rosati, Professional Corporation (included in Exhibit 5.1)</w:t>
              </w:r>
            </w:hyperlink>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520" w:type="dxa"/>
            <w:vAlign w:val="bottom"/>
            <w:gridSpan w:val="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Power of Attorney (included on page II-6 of the Registration Statement on Form S-1 (File No. 333- 248428) filed on August 26,</w:t>
              </w:r>
            </w:hyperlink>
          </w:p>
        </w:tc>
      </w:tr>
      <w:tr>
        <w:trPr>
          <w:trHeight w:val="196"/>
        </w:trPr>
        <w:tc>
          <w:tcPr>
            <w:tcW w:w="17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2020)</w:t>
              </w:r>
            </w:hyperlink>
          </w:p>
        </w:tc>
        <w:tc>
          <w:tcPr>
            <w:tcW w:w="140" w:type="dxa"/>
            <w:vAlign w:val="bottom"/>
            <w:tcBorders>
              <w:top w:val="single" w:sz="8" w:color="0000EE"/>
            </w:tcBorders>
          </w:tcPr>
          <w:p>
            <w:pPr>
              <w:spacing w:after="0"/>
              <w:rPr>
                <w:sz w:val="17"/>
                <w:szCs w:val="17"/>
                <w:color w:val="auto"/>
              </w:rPr>
            </w:pPr>
          </w:p>
        </w:tc>
        <w:tc>
          <w:tcPr>
            <w:tcW w:w="86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r>
        <w:trPr>
          <w:trHeight w:val="277"/>
        </w:trPr>
        <w:tc>
          <w:tcPr>
            <w:tcW w:w="1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3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20" w:firstLine="749"/>
        <w:spacing w:after="0" w:line="295" w:lineRule="auto"/>
        <w:rPr>
          <w:sz w:val="20"/>
          <w:szCs w:val="20"/>
          <w:color w:val="auto"/>
        </w:rPr>
      </w:pPr>
      <w:r>
        <w:rPr>
          <w:rFonts w:ascii="Times New Roman" w:cs="Times New Roman" w:eastAsia="Times New Roman" w:hAnsi="Times New Roman"/>
          <w:sz w:val="19"/>
          <w:szCs w:val="19"/>
          <w:color w:val="auto"/>
        </w:rPr>
        <w:t>Pursuant to the requirements of the Securities Act of 1933, as amended, the registrant has duly caused this registration statement to be signed on its behalf by the undersigned, thereunto duly authorized, in the City of Seattle, State of Washington, on September 17, 2020.</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Leen Kawas</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as amended, this registration statement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20" w:type="dxa"/>
            <w:vAlign w:val="bottom"/>
          </w:tcPr>
          <w:p>
            <w:pPr>
              <w:spacing w:after="0"/>
              <w:rPr>
                <w:sz w:val="16"/>
                <w:szCs w:val="16"/>
                <w:color w:val="auto"/>
              </w:rPr>
            </w:pPr>
          </w:p>
        </w:tc>
        <w:tc>
          <w:tcPr>
            <w:tcW w:w="59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Leen Kawas</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Leen Kawas</w:t>
            </w:r>
          </w:p>
        </w:tc>
        <w:tc>
          <w:tcPr>
            <w:tcW w:w="3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c>
          <w:tcPr>
            <w:tcW w:w="2520" w:type="dxa"/>
            <w:vAlign w:val="bottom"/>
          </w:tcPr>
          <w:p>
            <w:pPr>
              <w:spacing w:after="0"/>
              <w:rPr>
                <w:sz w:val="19"/>
                <w:szCs w:val="19"/>
                <w:color w:val="auto"/>
              </w:rPr>
            </w:pPr>
          </w:p>
        </w:tc>
      </w:tr>
      <w:tr>
        <w:trPr>
          <w:trHeight w:val="441"/>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Glenna Mileson</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Glenna Mileson</w:t>
            </w:r>
          </w:p>
        </w:tc>
        <w:tc>
          <w:tcPr>
            <w:tcW w:w="3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p>
        </w:tc>
        <w:tc>
          <w:tcPr>
            <w:tcW w:w="2520" w:type="dxa"/>
            <w:vAlign w:val="bottom"/>
          </w:tcPr>
          <w:p>
            <w:pPr>
              <w:spacing w:after="0"/>
              <w:rPr>
                <w:sz w:val="19"/>
                <w:szCs w:val="19"/>
                <w:color w:val="auto"/>
              </w:rPr>
            </w:pPr>
          </w:p>
        </w:tc>
      </w:tr>
      <w:tr>
        <w:trPr>
          <w:trHeight w:val="427"/>
        </w:trPr>
        <w:tc>
          <w:tcPr>
            <w:tcW w:w="2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Tadataka Yamada</w:t>
            </w: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7"/>
        </w:trPr>
        <w:tc>
          <w:tcPr>
            <w:tcW w:w="2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Joseph Edelman</w:t>
            </w: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7"/>
        </w:trPr>
        <w:tc>
          <w:tcPr>
            <w:tcW w:w="2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M. Fluke, Jr.</w:t>
            </w: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7"/>
        </w:trPr>
        <w:tc>
          <w:tcPr>
            <w:tcW w:w="2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A. Johnson</w:t>
            </w: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right="9500" w:hanging="512"/>
        <w:spacing w:after="0" w:line="281" w:lineRule="auto"/>
        <w:tabs>
          <w:tab w:leader="none" w:pos="1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Leen Kawas Leen Kawas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-312420</wp:posOffset>
            </wp:positionV>
            <wp:extent cx="2383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03759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037590" cy="3943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30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6300"/>
        <w:spacing w:after="0"/>
        <w:rPr>
          <w:sz w:val="20"/>
          <w:szCs w:val="20"/>
          <w:color w:val="auto"/>
        </w:rPr>
      </w:pPr>
      <w:r>
        <w:rPr>
          <w:rFonts w:ascii="Georgia" w:cs="Georgia" w:eastAsia="Georgia" w:hAnsi="Georgia"/>
          <w:sz w:val="14"/>
          <w:szCs w:val="14"/>
          <w:color w:val="003D4C"/>
        </w:rPr>
        <w:t>Professional Corporation</w:t>
      </w:r>
    </w:p>
    <w:p>
      <w:pPr>
        <w:spacing w:after="0" w:line="84" w:lineRule="exact"/>
        <w:rPr>
          <w:sz w:val="20"/>
          <w:szCs w:val="20"/>
          <w:color w:val="auto"/>
        </w:rPr>
      </w:pPr>
    </w:p>
    <w:p>
      <w:pPr>
        <w:ind w:left="630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0"/>
          <w:szCs w:val="20"/>
          <w:color w:val="auto"/>
        </w:rPr>
      </w:pPr>
    </w:p>
    <w:p>
      <w:pPr>
        <w:ind w:left="6300"/>
        <w:spacing w:after="0"/>
        <w:rPr>
          <w:sz w:val="20"/>
          <w:szCs w:val="20"/>
          <w:color w:val="auto"/>
        </w:rPr>
      </w:pPr>
      <w:r>
        <w:rPr>
          <w:rFonts w:ascii="Georgia" w:cs="Georgia" w:eastAsia="Georgia" w:hAnsi="Georgia"/>
          <w:sz w:val="14"/>
          <w:szCs w:val="14"/>
          <w:color w:val="003D4C"/>
        </w:rPr>
        <w:t>Suite 5100</w:t>
      </w:r>
    </w:p>
    <w:p>
      <w:pPr>
        <w:spacing w:after="0" w:line="3" w:lineRule="exact"/>
        <w:rPr>
          <w:sz w:val="20"/>
          <w:szCs w:val="20"/>
          <w:color w:val="auto"/>
        </w:rPr>
      </w:pPr>
    </w:p>
    <w:p>
      <w:pPr>
        <w:ind w:left="6300"/>
        <w:spacing w:after="0"/>
        <w:rPr>
          <w:sz w:val="20"/>
          <w:szCs w:val="20"/>
          <w:color w:val="auto"/>
        </w:rPr>
      </w:pPr>
      <w:r>
        <w:rPr>
          <w:rFonts w:ascii="Georgia" w:cs="Georgia" w:eastAsia="Georgia" w:hAnsi="Georgia"/>
          <w:sz w:val="14"/>
          <w:szCs w:val="14"/>
          <w:color w:val="003D4C"/>
        </w:rPr>
        <w:t>Seattle, Washington 98104-7036</w:t>
      </w:r>
    </w:p>
    <w:p>
      <w:pPr>
        <w:spacing w:after="0" w:line="70" w:lineRule="exact"/>
        <w:rPr>
          <w:sz w:val="20"/>
          <w:szCs w:val="20"/>
          <w:color w:val="auto"/>
        </w:rPr>
      </w:pPr>
    </w:p>
    <w:p>
      <w:pPr>
        <w:ind w:left="630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3" w:lineRule="exact"/>
        <w:rPr>
          <w:sz w:val="20"/>
          <w:szCs w:val="20"/>
          <w:color w:val="auto"/>
        </w:rPr>
      </w:pPr>
    </w:p>
    <w:p>
      <w:pPr>
        <w:ind w:left="630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206.883.2699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September 17,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4000 Mason Road, Suite 300</w:t>
      </w:r>
    </w:p>
    <w:p>
      <w:pPr>
        <w:spacing w:after="0"/>
        <w:rPr>
          <w:sz w:val="20"/>
          <w:szCs w:val="20"/>
          <w:color w:val="auto"/>
        </w:rPr>
      </w:pPr>
      <w:r>
        <w:rPr>
          <w:rFonts w:ascii="Times New Roman" w:cs="Times New Roman" w:eastAsia="Times New Roman" w:hAnsi="Times New Roman"/>
          <w:sz w:val="20"/>
          <w:szCs w:val="20"/>
          <w:color w:val="auto"/>
        </w:rPr>
        <w:t>Seattle, WA 98195</w:t>
      </w:r>
    </w:p>
    <w:p>
      <w:pPr>
        <w:spacing w:after="0" w:line="1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u w:val="single" w:color="auto"/>
          <w:color w:val="auto"/>
        </w:rPr>
        <w:t>Registration Statement on Form S-1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This opinion is furnished to you in connection with the Registration Statement on Form S-1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filed by Athira Pharma,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with the Securities and Exchange Commission pursuant to Rule 462(b) of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in connection with the registration under the Securities Act of 2,300,000 shares (which includes up to 300,000 shares issuable upon exercise of an option to purchase additional shares granted to the underwriters) of the Company’s common stock, par value $0.0001 per share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to be issued and sold by the Company. The Registration Statement incorporates by reference the Registration Statement on Form S-1 (Registration No. 333-248428), as amended (the “</w:t>
      </w:r>
      <w:r>
        <w:rPr>
          <w:rFonts w:ascii="Times New Roman" w:cs="Times New Roman" w:eastAsia="Times New Roman" w:hAnsi="Times New Roman"/>
          <w:sz w:val="20"/>
          <w:szCs w:val="20"/>
          <w:u w:val="single" w:color="auto"/>
          <w:color w:val="auto"/>
        </w:rPr>
        <w:t>Prior Registration Statement</w:t>
      </w:r>
      <w:r>
        <w:rPr>
          <w:rFonts w:ascii="Times New Roman" w:cs="Times New Roman" w:eastAsia="Times New Roman" w:hAnsi="Times New Roman"/>
          <w:sz w:val="20"/>
          <w:szCs w:val="20"/>
          <w:color w:val="auto"/>
        </w:rPr>
        <w:t>”), which was declared effective on September 17, 2020, including the prospectus which forms part of the Registration Statement. We understand that the Shares are to be sold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and the underwriters (the “</w:t>
      </w:r>
      <w:r>
        <w:rPr>
          <w:rFonts w:ascii="Times New Roman" w:cs="Times New Roman" w:eastAsia="Times New Roman" w:hAnsi="Times New Roman"/>
          <w:sz w:val="20"/>
          <w:szCs w:val="20"/>
          <w:u w:val="single" w:color="auto"/>
          <w:color w:val="auto"/>
        </w:rPr>
        <w:t>Underwriting Agreement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the basis of the foregoing, we are of the opinion that, upon the effectiveness of the Company’s Amended and Restated Certificate of Incorporation, a form of which has been filed as Exhibit 3.1 to the Prior Registration Statement, the Shares to be issued and sold by the Company have been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40" w:type="dxa"/>
            <w:vAlign w:val="bottom"/>
          </w:tcPr>
          <w:p>
            <w:pPr>
              <w:ind w:left="1840"/>
              <w:spacing w:after="0"/>
              <w:rPr>
                <w:sz w:val="20"/>
                <w:szCs w:val="20"/>
                <w:color w:val="auto"/>
              </w:rPr>
            </w:pPr>
            <w:r>
              <w:rPr>
                <w:rFonts w:ascii="Times New Roman" w:cs="Times New Roman" w:eastAsia="Times New Roman" w:hAnsi="Times New Roman"/>
                <w:sz w:val="13"/>
                <w:szCs w:val="13"/>
                <w:color w:val="003D4C"/>
                <w:w w:val="97"/>
              </w:rPr>
              <w:t>AUSTINBEIJING</w:t>
            </w: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003D4C"/>
                <w:w w:val="96"/>
              </w:rPr>
              <w:t>BOSTONBRUSSELS</w:t>
            </w:r>
          </w:p>
        </w:tc>
        <w:tc>
          <w:tcPr>
            <w:tcW w:w="2960" w:type="dxa"/>
            <w:vAlign w:val="bottom"/>
          </w:tcPr>
          <w:p>
            <w:pPr>
              <w:ind w:left="260"/>
              <w:spacing w:after="0"/>
              <w:rPr>
                <w:sz w:val="20"/>
                <w:szCs w:val="20"/>
                <w:color w:val="auto"/>
              </w:rPr>
            </w:pPr>
            <w:r>
              <w:rPr>
                <w:rFonts w:ascii="Times New Roman" w:cs="Times New Roman" w:eastAsia="Times New Roman" w:hAnsi="Times New Roman"/>
                <w:sz w:val="13"/>
                <w:szCs w:val="13"/>
                <w:color w:val="003D4C"/>
                <w:w w:val="98"/>
              </w:rPr>
              <w:t>HONG KONGLONDONLOS ANGELES</w:t>
            </w: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89"/>
        </w:trPr>
        <w:tc>
          <w:tcPr>
            <w:tcW w:w="3240" w:type="dxa"/>
            <w:vAlign w:val="bottom"/>
          </w:tcPr>
          <w:p>
            <w:pPr>
              <w:ind w:left="2500"/>
              <w:spacing w:after="0"/>
              <w:rPr>
                <w:sz w:val="20"/>
                <w:szCs w:val="20"/>
                <w:color w:val="auto"/>
              </w:rPr>
            </w:pPr>
            <w:r>
              <w:rPr>
                <w:rFonts w:ascii="Times New Roman" w:cs="Times New Roman" w:eastAsia="Times New Roman" w:hAnsi="Times New Roman"/>
                <w:sz w:val="13"/>
                <w:szCs w:val="13"/>
                <w:color w:val="003D4C"/>
              </w:rPr>
              <w:t>SAN DIEGO</w:t>
            </w:r>
          </w:p>
        </w:tc>
        <w:tc>
          <w:tcPr>
            <w:tcW w:w="142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SAN FRANCISCO</w:t>
            </w: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003D4C"/>
                <w:w w:val="95"/>
              </w:rPr>
              <w:t>SEATTLESHANGHAIWASHINGTON, DC</w:t>
            </w:r>
          </w:p>
        </w:tc>
        <w:tc>
          <w:tcPr>
            <w:tcW w:w="3640" w:type="dxa"/>
            <w:vAlign w:val="bottom"/>
          </w:tcPr>
          <w:p>
            <w:pPr>
              <w:ind w:left="6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550"/>
        </w:trPr>
        <w:tc>
          <w:tcPr>
            <w:tcW w:w="3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975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6850"/>
                    </a:xfrm>
                    <a:prstGeom prst="rect">
                      <a:avLst/>
                    </a:prstGeom>
                    <a:noFill/>
                  </pic:spPr>
                </pic:pic>
              </a:graphicData>
            </a:graphic>
          </wp:anchor>
        </w:drawing>
        <w:t>September 17</w:t>
      </w:r>
      <w:r>
        <w:rPr>
          <w:rFonts w:ascii="Times New Roman" w:cs="Times New Roman" w:eastAsia="Times New Roman" w:hAnsi="Times New Roman"/>
          <w:sz w:val="19"/>
          <w:szCs w:val="19"/>
          <w:color w:val="auto"/>
        </w:rPr>
        <w:t>, 2020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and, when such Shares are issued and paid for in accordance with the terms of the Underwriting Agreement, will be validly issued, fully paid and nonassessable.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we consent to the reference of our name under the caption “Legal Matters” in the prospectus forming part of the Prior Registration Statement, which is incorporated by reference into the Registration Statement.</w:t>
      </w:r>
    </w:p>
    <w:p>
      <w:pPr>
        <w:spacing w:after="0" w:line="17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19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ectPr>
          <w:pgSz w:w="11900" w:h="16838" w:orient="portrait"/>
          <w:cols w:equalWidth="0" w:num="1">
            <w:col w:w="11240"/>
          </w:cols>
          <w:pgMar w:left="320" w:top="85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333333"/>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Ernst &amp; Young LLP, Independent Registered Public Accounting Firm</w:t>
      </w:r>
    </w:p>
    <w:p>
      <w:pPr>
        <w:spacing w:after="0" w:line="21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333333"/>
        </w:rPr>
        <w:t>We consent to the incorporation by reference in the Registration Statement on Form S-1 filed pursuant to Rule 462(b) of the Securities Act of 1933 of the reference to our firm under the caption “Experts” and to the incorporation by reference of our report dated July 24, 2020, except for note 17(a), 17(g), 17(h), and 17(i), as to which the date is September 14, 2020, with respect to the financial statements of Athira Pharma, Inc. included in Amendment No. 3 to the Registration Statement (Form S-1 No. 333-248428) and related Prospectus of Athira Pharma, Inc. for the registration of its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333333"/>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333333"/>
        </w:rPr>
        <w:t>September 16, 2020</w:t>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22" Type="http://schemas.openxmlformats.org/officeDocument/2006/relationships/hyperlink" Target="http://www.sec.gov/Archives/edgar/data/1620463/000156459020041369/atha-s1.htm#POWER_ATTORNEY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2020-09-17T18:27:13Z</dcterms:created>
  <dcterms:modified xsi:type="dcterms:W3CDTF">2020-09-17T18:27:13Z</dcterms:modified>
</cp:coreProperties>
</file>