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659765</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2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-199390</wp:posOffset>
            </wp:positionV>
            <wp:extent cx="23882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8235" cy="762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85090</wp:posOffset>
            </wp:positionV>
            <wp:extent cx="23882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25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55245</wp:posOffset>
            </wp:positionV>
            <wp:extent cx="23882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6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8"/>
          <w:szCs w:val="38"/>
          <w:b w:val="1"/>
          <w:bCs w:val="1"/>
          <w:color w:val="auto"/>
        </w:rPr>
        <w:t>Athira Pharma, Inc.</w:t>
      </w:r>
    </w:p>
    <w:p>
      <w:pPr>
        <w:spacing w:after="0" w:line="3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43815</wp:posOffset>
            </wp:positionV>
            <wp:extent cx="23882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96" w:lineRule="exact"/>
        <w:rPr>
          <w:sz w:val="24"/>
          <w:szCs w:val="24"/>
          <w:color w:val="auto"/>
        </w:rPr>
      </w:pPr>
    </w:p>
    <w:tbl>
      <w:tblPr>
        <w:tblLayout w:type="fixed"/>
        <w:tblInd w:w="1160" w:type="dxa"/>
        <w:tblCellMar>
          <w:top w:w="0" w:type="dxa"/>
          <w:left w:w="0" w:type="dxa"/>
          <w:bottom w:w="0" w:type="dxa"/>
          <w:right w:w="0" w:type="dxa"/>
        </w:tblCellMar>
      </w:tblPr>
      <w:tr>
        <w:trPr>
          <w:trHeight w:val="208"/>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001-39503</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w w:val="98"/>
              </w:rPr>
              <w:t>45-3368487</w:t>
            </w:r>
          </w:p>
        </w:tc>
      </w:tr>
      <w:tr>
        <w:trPr>
          <w:trHeight w:val="190"/>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120" w:type="dxa"/>
            <w:vAlign w:val="bottom"/>
          </w:tcPr>
          <w:p>
            <w:pPr>
              <w:jc w:val="center"/>
              <w:ind w:right="612"/>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800" w:type="dxa"/>
            <w:vAlign w:val="bottom"/>
          </w:tcPr>
          <w:p>
            <w:pPr>
              <w:jc w:val="center"/>
              <w:ind w:left="732"/>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298"/>
        </w:trPr>
        <w:tc>
          <w:tcPr>
            <w:tcW w:w="2120" w:type="dxa"/>
            <w:vAlign w:val="bottom"/>
          </w:tcPr>
          <w:p>
            <w:pPr>
              <w:spacing w:after="0"/>
              <w:rPr>
                <w:sz w:val="24"/>
                <w:szCs w:val="24"/>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8"/>
              </w:rPr>
              <w:t>18706 North Creek Parkway, Suite 104</w:t>
            </w:r>
          </w:p>
        </w:tc>
        <w:tc>
          <w:tcPr>
            <w:tcW w:w="180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w w:val="96"/>
              </w:rPr>
              <w:t>Bothell, WA 98011</w:t>
            </w:r>
          </w:p>
        </w:tc>
        <w:tc>
          <w:tcPr>
            <w:tcW w:w="1800" w:type="dxa"/>
            <w:vAlign w:val="bottom"/>
          </w:tcPr>
          <w:p>
            <w:pPr>
              <w:spacing w:after="0"/>
              <w:rPr>
                <w:sz w:val="16"/>
                <w:szCs w:val="16"/>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800" w:type="dxa"/>
            <w:vAlign w:val="bottom"/>
          </w:tcPr>
          <w:p>
            <w:pPr>
              <w:spacing w:after="0"/>
              <w:rPr>
                <w:sz w:val="14"/>
                <w:szCs w:val="14"/>
                <w:color w:val="auto"/>
              </w:rPr>
            </w:pPr>
          </w:p>
        </w:tc>
      </w:tr>
      <w:tr>
        <w:trPr>
          <w:trHeight w:val="259"/>
        </w:trPr>
        <w:tc>
          <w:tcPr>
            <w:tcW w:w="2120" w:type="dxa"/>
            <w:vAlign w:val="bottom"/>
          </w:tcPr>
          <w:p>
            <w:pPr>
              <w:spacing w:after="0"/>
              <w:rPr>
                <w:sz w:val="22"/>
                <w:szCs w:val="22"/>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w w:val="97"/>
              </w:rPr>
              <w:t>(425) 620-8501</w:t>
            </w:r>
          </w:p>
        </w:tc>
        <w:tc>
          <w:tcPr>
            <w:tcW w:w="1800" w:type="dxa"/>
            <w:vAlign w:val="bottom"/>
          </w:tcPr>
          <w:p>
            <w:pPr>
              <w:spacing w:after="0"/>
              <w:rPr>
                <w:sz w:val="22"/>
                <w:szCs w:val="22"/>
                <w:color w:val="auto"/>
              </w:rPr>
            </w:pPr>
          </w:p>
        </w:tc>
      </w:tr>
      <w:tr>
        <w:trPr>
          <w:trHeight w:val="166"/>
        </w:trPr>
        <w:tc>
          <w:tcPr>
            <w:tcW w:w="2120" w:type="dxa"/>
            <w:vAlign w:val="bottom"/>
          </w:tcPr>
          <w:p>
            <w:pPr>
              <w:spacing w:after="0"/>
              <w:rPr>
                <w:sz w:val="14"/>
                <w:szCs w:val="14"/>
                <w:color w:val="auto"/>
              </w:rPr>
            </w:pPr>
          </w:p>
        </w:tc>
        <w:tc>
          <w:tcPr>
            <w:tcW w:w="48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800" w:type="dxa"/>
            <w:vAlign w:val="bottom"/>
          </w:tcPr>
          <w:p>
            <w:pPr>
              <w:spacing w:after="0"/>
              <w:rPr>
                <w:sz w:val="14"/>
                <w:szCs w:val="14"/>
                <w:color w:val="auto"/>
              </w:rPr>
            </w:pPr>
          </w:p>
        </w:tc>
      </w:tr>
      <w:tr>
        <w:trPr>
          <w:trHeight w:val="201"/>
        </w:trPr>
        <w:tc>
          <w:tcPr>
            <w:tcW w:w="2120" w:type="dxa"/>
            <w:vAlign w:val="bottom"/>
          </w:tcPr>
          <w:p>
            <w:pPr>
              <w:spacing w:after="0"/>
              <w:rPr>
                <w:sz w:val="17"/>
                <w:szCs w:val="17"/>
                <w:color w:val="auto"/>
              </w:rPr>
            </w:pPr>
          </w:p>
        </w:tc>
        <w:tc>
          <w:tcPr>
            <w:tcW w:w="480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80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2377440</wp:posOffset>
            </wp:positionH>
            <wp:positionV relativeFrom="paragraph">
              <wp:posOffset>50800</wp:posOffset>
            </wp:positionV>
            <wp:extent cx="23882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8235" cy="7620"/>
                    </a:xfrm>
                    <a:prstGeom prst="rect">
                      <a:avLst/>
                    </a:prstGeom>
                    <a:noFill/>
                  </pic:spPr>
                </pic:pic>
              </a:graphicData>
            </a:graphic>
          </wp:anchor>
        </w:drawing>
      </w:r>
    </w:p>
    <w:p>
      <w:pPr>
        <w:spacing w:after="0" w:line="15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06" w:lineRule="exact"/>
        <w:rPr>
          <w:sz w:val="24"/>
          <w:szCs w:val="24"/>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6" w:lineRule="exact"/>
        <w:rPr>
          <w:rFonts w:ascii="MS PGothic" w:cs="MS PGothic" w:eastAsia="MS PGothic" w:hAnsi="MS PGothic"/>
          <w:sz w:val="16"/>
          <w:szCs w:val="16"/>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8" w:lineRule="exact"/>
        <w:rPr>
          <w:rFonts w:ascii="MS PGothic" w:cs="MS PGothic" w:eastAsia="MS PGothic" w:hAnsi="MS PGothic"/>
          <w:sz w:val="16"/>
          <w:szCs w:val="16"/>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8" w:lineRule="exact"/>
        <w:rPr>
          <w:rFonts w:ascii="MS PGothic" w:cs="MS PGothic" w:eastAsia="MS PGothic" w:hAnsi="MS PGothic"/>
          <w:sz w:val="16"/>
          <w:szCs w:val="16"/>
          <w:color w:val="auto"/>
        </w:rPr>
      </w:pPr>
    </w:p>
    <w:p>
      <w:pPr>
        <w:ind w:left="440" w:hanging="339"/>
        <w:spacing w:after="0"/>
        <w:tabs>
          <w:tab w:leader="none" w:pos="4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20"/>
          </w:cols>
          <w:pgMar w:left="320" w:top="1090" w:right="559" w:bottom="1440" w:gutter="0" w:footer="0" w:header="0"/>
        </w:sectPr>
      </w:pPr>
    </w:p>
    <w:p>
      <w:pPr>
        <w:spacing w:after="0" w:line="106"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8" w:lineRule="exact"/>
        <w:rPr>
          <w:sz w:val="24"/>
          <w:szCs w:val="24"/>
          <w:color w:val="auto"/>
        </w:rPr>
      </w:pPr>
    </w:p>
    <w:p>
      <w:pPr>
        <w:sectPr>
          <w:pgSz w:w="11900" w:h="16838" w:orient="portrait"/>
          <w:cols w:equalWidth="0" w:num="3">
            <w:col w:w="4400" w:space="720"/>
            <w:col w:w="2280" w:space="720"/>
            <w:col w:w="2900"/>
          </w:cols>
          <w:pgMar w:left="320" w:top="1090" w:right="55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ATHA</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Nasdaq Global Select Market)</w:t>
      </w:r>
    </w:p>
    <w:p>
      <w:pPr>
        <w:spacing w:after="0" w:line="88" w:lineRule="exact"/>
        <w:rPr>
          <w:sz w:val="24"/>
          <w:szCs w:val="24"/>
          <w:color w:val="auto"/>
        </w:rPr>
      </w:pPr>
    </w:p>
    <w:p>
      <w:pPr>
        <w:sectPr>
          <w:pgSz w:w="11900" w:h="16838" w:orient="portrait"/>
          <w:cols w:equalWidth="0" w:num="3">
            <w:col w:w="4720" w:space="720"/>
            <w:col w:w="2120" w:space="720"/>
            <w:col w:w="2740"/>
          </w:cols>
          <w:pgMar w:left="320" w:top="1090" w:right="559" w:bottom="1440" w:gutter="0" w:footer="0" w:header="0"/>
          <w:type w:val="continuous"/>
        </w:sectPr>
      </w:pPr>
    </w:p>
    <w:p>
      <w:pPr>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40"/>
        <w:spacing w:after="0" w:line="184" w:lineRule="exact"/>
        <w:tabs>
          <w:tab w:leader="none" w:pos="284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highlight w:val="black"/>
        </w:rPr>
        <w:t>☒</w:t>
      </w:r>
    </w:p>
    <w:p>
      <w:pPr>
        <w:spacing w:after="0" w:line="146" w:lineRule="exact"/>
        <w:rPr>
          <w:sz w:val="24"/>
          <w:szCs w:val="24"/>
          <w:color w:val="auto"/>
        </w:rPr>
      </w:pPr>
    </w:p>
    <w:p>
      <w:pPr>
        <w:ind w:right="8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52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821055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020"/>
          </w:cols>
          <w:pgMar w:left="320" w:top="1090"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On September 3, 2024, Athira Pharma, Inc. (the “Company”) issued a press release announcing the topline results from the Company’s Phase 2/3 LIFT-AD clinical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trial.</w:t>
      </w:r>
    </w:p>
    <w:p>
      <w:pPr>
        <w:spacing w:after="0" w:line="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 copy of the Company’s press release is attached hereto as Exhibit 99.1 and is incorporated herein by reference.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w:t>
      </w:r>
      <w:r>
        <w:rPr>
          <w:rFonts w:ascii="Times New Roman" w:cs="Times New Roman" w:eastAsia="Times New Roman" w:hAnsi="Times New Roman"/>
          <w:sz w:val="16"/>
          <w:szCs w:val="16"/>
          <w:b w:val="1"/>
          <w:bCs w:val="1"/>
          <w:color w:val="auto"/>
        </w:rPr>
        <w:t>tem 7.01 Regulation FD Disclosure.</w:t>
      </w:r>
    </w:p>
    <w:p>
      <w:pPr>
        <w:spacing w:after="0" w:line="102" w:lineRule="exact"/>
        <w:rPr>
          <w:sz w:val="20"/>
          <w:szCs w:val="20"/>
          <w:color w:val="auto"/>
        </w:rPr>
      </w:pPr>
    </w:p>
    <w:p>
      <w:pPr>
        <w:ind w:right="180" w:firstLine="751"/>
        <w:spacing w:after="0" w:line="256" w:lineRule="auto"/>
        <w:rPr>
          <w:sz w:val="20"/>
          <w:szCs w:val="20"/>
          <w:color w:val="auto"/>
        </w:rPr>
      </w:pPr>
      <w:r>
        <w:rPr>
          <w:rFonts w:ascii="Times New Roman" w:cs="Times New Roman" w:eastAsia="Times New Roman" w:hAnsi="Times New Roman"/>
          <w:sz w:val="16"/>
          <w:szCs w:val="16"/>
          <w:color w:val="auto"/>
        </w:rPr>
        <w:t>The Company will host a live webcast to discuss the LIFT-AD topline results at 4:30 PM Eastern time today, September 3, 2024. To access the live webcast, please visit the “Events and Presentations” page within the Investors section of the Athira website https://investors.athira.com/news-and-events/events-and-presentations-investor. The call can also be accessed by phone at 800-715-9871, conference ID: 4911242. As part of the webcast, the Company will present certain slides relating to the LIFT-AD topline results, which slides are attached as Exhibit 99.2 hereto.</w:t>
      </w:r>
    </w:p>
    <w:p>
      <w:pPr>
        <w:spacing w:after="0" w:line="66" w:lineRule="exact"/>
        <w:rPr>
          <w:sz w:val="20"/>
          <w:szCs w:val="20"/>
          <w:color w:val="auto"/>
        </w:rPr>
      </w:pPr>
    </w:p>
    <w:p>
      <w:pPr>
        <w:jc w:val="both"/>
        <w:ind w:right="240" w:firstLine="751"/>
        <w:spacing w:after="0" w:line="261" w:lineRule="auto"/>
        <w:rPr>
          <w:sz w:val="20"/>
          <w:szCs w:val="20"/>
          <w:color w:val="auto"/>
        </w:rPr>
      </w:pPr>
      <w:r>
        <w:rPr>
          <w:rFonts w:ascii="Times New Roman" w:cs="Times New Roman" w:eastAsia="Times New Roman" w:hAnsi="Times New Roman"/>
          <w:sz w:val="16"/>
          <w:szCs w:val="16"/>
          <w:color w:val="auto"/>
        </w:rPr>
        <w:t>On September 3, 2024, the Company announced certain information relating to the Company’s financial condition as of August 31, 2024, including its preliminary and unaudited estimate of cash resources, which consist of cash, cash equivalents and investments, of approximately $75.1 million. The preliminary and unaudited estimate of cash resources is based on management’s initial analysis of operations as of August 31, 2024, and is subject to further internal review.</w:t>
      </w:r>
    </w:p>
    <w:p>
      <w:pPr>
        <w:spacing w:after="0" w:line="62" w:lineRule="exact"/>
        <w:rPr>
          <w:sz w:val="20"/>
          <w:szCs w:val="20"/>
          <w:color w:val="auto"/>
        </w:rPr>
      </w:pPr>
    </w:p>
    <w:p>
      <w:pPr>
        <w:ind w:firstLine="751"/>
        <w:spacing w:after="0" w:line="254" w:lineRule="auto"/>
        <w:rPr>
          <w:sz w:val="20"/>
          <w:szCs w:val="20"/>
          <w:color w:val="auto"/>
        </w:rPr>
      </w:pPr>
      <w:r>
        <w:rPr>
          <w:rFonts w:ascii="Times New Roman" w:cs="Times New Roman" w:eastAsia="Times New Roman" w:hAnsi="Times New Roman"/>
          <w:sz w:val="16"/>
          <w:szCs w:val="16"/>
          <w:color w:val="auto"/>
        </w:rPr>
        <w:t>The information in Item 7.01 of this Current Report on Form 8-K, including the slides to be used during the webcast and attached as Exhibit 99.2 hereto, are being furnished and not filed pursuant to Item 7.01 of Form 8-K. Such information shall not be deemed to be “filed” for purposes of Section 18 of the Securities Exchange Act of 1934, as amended (the “Exchange Act”), or otherwise subject to the liabilities of that section, and shall not be deemed to be incorporated by reference into any of the Company’s filings under the Securities Act of 1933, as amended (the “Securities Act”), or the Exchange Act whether made before or after the date hereof and regardless of any general incorporation language in such filings, except to the extent expressly set forth by specific reference in such a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i w:val="1"/>
          <w:iCs w:val="1"/>
          <w:color w:val="auto"/>
        </w:rPr>
        <w:t>This Current Report on Form 8-K contains certain forward-looking statements within the meaning of Section 27A of the Securities Act and Section 21E of the Exchange Act. Forward-looking statements are identified by such words as “believe,” “expect,” “anticipate” and words of similar import and are based on current expectations that involve risks and uncertainties, such as the Company’s plans, projections, objectives, expectations and intentions. All statements other than historical or current facts are forward-looking statements, including, without limitation, statements about the Company’s preliminary and unaudited estimate of cash resources, which consist of cash, cash equivalents and investments. These forward-looking statements are subject to certain risks and uncertainties that could cause actual results to differ materially from those anticipated in the forward-looking statements. These statements, like all statements in this report, speak only as of their date. The preliminary expectations regarding cash, cash equivalents, and investments as of August 31, 2024 are the responsibility of management, are subject to management’s review and actual results could differ from management’s expectations. No assurance is given by the Company’s independent registered public accounting firm on such preliminary expectations. You should not draw any conclusions as to any other financial results as of August 31, 2024, based on the foregoing estimates.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7"/>
        </w:trPr>
        <w:tc>
          <w:tcPr>
            <w:tcW w:w="1020" w:type="dxa"/>
            <w:vAlign w:val="bottom"/>
          </w:tcPr>
          <w:p>
            <w:pPr>
              <w:ind w:left="40"/>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6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FF"/>
              </w:rPr>
              <w:t>Athira Pharma, Inc. press release dated September 3, 2024.</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r>
      <w:tr>
        <w:trPr>
          <w:trHeight w:val="287"/>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Athira Pharma, Inc. presentation slides.</w:t>
            </w: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324"/>
        </w:trPr>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434"/>
        </w:trPr>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b w:val="1"/>
          <w:bCs w:val="1"/>
          <w:color w:val="auto"/>
        </w:rPr>
        <w:t>Athira Pharma, Inc.</w:t>
      </w:r>
    </w:p>
    <w:p>
      <w:pPr>
        <w:spacing w:after="0" w:line="244" w:lineRule="exact"/>
        <w:rPr>
          <w:sz w:val="20"/>
          <w:szCs w:val="20"/>
          <w:color w:val="auto"/>
        </w:rPr>
      </w:pPr>
    </w:p>
    <w:p>
      <w:pPr>
        <w:ind w:left="180"/>
        <w:spacing w:after="0"/>
        <w:tabs>
          <w:tab w:leader="none" w:pos="5660" w:val="left"/>
          <w:tab w:leader="none" w:pos="6220" w:val="left"/>
        </w:tabs>
        <w:rPr>
          <w:sz w:val="20"/>
          <w:szCs w:val="20"/>
          <w:color w:val="auto"/>
        </w:rPr>
      </w:pPr>
      <w:r>
        <w:rPr>
          <w:rFonts w:ascii="Times New Roman" w:cs="Times New Roman" w:eastAsia="Times New Roman" w:hAnsi="Times New Roman"/>
          <w:sz w:val="16"/>
          <w:szCs w:val="16"/>
          <w:color w:val="auto"/>
        </w:rPr>
        <w:t>Date: September 3,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3931920</wp:posOffset>
            </wp:positionH>
            <wp:positionV relativeFrom="paragraph">
              <wp:posOffset>21590</wp:posOffset>
            </wp:positionV>
            <wp:extent cx="32143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7620"/>
                    </a:xfrm>
                    <a:prstGeom prst="rect">
                      <a:avLst/>
                    </a:prstGeom>
                    <a:noFill/>
                  </pic:spPr>
                </pic:pic>
              </a:graphicData>
            </a:graphic>
          </wp:anchor>
        </w:drawing>
      </w:r>
    </w:p>
    <w:p>
      <w:pPr>
        <w:spacing w:after="0" w:line="2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Mark Litton</w:t>
      </w:r>
    </w:p>
    <w:p>
      <w:pPr>
        <w:spacing w:after="0" w:line="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909955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40"/>
          </w:cols>
          <w:pgMar w:left="320" w:top="878" w:right="43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15875</wp:posOffset>
            </wp:positionV>
            <wp:extent cx="1757045" cy="871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57045" cy="87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line="239" w:lineRule="auto"/>
        <w:rPr>
          <w:sz w:val="20"/>
          <w:szCs w:val="20"/>
          <w:color w:val="auto"/>
        </w:rPr>
      </w:pPr>
      <w:r>
        <w:rPr>
          <w:rFonts w:ascii="Calibri" w:cs="Calibri" w:eastAsia="Calibri" w:hAnsi="Calibri"/>
          <w:sz w:val="22"/>
          <w:szCs w:val="22"/>
          <w:b w:val="1"/>
          <w:bCs w:val="1"/>
          <w:color w:val="auto"/>
        </w:rPr>
        <w:t>Athira Pharma Announces Topline Results from Phase 2/3 LIFT-AD Clinical Trial of Fosgonimeton for Mild-to-Moderate Alzheimer’s Disease</w:t>
      </w:r>
      <w:r>
        <w:rPr>
          <w:rFonts w:ascii="Calibri" w:cs="Calibri" w:eastAsia="Calibri" w:hAnsi="Calibri"/>
          <w:sz w:val="22"/>
          <w:szCs w:val="22"/>
          <w:color w:val="auto"/>
        </w:rPr>
        <w:t> </w:t>
      </w:r>
    </w:p>
    <w:p>
      <w:pPr>
        <w:spacing w:after="0" w:line="4"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color w:val="0078D4"/>
        </w:rPr>
        <w:t> </w:t>
      </w:r>
    </w:p>
    <w:p>
      <w:pPr>
        <w:spacing w:after="0" w:line="8"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LIFT-AD trial did not meet primary endpoint of GST and key secondary endpoints of cogniton (ADAS-Cog11) and functon (ADCS-ADL23)</w:t>
      </w:r>
    </w:p>
    <w:p>
      <w:pPr>
        <w:spacing w:after="0" w:line="241"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In pre-specifed subgroups of patents with moderate Alzheimer’s disease or who are APOE4 carriers, fosgonimeton showed a numerically greater</w:t>
      </w:r>
    </w:p>
    <w:p>
      <w:pPr>
        <w:spacing w:after="0" w:line="5"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i w:val="1"/>
          <w:iCs w:val="1"/>
          <w:color w:val="auto"/>
        </w:rPr>
        <w:t>treatment efect</w:t>
      </w:r>
    </w:p>
    <w:p>
      <w:pPr>
        <w:spacing w:after="0" w:line="5"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i w:val="1"/>
          <w:iCs w:val="1"/>
          <w:color w:val="auto"/>
        </w:rPr>
        <w:t> </w:t>
      </w:r>
    </w:p>
    <w:p>
      <w:pPr>
        <w:spacing w:after="0" w:line="5"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i w:val="1"/>
          <w:iCs w:val="1"/>
          <w:color w:val="auto"/>
        </w:rPr>
        <w:t>All biomarkers associated with Alzheimer’s disease pathology showed changes with fosgonimeton treatment consistent with the broad</w:t>
      </w:r>
    </w:p>
    <w:p>
      <w:pPr>
        <w:spacing w:after="0" w:line="5"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i w:val="1"/>
          <w:iCs w:val="1"/>
          <w:color w:val="auto"/>
        </w:rPr>
        <w:t>neuroprotectve mechanism of HGF modulaton</w:t>
      </w:r>
    </w:p>
    <w:p>
      <w:pPr>
        <w:spacing w:after="0" w:line="1" w:lineRule="exact"/>
        <w:rPr>
          <w:sz w:val="20"/>
          <w:szCs w:val="20"/>
          <w:color w:val="auto"/>
        </w:rPr>
      </w:pPr>
    </w:p>
    <w:p>
      <w:pPr>
        <w:jc w:val="center"/>
        <w:ind w:right="20"/>
        <w:spacing w:after="0"/>
        <w:rPr>
          <w:sz w:val="20"/>
          <w:szCs w:val="20"/>
          <w:color w:val="auto"/>
        </w:rPr>
      </w:pPr>
      <w:r>
        <w:rPr>
          <w:rFonts w:ascii="Calibri" w:cs="Calibri" w:eastAsia="Calibri" w:hAnsi="Calibri"/>
          <w:sz w:val="17"/>
          <w:szCs w:val="17"/>
          <w:color w:val="auto"/>
        </w:rPr>
        <w:t> </w:t>
      </w:r>
    </w:p>
    <w:p>
      <w:pPr>
        <w:spacing w:after="0" w:line="9" w:lineRule="exact"/>
        <w:rPr>
          <w:sz w:val="20"/>
          <w:szCs w:val="20"/>
          <w:color w:val="auto"/>
        </w:rPr>
      </w:pPr>
    </w:p>
    <w:p>
      <w:pPr>
        <w:jc w:val="center"/>
        <w:ind w:left="720"/>
        <w:spacing w:after="0"/>
        <w:rPr>
          <w:sz w:val="20"/>
          <w:szCs w:val="20"/>
          <w:color w:val="auto"/>
        </w:rPr>
      </w:pPr>
      <w:r>
        <w:rPr>
          <w:rFonts w:ascii="Calibri" w:cs="Calibri" w:eastAsia="Calibri" w:hAnsi="Calibri"/>
          <w:sz w:val="19"/>
          <w:szCs w:val="19"/>
          <w:i w:val="1"/>
          <w:iCs w:val="1"/>
          <w:color w:val="auto"/>
        </w:rPr>
        <w:t>Athira to host live webcast today at 4:30 PM Eastern tme</w:t>
      </w:r>
      <w:r>
        <w:rPr>
          <w:rFonts w:ascii="Calibri" w:cs="Calibri" w:eastAsia="Calibri" w:hAnsi="Calibri"/>
          <w:sz w:val="19"/>
          <w:szCs w:val="19"/>
          <w:color w:val="auto"/>
        </w:rPr>
        <w:t> </w:t>
      </w:r>
    </w:p>
    <w:p>
      <w:pPr>
        <w:spacing w:after="0" w:line="5" w:lineRule="exact"/>
        <w:rPr>
          <w:sz w:val="20"/>
          <w:szCs w:val="20"/>
          <w:color w:val="auto"/>
        </w:rPr>
      </w:pPr>
    </w:p>
    <w:p>
      <w:pPr>
        <w:jc w:val="center"/>
        <w:ind w:left="720"/>
        <w:spacing w:after="0"/>
        <w:rPr>
          <w:sz w:val="20"/>
          <w:szCs w:val="20"/>
          <w:color w:val="auto"/>
        </w:rPr>
      </w:pPr>
      <w:r>
        <w:rPr>
          <w:rFonts w:ascii="Calibri" w:cs="Calibri" w:eastAsia="Calibri" w:hAnsi="Calibri"/>
          <w:sz w:val="19"/>
          <w:szCs w:val="19"/>
          <w:color w:val="auto"/>
        </w:rPr>
        <w:t> </w:t>
      </w:r>
    </w:p>
    <w:p>
      <w:pPr>
        <w:spacing w:after="0" w:line="3" w:lineRule="exact"/>
        <w:rPr>
          <w:sz w:val="20"/>
          <w:szCs w:val="20"/>
          <w:color w:val="auto"/>
        </w:rPr>
      </w:pPr>
    </w:p>
    <w:p>
      <w:pPr>
        <w:ind w:right="20"/>
        <w:spacing w:after="0" w:line="245" w:lineRule="auto"/>
        <w:rPr>
          <w:sz w:val="20"/>
          <w:szCs w:val="20"/>
          <w:color w:val="auto"/>
        </w:rPr>
      </w:pPr>
      <w:r>
        <w:rPr>
          <w:rFonts w:ascii="Calibri" w:cs="Calibri" w:eastAsia="Calibri" w:hAnsi="Calibri"/>
          <w:sz w:val="17"/>
          <w:szCs w:val="17"/>
          <w:b w:val="1"/>
          <w:bCs w:val="1"/>
          <w:color w:val="auto"/>
        </w:rPr>
        <w:t xml:space="preserve">BOTHELL, Wash., September 3, 2024 – Athira Pharma, Inc. </w:t>
      </w:r>
      <w:r>
        <w:rPr>
          <w:rFonts w:ascii="Calibri" w:cs="Calibri" w:eastAsia="Calibri" w:hAnsi="Calibri"/>
          <w:sz w:val="17"/>
          <w:szCs w:val="17"/>
          <w:color w:val="auto"/>
        </w:rPr>
        <w:t>(NASDAQ: ATHA), a late clinical-stage biopharmaceutcal company focused on developing small</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molecules to restore neuronal health and slow neurodegeneraton, today announced topline results from its Phase 2/3 LIFT-AD clinical trial of fosgonimeton, a hepatocyte growth factor (HGF) positve modulator, in patents with mild-to-moderate Alzheimer’s disease (AD). </w:t>
      </w:r>
    </w:p>
    <w:p>
      <w:pPr>
        <w:spacing w:after="0" w:line="216" w:lineRule="exact"/>
        <w:rPr>
          <w:sz w:val="20"/>
          <w:szCs w:val="20"/>
          <w:color w:val="auto"/>
        </w:rPr>
      </w:pPr>
    </w:p>
    <w:p>
      <w:pPr>
        <w:ind w:right="20"/>
        <w:spacing w:after="0" w:line="246" w:lineRule="auto"/>
        <w:rPr>
          <w:sz w:val="20"/>
          <w:szCs w:val="20"/>
          <w:color w:val="auto"/>
        </w:rPr>
      </w:pPr>
      <w:r>
        <w:rPr>
          <w:rFonts w:ascii="Calibri" w:cs="Calibri" w:eastAsia="Calibri" w:hAnsi="Calibri"/>
          <w:sz w:val="17"/>
          <w:szCs w:val="17"/>
          <w:color w:val="auto"/>
        </w:rPr>
        <w:t>The topline results showed that neither the trial's primary endpoint (the Global Statstcal Test (GST), a combinaton of results from measures of cogniton (ADAS-Cog11) and functon (ADCS-ADL23)) nor its key secondary endpoints of ADAS-Cog11 and ADCS-ADL23 reached statstcal signifcance compared with placebo at 26 weeks. However, both components of GST, cogniton (ADAS-Cog11) and functon (ADCS-ADL23), directonally favored fosgonimeton treatment, and in pre-specifed subgroups characterized by more rapid disease progression (moderate AD and APOE4 carriers), cogniton and functon improved or stabilized in the fosgonimeton treated group. In additon, data across biomarkers of protein pathology (Aβ42/40, p-Tau181, and p-Tau217), infammaton (GFAP) and neurodegeneraton (NfL) showed directonal improvements with fosgonimeton treatment that are consistent with the broad neuroprotectve mechanism of HGF modulaton.</w:t>
      </w:r>
    </w:p>
    <w:p>
      <w:pPr>
        <w:spacing w:after="0" w:line="200" w:lineRule="exact"/>
        <w:rPr>
          <w:sz w:val="20"/>
          <w:szCs w:val="20"/>
          <w:color w:val="auto"/>
        </w:rPr>
      </w:pPr>
    </w:p>
    <w:p>
      <w:pPr>
        <w:spacing w:after="0" w:line="227" w:lineRule="exact"/>
        <w:rPr>
          <w:sz w:val="20"/>
          <w:szCs w:val="20"/>
          <w:color w:val="auto"/>
        </w:rPr>
      </w:pPr>
    </w:p>
    <w:p>
      <w:pPr>
        <w:ind w:right="360"/>
        <w:spacing w:after="0" w:line="245" w:lineRule="auto"/>
        <w:rPr>
          <w:sz w:val="20"/>
          <w:szCs w:val="20"/>
          <w:color w:val="auto"/>
        </w:rPr>
      </w:pPr>
      <w:r>
        <w:rPr>
          <w:rFonts w:ascii="Calibri" w:cs="Calibri" w:eastAsia="Calibri" w:hAnsi="Calibri"/>
          <w:sz w:val="17"/>
          <w:szCs w:val="17"/>
          <w:color w:val="auto"/>
        </w:rPr>
        <w:t>“These are not the results we hoped for, as the lack of clinical decline in the placebo group, combined with the short duraton of the study, may have impacted the trial’s ability to translate the efect of fosgonimeton treatment into meaningful clinical beneft,” said Javier San Martn, M.D., Chief Medical Ofcer of Athira. “However, we believe the totality of the data contnues to suggest that positve modulaton of the HGF pathway has the potental to translate into improvement in parameters of neuronal health and may mitgate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904875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87" w:right="319" w:bottom="1440" w:gutter="0" w:footer="0" w:header="0"/>
        </w:sectPr>
      </w:pPr>
    </w:p>
    <w:bookmarkStart w:id="4" w:name="page5"/>
    <w:bookmarkEnd w:id="4"/>
    <w:p>
      <w:pPr>
        <w:ind w:right="40"/>
        <w:spacing w:after="0" w:line="245" w:lineRule="auto"/>
        <w:rPr>
          <w:sz w:val="20"/>
          <w:szCs w:val="20"/>
          <w:color w:val="auto"/>
        </w:rPr>
      </w:pPr>
      <w:r>
        <w:rPr>
          <w:rFonts w:ascii="Calibri" w:cs="Calibri" w:eastAsia="Calibri" w:hAnsi="Calibri"/>
          <w:sz w:val="17"/>
          <w:szCs w:val="17"/>
          <w:color w:val="auto"/>
        </w:rPr>
        <w:t>“While the trial did not meet its primary endpoint, the biomarker and subgroup data are intriguing and remarkably consistent not only across endpoints but also with our understanding of fosgonimeton’s neuroprotectve mechanism of acton,” added Anton P. Porsteinsson, M.D., Director of the University of Rochester Alzheimer’s Disease Care, Research, and Educaton Program (AD-CARE) and a LIFT-AD investgator.</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Phase 2/3 LIFT-AD Clinical Trial Design and Topline Results</w:t>
      </w:r>
      <w:r>
        <w:rPr>
          <w:rFonts w:ascii="Calibri" w:cs="Calibri" w:eastAsia="Calibri" w:hAnsi="Calibri"/>
          <w:sz w:val="17"/>
          <w:szCs w:val="17"/>
          <w:color w:val="auto"/>
        </w:rPr>
        <w:t> </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 </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LIFT-AD (NCT04488419) was a randomized, placebo-controlled, double-blind study that evaluated the efcacy and safety of once-daily subcutaneous</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injectons of fosgonimeton (40 mg) in 312 mild-to-moderate AD patents not on acetylcholinesterase inhibitors (AChEIs) compared to placebo over a 26-</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week treatment period. The primary endpoint of LIFT-AD was the change from baseline afer 26 weeks of treatment using the Global Statstcal Test (GST), a</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combinaton of results from measures of cogniton</w:t>
      </w:r>
    </w:p>
    <w:p>
      <w:pPr>
        <w:spacing w:after="0" w:line="7" w:lineRule="exact"/>
        <w:rPr>
          <w:sz w:val="20"/>
          <w:szCs w:val="20"/>
          <w:color w:val="auto"/>
        </w:rPr>
      </w:pPr>
    </w:p>
    <w:p>
      <w:pPr>
        <w:ind w:right="100"/>
        <w:spacing w:after="0" w:line="259" w:lineRule="auto"/>
        <w:rPr>
          <w:sz w:val="20"/>
          <w:szCs w:val="20"/>
          <w:color w:val="auto"/>
        </w:rPr>
      </w:pPr>
      <w:r>
        <w:rPr>
          <w:rFonts w:ascii="Calibri" w:cs="Calibri" w:eastAsia="Calibri" w:hAnsi="Calibri"/>
          <w:sz w:val="17"/>
          <w:szCs w:val="17"/>
          <w:color w:val="auto"/>
        </w:rPr>
        <w:t>(ADAS-Cog11) and functon (ADCS-ADL23). Secondary endpoints included cogniton (ADAS-Cog11), functon (ADCS-ADL23), and a plasma biomarker of neurodegeneraton, neuroflament light chain (NfL). The trial explored additonal plasma biomarkers including glial fbrillary acidic protein (GFAP), a marker of neuroinfammaton, and both amyloid beta and phosphorylated tau (pTau), hallmark measures of AD pathology. </w:t>
      </w:r>
      <w:r>
        <w:rPr>
          <w:rFonts w:ascii="Times New Roman" w:cs="Times New Roman" w:eastAsia="Times New Roman" w:hAnsi="Times New Roman"/>
          <w:sz w:val="18"/>
          <w:szCs w:val="18"/>
          <w:color w:val="auto"/>
        </w:rPr>
        <w:t> </w:t>
      </w:r>
    </w:p>
    <w:p>
      <w:pPr>
        <w:spacing w:after="0" w:line="189" w:lineRule="exact"/>
        <w:rPr>
          <w:sz w:val="20"/>
          <w:szCs w:val="20"/>
          <w:color w:val="auto"/>
        </w:rPr>
      </w:pPr>
    </w:p>
    <w:p>
      <w:pPr>
        <w:spacing w:after="0"/>
        <w:rPr>
          <w:sz w:val="20"/>
          <w:szCs w:val="20"/>
          <w:color w:val="auto"/>
        </w:rPr>
      </w:pPr>
      <w:r>
        <w:rPr>
          <w:rFonts w:ascii="Calibri" w:cs="Calibri" w:eastAsia="Calibri" w:hAnsi="Calibri"/>
          <w:sz w:val="17"/>
          <w:szCs w:val="17"/>
          <w:i w:val="1"/>
          <w:iCs w:val="1"/>
          <w:u w:val="single" w:color="auto"/>
          <w:color w:val="auto"/>
        </w:rPr>
        <w:t>Primary Analysis Populaton</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Topline results from the LIFT-AD study of fosgonimeton in mild-to-moderate AD patents afer 26 weeks showed:</w:t>
      </w:r>
    </w:p>
    <w:p>
      <w:pPr>
        <w:spacing w:after="0" w:line="17"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Calibri" w:cs="Calibri" w:eastAsia="Calibri" w:hAnsi="Calibri"/>
          <w:sz w:val="17"/>
          <w:szCs w:val="17"/>
          <w:color w:val="auto"/>
        </w:rPr>
        <w:t>A -0.08 change in GST favoring fosgonimeton that did not reach statstcal signifcance (p=0.70)</w:t>
      </w:r>
    </w:p>
    <w:p>
      <w:pPr>
        <w:spacing w:after="0" w:line="18" w:lineRule="exact"/>
        <w:rPr>
          <w:rFonts w:ascii="Times New Roman" w:cs="Times New Roman" w:eastAsia="Times New Roman" w:hAnsi="Times New Roman"/>
          <w:sz w:val="17"/>
          <w:szCs w:val="17"/>
          <w:color w:val="auto"/>
        </w:rPr>
      </w:pPr>
    </w:p>
    <w:p>
      <w:pPr>
        <w:ind w:left="740" w:hanging="370"/>
        <w:spacing w:after="0" w:line="244" w:lineRule="auto"/>
        <w:tabs>
          <w:tab w:leader="none" w:pos="740" w:val="left"/>
        </w:tabs>
        <w:numPr>
          <w:ilvl w:val="0"/>
          <w:numId w:val="2"/>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change in cogniton from baseline as assessed by ADAS-Cog11, for which a decrease from baseline represents improvement, was -0.39 for the placebo group and -1.09 for the fosgonimeton treated group, a diference of -0.70 (p=0.35) favoring fosgonimeton</w:t>
      </w:r>
    </w:p>
    <w:p>
      <w:pPr>
        <w:spacing w:after="0" w:line="15" w:lineRule="exact"/>
        <w:rPr>
          <w:rFonts w:ascii="Times New Roman" w:cs="Times New Roman" w:eastAsia="Times New Roman" w:hAnsi="Times New Roman"/>
          <w:sz w:val="17"/>
          <w:szCs w:val="17"/>
          <w:color w:val="auto"/>
        </w:rPr>
      </w:pPr>
    </w:p>
    <w:p>
      <w:pPr>
        <w:ind w:left="740" w:right="380" w:hanging="370"/>
        <w:spacing w:after="0" w:line="244" w:lineRule="auto"/>
        <w:tabs>
          <w:tab w:leader="none" w:pos="740" w:val="left"/>
        </w:tabs>
        <w:numPr>
          <w:ilvl w:val="0"/>
          <w:numId w:val="2"/>
        </w:numPr>
        <w:rPr>
          <w:rFonts w:ascii="Times New Roman" w:cs="Times New Roman" w:eastAsia="Times New Roman" w:hAnsi="Times New Roman"/>
          <w:sz w:val="17"/>
          <w:szCs w:val="17"/>
          <w:color w:val="auto"/>
        </w:rPr>
      </w:pPr>
      <w:r>
        <w:rPr>
          <w:rFonts w:ascii="Calibri" w:cs="Calibri" w:eastAsia="Calibri" w:hAnsi="Calibri"/>
          <w:sz w:val="17"/>
          <w:szCs w:val="17"/>
          <w:color w:val="auto"/>
        </w:rPr>
        <w:t>In the fosgonimeton treated group, there was an increase (improvement) of 0.65 in functon as measured by ADCS-ADL23 versus a decline of -0.02 in placebo, although this diference did not meet statstcal signifcance (p=0.61)</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i w:val="1"/>
          <w:iCs w:val="1"/>
          <w:u w:val="single" w:color="auto"/>
          <w:color w:val="auto"/>
        </w:rPr>
        <w:t>Prespecifed Biomarker Analyses</w:t>
      </w:r>
    </w:p>
    <w:p>
      <w:pPr>
        <w:spacing w:after="0" w:line="7" w:lineRule="exact"/>
        <w:rPr>
          <w:sz w:val="20"/>
          <w:szCs w:val="20"/>
          <w:color w:val="auto"/>
        </w:rPr>
      </w:pPr>
    </w:p>
    <w:p>
      <w:pPr>
        <w:ind w:right="40"/>
        <w:spacing w:after="0" w:line="245" w:lineRule="auto"/>
        <w:rPr>
          <w:sz w:val="20"/>
          <w:szCs w:val="20"/>
          <w:color w:val="auto"/>
        </w:rPr>
      </w:pPr>
      <w:r>
        <w:rPr>
          <w:rFonts w:ascii="Calibri" w:cs="Calibri" w:eastAsia="Calibri" w:hAnsi="Calibri"/>
          <w:sz w:val="17"/>
          <w:szCs w:val="17"/>
          <w:color w:val="auto"/>
        </w:rPr>
        <w:t>Data from the plasma biomarkers of neurodegeneraton (NfL), infammaton (GFAP), and protein pathology (p-Tau181, p-Tau217, and amyloid beta 42/40 rato) showed consistent directonal improvements favoring fosgonimeton versus placebo afer 26 weeks. Notably, fosgonimeton treatment reduced plasma levels of pTau217, a hallmark of AD, by -0.12 pg/mL compared to placebo (p&lt;0.01).</w:t>
      </w:r>
    </w:p>
    <w:p>
      <w:pPr>
        <w:spacing w:after="0" w:line="167" w:lineRule="exact"/>
        <w:rPr>
          <w:sz w:val="20"/>
          <w:szCs w:val="20"/>
          <w:color w:val="auto"/>
        </w:rPr>
      </w:pPr>
    </w:p>
    <w:p>
      <w:pPr>
        <w:spacing w:after="0"/>
        <w:rPr>
          <w:sz w:val="20"/>
          <w:szCs w:val="20"/>
          <w:color w:val="auto"/>
        </w:rPr>
      </w:pPr>
      <w:r>
        <w:rPr>
          <w:rFonts w:ascii="Calibri" w:cs="Calibri" w:eastAsia="Calibri" w:hAnsi="Calibri"/>
          <w:sz w:val="17"/>
          <w:szCs w:val="17"/>
          <w:i w:val="1"/>
          <w:iCs w:val="1"/>
          <w:u w:val="single" w:color="auto"/>
          <w:color w:val="auto"/>
        </w:rPr>
        <w:t>Prespecifed Subgroup Analyses</w:t>
      </w:r>
    </w:p>
    <w:p>
      <w:pPr>
        <w:spacing w:after="0" w:line="7" w:lineRule="exact"/>
        <w:rPr>
          <w:sz w:val="20"/>
          <w:szCs w:val="20"/>
          <w:color w:val="auto"/>
        </w:rPr>
      </w:pPr>
    </w:p>
    <w:p>
      <w:pPr>
        <w:ind w:right="800"/>
        <w:spacing w:after="0" w:line="244" w:lineRule="auto"/>
        <w:rPr>
          <w:sz w:val="20"/>
          <w:szCs w:val="20"/>
          <w:color w:val="auto"/>
        </w:rPr>
      </w:pPr>
      <w:r>
        <w:rPr>
          <w:rFonts w:ascii="Calibri" w:cs="Calibri" w:eastAsia="Calibri" w:hAnsi="Calibri"/>
          <w:sz w:val="17"/>
          <w:szCs w:val="17"/>
          <w:color w:val="auto"/>
        </w:rPr>
        <w:t>In a prespecifed subgroup analyses of more advanced AD patents, a greater numerical treatment efect in clinical outcomes was observed in the fosgonimeton treatment group compared to placebo afer 26 weeks:</w:t>
      </w:r>
    </w:p>
    <w:p>
      <w:pPr>
        <w:spacing w:after="0" w:line="16" w:lineRule="exact"/>
        <w:rPr>
          <w:sz w:val="20"/>
          <w:szCs w:val="20"/>
          <w:color w:val="auto"/>
        </w:rPr>
      </w:pPr>
    </w:p>
    <w:p>
      <w:pPr>
        <w:ind w:left="740" w:right="520" w:hanging="370"/>
        <w:spacing w:after="0" w:line="244" w:lineRule="auto"/>
        <w:tabs>
          <w:tab w:leader="none" w:pos="740" w:val="left"/>
        </w:tabs>
        <w:numPr>
          <w:ilvl w:val="0"/>
          <w:numId w:val="3"/>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change in cogniton from baseline as assessed by ADAS-Cog11 in moderate AD patents, for which a decrease from baseline represents improvement, showed the fosgonimeton treatment group (n=61) improved compared to placebo (n=70), with a delta of -1.16 (p=0.39)</w:t>
      </w:r>
    </w:p>
    <w:p>
      <w:pPr>
        <w:spacing w:after="0" w:line="15" w:lineRule="exact"/>
        <w:rPr>
          <w:rFonts w:ascii="Times New Roman" w:cs="Times New Roman" w:eastAsia="Times New Roman" w:hAnsi="Times New Roman"/>
          <w:sz w:val="17"/>
          <w:szCs w:val="17"/>
          <w:color w:val="auto"/>
        </w:rPr>
      </w:pPr>
    </w:p>
    <w:p>
      <w:pPr>
        <w:ind w:left="740" w:right="20" w:hanging="370"/>
        <w:spacing w:after="0" w:line="244" w:lineRule="auto"/>
        <w:tabs>
          <w:tab w:leader="none" w:pos="740" w:val="left"/>
        </w:tabs>
        <w:numPr>
          <w:ilvl w:val="0"/>
          <w:numId w:val="3"/>
        </w:numPr>
        <w:rPr>
          <w:rFonts w:ascii="Times New Roman" w:cs="Times New Roman" w:eastAsia="Times New Roman" w:hAnsi="Times New Roman"/>
          <w:sz w:val="17"/>
          <w:szCs w:val="17"/>
          <w:color w:val="auto"/>
        </w:rPr>
      </w:pPr>
      <w:r>
        <w:rPr>
          <w:rFonts w:ascii="Calibri" w:cs="Calibri" w:eastAsia="Calibri" w:hAnsi="Calibri"/>
          <w:sz w:val="17"/>
          <w:szCs w:val="17"/>
          <w:color w:val="auto"/>
        </w:rPr>
        <w:t>For AD patents who are carriers of the APOE4 gene, the placebo group (n=74) declined in cogniton as assessed by ADAS-Cog11 over the 26-week period as expected, whereas the fosgonimeton treatment group (n=74) remained stable, with a delta of -1.07 (p=0.33)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904875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20" w:top="1253" w:right="359" w:bottom="1440" w:gutter="0" w:footer="0" w:header="0"/>
        </w:sectPr>
      </w:pPr>
    </w:p>
    <w:bookmarkStart w:id="5" w:name="page6"/>
    <w:bookmarkEnd w:id="5"/>
    <w:p>
      <w:pPr>
        <w:spacing w:after="0"/>
        <w:rPr>
          <w:sz w:val="20"/>
          <w:szCs w:val="20"/>
          <w:color w:val="auto"/>
        </w:rPr>
      </w:pPr>
      <w:r>
        <w:rPr>
          <w:rFonts w:ascii="Calibri" w:cs="Calibri" w:eastAsia="Calibri" w:hAnsi="Calibri"/>
          <w:sz w:val="17"/>
          <w:szCs w:val="17"/>
          <w:i w:val="1"/>
          <w:iCs w:val="1"/>
          <w:u w:val="single" w:color="auto"/>
          <w:color w:val="auto"/>
        </w:rPr>
        <w:t>Post Hoc Subgroup Analyses</w:t>
      </w:r>
    </w:p>
    <w:p>
      <w:pPr>
        <w:spacing w:after="0" w:line="7" w:lineRule="exact"/>
        <w:rPr>
          <w:sz w:val="20"/>
          <w:szCs w:val="20"/>
          <w:color w:val="auto"/>
        </w:rPr>
      </w:pPr>
    </w:p>
    <w:p>
      <w:pPr>
        <w:ind w:right="320"/>
        <w:spacing w:after="0" w:line="244" w:lineRule="auto"/>
        <w:rPr>
          <w:sz w:val="20"/>
          <w:szCs w:val="20"/>
          <w:color w:val="auto"/>
        </w:rPr>
      </w:pPr>
      <w:r>
        <w:rPr>
          <w:rFonts w:ascii="Calibri" w:cs="Calibri" w:eastAsia="Calibri" w:hAnsi="Calibri"/>
          <w:sz w:val="17"/>
          <w:szCs w:val="17"/>
          <w:color w:val="auto"/>
        </w:rPr>
        <w:t>In a post hoc analyses by disease severity as defned by baseline ADAS-Cog11 (&gt;30) and Clinical Dementa Ratng (CDR) 2, fosgonimeton showed a larger efect size mainly driven by an improvement in cogniton at week 26.</w:t>
      </w:r>
    </w:p>
    <w:p>
      <w:pPr>
        <w:spacing w:after="0" w:line="16" w:lineRule="exact"/>
        <w:rPr>
          <w:sz w:val="20"/>
          <w:szCs w:val="20"/>
          <w:color w:val="auto"/>
        </w:rPr>
      </w:pPr>
    </w:p>
    <w:p>
      <w:pPr>
        <w:ind w:left="740" w:right="240" w:hanging="370"/>
        <w:spacing w:after="0" w:line="244" w:lineRule="auto"/>
        <w:tabs>
          <w:tab w:leader="none" w:pos="740" w:val="left"/>
        </w:tabs>
        <w:numPr>
          <w:ilvl w:val="0"/>
          <w:numId w:val="4"/>
        </w:numPr>
        <w:rPr>
          <w:rFonts w:ascii="Times New Roman" w:cs="Times New Roman" w:eastAsia="Times New Roman" w:hAnsi="Times New Roman"/>
          <w:sz w:val="17"/>
          <w:szCs w:val="17"/>
          <w:color w:val="auto"/>
        </w:rPr>
      </w:pPr>
      <w:r>
        <w:rPr>
          <w:rFonts w:ascii="Calibri" w:cs="Calibri" w:eastAsia="Calibri" w:hAnsi="Calibri"/>
          <w:sz w:val="17"/>
          <w:szCs w:val="17"/>
          <w:color w:val="auto"/>
        </w:rPr>
        <w:t>Patents with the highest baseline ADAS-Cog11 (&gt;30) who were treated with fosgonimeton (n=42) compared to placebo (n=52) showed a -2.51 improvement in cogniton as assessed by ADAS-Cog11 (p=0.16), for which a lower number represents improvement</w:t>
      </w:r>
    </w:p>
    <w:p>
      <w:pPr>
        <w:spacing w:after="0" w:line="15" w:lineRule="exact"/>
        <w:rPr>
          <w:rFonts w:ascii="Times New Roman" w:cs="Times New Roman" w:eastAsia="Times New Roman" w:hAnsi="Times New Roman"/>
          <w:sz w:val="17"/>
          <w:szCs w:val="17"/>
          <w:color w:val="auto"/>
        </w:rPr>
      </w:pPr>
    </w:p>
    <w:p>
      <w:pPr>
        <w:ind w:left="740" w:right="40" w:hanging="370"/>
        <w:spacing w:after="0" w:line="244" w:lineRule="auto"/>
        <w:tabs>
          <w:tab w:leader="none" w:pos="740" w:val="left"/>
        </w:tabs>
        <w:numPr>
          <w:ilvl w:val="0"/>
          <w:numId w:val="4"/>
        </w:numPr>
        <w:rPr>
          <w:rFonts w:ascii="Times New Roman" w:cs="Times New Roman" w:eastAsia="Times New Roman" w:hAnsi="Times New Roman"/>
          <w:sz w:val="17"/>
          <w:szCs w:val="17"/>
          <w:color w:val="auto"/>
        </w:rPr>
      </w:pPr>
      <w:r>
        <w:rPr>
          <w:rFonts w:ascii="Calibri" w:cs="Calibri" w:eastAsia="Calibri" w:hAnsi="Calibri"/>
          <w:sz w:val="17"/>
          <w:szCs w:val="17"/>
          <w:color w:val="auto"/>
        </w:rPr>
        <w:t>A small subset of patents with a CDR 2 (moderate dementa) who were treated with fosgonimeton (n=20) compared to placebo (n=19) showed a -3.74 improvement in cogniton as assessed by ADAS-Cog11 (p=0.21)</w:t>
      </w:r>
    </w:p>
    <w:p>
      <w:pPr>
        <w:spacing w:after="0" w:line="215" w:lineRule="exact"/>
        <w:rPr>
          <w:sz w:val="20"/>
          <w:szCs w:val="20"/>
          <w:color w:val="auto"/>
        </w:rPr>
      </w:pPr>
    </w:p>
    <w:p>
      <w:pPr>
        <w:spacing w:after="0"/>
        <w:rPr>
          <w:sz w:val="20"/>
          <w:szCs w:val="20"/>
          <w:color w:val="auto"/>
        </w:rPr>
      </w:pPr>
      <w:r>
        <w:rPr>
          <w:rFonts w:ascii="Calibri" w:cs="Calibri" w:eastAsia="Calibri" w:hAnsi="Calibri"/>
          <w:sz w:val="17"/>
          <w:szCs w:val="17"/>
          <w:i w:val="1"/>
          <w:iCs w:val="1"/>
          <w:u w:val="single" w:color="auto"/>
          <w:color w:val="auto"/>
        </w:rPr>
        <w:t>Safety and Tolerability</w:t>
      </w:r>
    </w:p>
    <w:p>
      <w:pPr>
        <w:spacing w:after="0" w:line="7" w:lineRule="exact"/>
        <w:rPr>
          <w:sz w:val="20"/>
          <w:szCs w:val="20"/>
          <w:color w:val="auto"/>
        </w:rPr>
      </w:pPr>
    </w:p>
    <w:p>
      <w:pPr>
        <w:ind w:right="200"/>
        <w:spacing w:after="0" w:line="245" w:lineRule="auto"/>
        <w:rPr>
          <w:sz w:val="20"/>
          <w:szCs w:val="20"/>
          <w:color w:val="auto"/>
        </w:rPr>
      </w:pPr>
      <w:r>
        <w:rPr>
          <w:rFonts w:ascii="Calibri" w:cs="Calibri" w:eastAsia="Calibri" w:hAnsi="Calibri"/>
          <w:sz w:val="17"/>
          <w:szCs w:val="17"/>
          <w:color w:val="auto"/>
        </w:rPr>
        <w:t>Fosgonimeton was generally well tolerated, with a favorable safety profle. Partcipants treated with fosgonimeton (40 mg) for 26 weeks showed a higher incidence of treatment emergent adverse events compared to placebo, mainly driven by injecton site reactons. The incidence of serious adverse events (SAEs) was similar between treatment groups, with few treatment-related SAEs and no deaths observed in the study. The study had a 22 percent early terminaton rate.</w:t>
      </w:r>
    </w:p>
    <w:p>
      <w:pPr>
        <w:spacing w:after="0" w:line="217" w:lineRule="exact"/>
        <w:rPr>
          <w:sz w:val="20"/>
          <w:szCs w:val="20"/>
          <w:color w:val="auto"/>
        </w:rPr>
      </w:pPr>
    </w:p>
    <w:p>
      <w:pPr>
        <w:ind w:right="80"/>
        <w:spacing w:after="0" w:line="245" w:lineRule="auto"/>
        <w:rPr>
          <w:sz w:val="20"/>
          <w:szCs w:val="20"/>
          <w:color w:val="auto"/>
        </w:rPr>
      </w:pPr>
      <w:r>
        <w:rPr>
          <w:rFonts w:ascii="Calibri" w:cs="Calibri" w:eastAsia="Calibri" w:hAnsi="Calibri"/>
          <w:sz w:val="17"/>
          <w:szCs w:val="17"/>
          <w:color w:val="auto"/>
        </w:rPr>
        <w:t>“In additon to fosgonimeton, we have a pipeline of next-generaton, orally delivered HGF modulators, with improved pharmacological propertes, that we are currently evaluatng in neurodegeneratve diseases,” stated Mark Liton, Ph.D., President and Chief Executve Ofcer of Athira. “We want to express our sincere appreciaton for the patents, caregivers, their families, and healthcare professionals who partcipated in the LIFT-AD trial. I also want to thank all Athira employees for their dedicaton and treless contributons to advancing the science to beneft patents batling neurodegeneratve diseases.”</w:t>
      </w:r>
    </w:p>
    <w:p>
      <w:pPr>
        <w:spacing w:after="0" w:line="12" w:lineRule="exact"/>
        <w:rPr>
          <w:sz w:val="20"/>
          <w:szCs w:val="20"/>
          <w:color w:val="auto"/>
        </w:rPr>
      </w:pPr>
    </w:p>
    <w:p>
      <w:pPr>
        <w:spacing w:after="0" w:line="207" w:lineRule="auto"/>
        <w:rPr>
          <w:sz w:val="20"/>
          <w:szCs w:val="20"/>
          <w:color w:val="auto"/>
        </w:rPr>
      </w:pPr>
      <w:r>
        <w:rPr>
          <w:rFonts w:ascii="Calibri" w:cs="Calibri" w:eastAsia="Calibri" w:hAnsi="Calibri"/>
          <w:sz w:val="17"/>
          <w:szCs w:val="17"/>
          <w:color w:val="auto"/>
        </w:rPr>
        <w:t>Full analysis of these results is scheduled to be reviewed at the 17</w:t>
      </w:r>
      <w:r>
        <w:rPr>
          <w:rFonts w:ascii="Calibri" w:cs="Calibri" w:eastAsia="Calibri" w:hAnsi="Calibri"/>
          <w:sz w:val="23"/>
          <w:szCs w:val="23"/>
          <w:color w:val="auto"/>
          <w:vertAlign w:val="superscript"/>
        </w:rPr>
        <w:t>th</w:t>
      </w:r>
      <w:r>
        <w:rPr>
          <w:rFonts w:ascii="Calibri" w:cs="Calibri" w:eastAsia="Calibri" w:hAnsi="Calibri"/>
          <w:sz w:val="17"/>
          <w:szCs w:val="17"/>
          <w:color w:val="auto"/>
        </w:rPr>
        <w:t xml:space="preserve"> Annual Clinical Trials on Alzheimer’s Disease (CTAD) taking place October 29 - November 1, 2024, in Madrid, Spain.  </w:t>
      </w:r>
    </w:p>
    <w:p>
      <w:pPr>
        <w:spacing w:after="0" w:line="222" w:lineRule="exact"/>
        <w:rPr>
          <w:sz w:val="20"/>
          <w:szCs w:val="20"/>
          <w:color w:val="auto"/>
        </w:rPr>
      </w:pPr>
    </w:p>
    <w:p>
      <w:pPr>
        <w:spacing w:after="0" w:line="246" w:lineRule="auto"/>
        <w:rPr>
          <w:sz w:val="20"/>
          <w:szCs w:val="20"/>
          <w:color w:val="auto"/>
        </w:rPr>
      </w:pPr>
      <w:r>
        <w:rPr>
          <w:rFonts w:ascii="Calibri" w:cs="Calibri" w:eastAsia="Calibri" w:hAnsi="Calibri"/>
          <w:sz w:val="17"/>
          <w:szCs w:val="17"/>
          <w:color w:val="auto"/>
        </w:rPr>
        <w:t>Athira contnues to evaluate ATH-1105, a next-generaton, orally administered, small molecule drug candidate in development for the potental treatment of amyotrophic lateral sclerosis (ALS), AD, and other neurodegeneratve diseases. Athira is currently conductng a frst-in-human, dose escalaton Phase 1 clinical trial evaluatng safety, tolerability and pharmacokinetcs of ATH-1105 in up to 80 healthy volunteers. Athira completed the frst cohort of healthy volunteers in June 2024 and expects trial completon by year-end 2024, with a goal to be in ALS patents in 2025. ATH-1105’s potental is supported by a growing body of preclinical evidence demonstratng improvements in nerve and motor functon, biomarkers of infammaton and neurodegeneraton, and survival in various models of ALS.</w:t>
      </w:r>
    </w:p>
    <w:p>
      <w:pPr>
        <w:spacing w:after="0" w:line="37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Live Webcast</w:t>
      </w:r>
      <w:r>
        <w:rPr>
          <w:rFonts w:ascii="Calibri" w:cs="Calibri" w:eastAsia="Calibri" w:hAnsi="Calibri"/>
          <w:sz w:val="17"/>
          <w:szCs w:val="17"/>
          <w:color w:val="auto"/>
        </w:rPr>
        <w:t> </w:t>
      </w:r>
    </w:p>
    <w:p>
      <w:pPr>
        <w:spacing w:after="0" w:line="7" w:lineRule="exact"/>
        <w:rPr>
          <w:sz w:val="20"/>
          <w:szCs w:val="20"/>
          <w:color w:val="auto"/>
        </w:rPr>
      </w:pPr>
    </w:p>
    <w:p>
      <w:pPr>
        <w:ind w:right="80"/>
        <w:spacing w:after="0" w:line="265" w:lineRule="auto"/>
        <w:rPr>
          <w:sz w:val="20"/>
          <w:szCs w:val="20"/>
          <w:color w:val="auto"/>
        </w:rPr>
      </w:pPr>
      <w:r>
        <w:rPr>
          <w:rFonts w:ascii="Calibri" w:cs="Calibri" w:eastAsia="Calibri" w:hAnsi="Calibri"/>
          <w:sz w:val="17"/>
          <w:szCs w:val="17"/>
          <w:color w:val="auto"/>
        </w:rPr>
        <w:t>Athira management will host a live webcast to discuss the LIFT-AD topline results at 4:30 PM Eastern tme today, Tuesday, September 3, 2024.  The live webcast can be accessed at Events and Presentatons | Athira Pharma.  The call can also be accessed by phone at 800-715-9871, conference ID: 4911242. A replay of the webcast will be available two hours afer the call and will be archived on the Events for approximately 90 days.  </w:t>
      </w:r>
      <w:r>
        <w:rPr>
          <w:rFonts w:ascii="Times New Roman" w:cs="Times New Roman" w:eastAsia="Times New Roman" w:hAnsi="Times New Roman"/>
          <w:sz w:val="18"/>
          <w:szCs w:val="18"/>
          <w:color w:val="auto"/>
        </w:rPr>
        <w:t> </w:t>
      </w:r>
      <w:r>
        <w:rPr>
          <w:rFonts w:ascii="Calibri" w:cs="Calibri" w:eastAsia="Calibri" w:hAnsi="Calibri"/>
          <w:sz w:val="17"/>
          <w:szCs w:val="17"/>
          <w:color w:val="auto"/>
        </w:rPr>
        <w:t xml:space="preserve"> </w:t>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892810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6" w:name="page7"/>
    <w:bookmarkEnd w:id="6"/>
    <w:p>
      <w:pPr>
        <w:spacing w:after="0"/>
        <w:rPr>
          <w:sz w:val="20"/>
          <w:szCs w:val="20"/>
          <w:color w:val="auto"/>
        </w:rPr>
      </w:pPr>
      <w:r>
        <w:rPr>
          <w:rFonts w:ascii="Calibri" w:cs="Calibri" w:eastAsia="Calibri" w:hAnsi="Calibri"/>
          <w:sz w:val="17"/>
          <w:szCs w:val="17"/>
          <w:b w:val="1"/>
          <w:bCs w:val="1"/>
          <w:color w:val="auto"/>
        </w:rPr>
        <w:t>About Athira Pharma, Inc.</w:t>
      </w:r>
    </w:p>
    <w:p>
      <w:pPr>
        <w:spacing w:after="0" w:line="7" w:lineRule="exact"/>
        <w:rPr>
          <w:sz w:val="20"/>
          <w:szCs w:val="20"/>
          <w:color w:val="auto"/>
        </w:rPr>
      </w:pPr>
    </w:p>
    <w:p>
      <w:pPr>
        <w:ind w:right="120"/>
        <w:spacing w:after="0" w:line="245" w:lineRule="auto"/>
        <w:rPr>
          <w:sz w:val="20"/>
          <w:szCs w:val="20"/>
          <w:color w:val="auto"/>
        </w:rPr>
      </w:pPr>
      <w:r>
        <w:rPr>
          <w:rFonts w:ascii="Calibri" w:cs="Calibri" w:eastAsia="Calibri" w:hAnsi="Calibri"/>
          <w:sz w:val="17"/>
          <w:szCs w:val="17"/>
          <w:color w:val="auto"/>
        </w:rPr>
        <w:t>Athira Pharma, Inc., headquartered in the Seatle, Washington area, is a late clinical-stage biopharmaceutcal company focused on developing small molecules to restore neuronal health and slow neurodegeneraton. Athira aims to alter the course of neurological diseases by advancing its pipeline of drug candidates that modulate the neurotrophic HGF system. For more informaton, visit www.athira.com. You can also follow Athira on Facebook, LinkedIn, X (formerly known as Twiter) and Instagram.</w:t>
      </w:r>
    </w:p>
    <w:p>
      <w:pPr>
        <w:spacing w:after="0" w:line="16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 xml:space="preserve">Forward-Looking Statements </w:t>
      </w:r>
      <w:r>
        <w:rPr>
          <w:rFonts w:ascii="Calibri" w:cs="Calibri" w:eastAsia="Calibri" w:hAnsi="Calibri"/>
          <w:sz w:val="17"/>
          <w:szCs w:val="17"/>
          <w:color w:val="auto"/>
        </w:rPr>
        <w:t> </w:t>
      </w:r>
    </w:p>
    <w:p>
      <w:pPr>
        <w:spacing w:after="0" w:line="7" w:lineRule="exact"/>
        <w:rPr>
          <w:sz w:val="20"/>
          <w:szCs w:val="20"/>
          <w:color w:val="auto"/>
        </w:rPr>
      </w:pPr>
    </w:p>
    <w:p>
      <w:pPr>
        <w:spacing w:after="0" w:line="246" w:lineRule="auto"/>
        <w:rPr>
          <w:sz w:val="20"/>
          <w:szCs w:val="20"/>
          <w:color w:val="auto"/>
        </w:rPr>
      </w:pPr>
      <w:r>
        <w:rPr>
          <w:rFonts w:ascii="Calibri" w:cs="Calibri" w:eastAsia="Calibri" w:hAnsi="Calibri"/>
          <w:sz w:val="17"/>
          <w:szCs w:val="17"/>
          <w:color w:val="auto"/>
        </w:rPr>
        <w:t>This communicaton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Athira’s drug candidates as potental treatments for Alzheimer’s disease, amyotrophic lateral sclerosis, and other neurodegeneratve diseases; future development plans; the antcipated reportng of data; the potental learnings from preclinical studies and other nonclinical data, the LIFT-AD trial and the ongoing Phase 1 trial of ATH-1105 and their ability to inform and improve future clinical development plans; expectatons regarding the potental efcacy and commercial potental of Athira’s drug candidates; and Athira’s ability to advance its drug candidates into later stages of development. Forward-looking statements generally include statements that are predictve in nature and depend upon or refer to future events or conditons, and include words such as “may,” “will,” “should,” “on track,” “would,” “expect,” “plan,” “believe,” “intend,” “pursue,” “contnue,” “suggest,” “potental, target” and similar expressions.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data from preclinical and clinical trials may not support the safety, efcacy and tolerability of Athira’s drug candidates; development of drug candidates may cease or be delayed; regulatory authorites could object to protocols, amendments and other submissions; future potental regulatory milestones for drug candidates, including those related to current and planned clinical studies, may be insufcient to support regulatory submissions or approval; Athira may not be able to recruit sufcient patents for its clinical trials; the outcome of legal proceedings that have been or may in the future be insttuted against Athira, its directors and ofcers; possible negatve interactons of Athira's drug candidates with other treatments; Athira’s assumptons regarding its fnancial conditon and the sufciency of its cash, cash equivalents and investments to fund its planned operatons may be incorrect; adverse conditons in the general domestc and global economic markets; the impact of competton; the impact of expanded drug candidate development and clinical actvites on operatng expenses; the impact of new or changing laws and regulatons; as well as the other risks detailed in Athira’s flings with the Securites and Exchange Commission from tme to tme.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  </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Investor &amp; Media Contact:</w:t>
      </w:r>
      <w:r>
        <w:rPr>
          <w:rFonts w:ascii="Calibri" w:cs="Calibri" w:eastAsia="Calibri" w:hAnsi="Calibri"/>
          <w:sz w:val="17"/>
          <w:szCs w:val="17"/>
          <w:color w:val="auto"/>
        </w:rPr>
        <w:t> </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Julie Rathbun </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Athira Pharma </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u w:val="single" w:color="auto"/>
          <w:color w:val="auto"/>
        </w:rPr>
        <w:t>Julie.rathbun@athira.com</w:t>
      </w:r>
      <w:r>
        <w:rPr>
          <w:rFonts w:ascii="Calibri" w:cs="Calibri" w:eastAsia="Calibri" w:hAnsi="Calibri"/>
          <w:sz w:val="17"/>
          <w:szCs w:val="17"/>
          <w:color w:val="auto"/>
        </w:rPr>
        <w:t> </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206-769-9219 </w:t>
      </w:r>
    </w:p>
    <w:p>
      <w:pPr>
        <w:spacing w:after="0" w:line="5" w:lineRule="exact"/>
        <w:rPr>
          <w:sz w:val="20"/>
          <w:szCs w:val="20"/>
          <w:color w:val="auto"/>
        </w:rPr>
      </w:pPr>
    </w:p>
    <w:p>
      <w:pPr>
        <w:spacing w:after="0"/>
        <w:rPr>
          <w:sz w:val="20"/>
          <w:szCs w:val="20"/>
          <w:color w:val="auto"/>
        </w:rPr>
      </w:pPr>
      <w:r>
        <w:rPr>
          <w:rFonts w:ascii="Calibri" w:cs="Calibri" w:eastAsia="Calibri" w:hAnsi="Calibri"/>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786765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1" w:right="31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2024-09-03T15:14:01Z</dcterms:created>
  <dcterms:modified xsi:type="dcterms:W3CDTF">2024-09-03T15:14:01Z</dcterms:modified>
</cp:coreProperties>
</file>