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333-292826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5715</wp:posOffset>
            </wp:positionV>
            <wp:extent cx="1183005" cy="1251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12515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LeonaBio,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58,464,567 Shares of Common Stock</w:t>
      </w:r>
    </w:p>
    <w:p>
      <w:pPr>
        <w:spacing w:after="0" w:line="229" w:lineRule="exact"/>
        <w:rPr>
          <w:sz w:val="24"/>
          <w:szCs w:val="24"/>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This prospectus relates to the disposition, from time to time, by the selling stockholders identified in this prospectus under the section titled “Principal and Selling Stockholders” of up to 58,464,567 shares of our common stock, including shares issuable upon the exercise of pre-funded warrants and warrants to purchase our common stock and/or pre-funded warrants.</w:t>
      </w:r>
    </w:p>
    <w:p>
      <w:pPr>
        <w:spacing w:after="0" w:line="176" w:lineRule="exact"/>
        <w:rPr>
          <w:sz w:val="24"/>
          <w:szCs w:val="24"/>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The selling stockholders identified herein may or their permitted transferees or other successors-in-interest may, but are not required to, from time to time offer or sell shares of our common stock. See the section titled “Plan of Distribution” for a description of how the selling stockholders may dispose of the shares covered by this prospectus. We do not know when or in what amount the selling stockholders may offer the shares for sale.</w:t>
      </w:r>
    </w:p>
    <w:p>
      <w:pPr>
        <w:spacing w:after="0" w:line="176" w:lineRule="exact"/>
        <w:rPr>
          <w:sz w:val="24"/>
          <w:szCs w:val="24"/>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We are not selling any shares of our common stock under this prospectus and we will not receive any proceeds from the sale of our common stock by the selling stockholders. We will receive proceeds from the cash exercise of the pre-funded warrants which, if exercised for cash with respect to all of the 8,816,684 shares of common stock underlying such warrants at the exercise price per share of $0.001, would result in gross proceeds to us of approximately $8,816. We will also receive proceeds from the cash exercise of certain warrants eligible for cash exercise which, if exercised for cash with respect to all of the 23,031,494 shares of common stock underlying such warrants at the exercise price of $6.35, would result in gross proceeds to us of approximately $146,249,987. We have agreed to pay certain expenses related to the registration of the offer and sale of the shares of common stock pursuant to the registration statement of which this prospectus forms a part. The selling stockholders will bear all commissions and discounts, if any, attributable to the sale of the shares.</w:t>
      </w:r>
    </w:p>
    <w:p>
      <w:pPr>
        <w:spacing w:after="0" w:line="192" w:lineRule="exact"/>
        <w:rPr>
          <w:sz w:val="24"/>
          <w:szCs w:val="24"/>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“LONA.” On April 1, 2026, the last reported closing sale price of our common stock on The Nasdaq Capital Market was $10.02 per share.</w:t>
      </w:r>
    </w:p>
    <w:p>
      <w:pPr>
        <w:spacing w:after="0" w:line="162" w:lineRule="exact"/>
        <w:rPr>
          <w:sz w:val="24"/>
          <w:szCs w:val="24"/>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under the federal securities laws, and, as such, have elected to comply with certain reduced public company reporting requirements for this prospectus and may elect to do so in future filings.</w:t>
      </w:r>
    </w:p>
    <w:p>
      <w:pPr>
        <w:spacing w:after="0" w:line="158" w:lineRule="exact"/>
        <w:rPr>
          <w:sz w:val="24"/>
          <w:szCs w:val="24"/>
          <w:color w:val="auto"/>
        </w:rPr>
      </w:pPr>
    </w:p>
    <w:p>
      <w:pPr>
        <w:ind w:right="20"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w:t>
      </w:r>
      <w:r>
        <w:rPr>
          <w:rFonts w:ascii="Times New Roman" w:cs="Times New Roman" w:eastAsia="Times New Roman" w:hAnsi="Times New Roman"/>
          <w:sz w:val="18"/>
          <w:szCs w:val="18"/>
          <w:b w:val="1"/>
          <w:bCs w:val="1"/>
          <w:color w:val="0000FF"/>
        </w:rPr>
        <w:t>Risk Factors</w:t>
      </w:r>
      <w:r>
        <w:rPr>
          <w:rFonts w:ascii="Times New Roman" w:cs="Times New Roman" w:eastAsia="Times New Roman" w:hAnsi="Times New Roman"/>
          <w:sz w:val="18"/>
          <w:szCs w:val="18"/>
          <w:b w:val="1"/>
          <w:bCs w:val="1"/>
          <w:color w:val="auto"/>
        </w:rPr>
        <w:t xml:space="preserve">” starting on page </w:t>
      </w:r>
      <w:r>
        <w:rPr>
          <w:rFonts w:ascii="Times New Roman" w:cs="Times New Roman" w:eastAsia="Times New Roman" w:hAnsi="Times New Roman"/>
          <w:sz w:val="18"/>
          <w:szCs w:val="18"/>
          <w:b w:val="1"/>
          <w:bCs w:val="1"/>
          <w:u w:val="single" w:color="auto"/>
          <w:color w:val="0000FF"/>
        </w:rPr>
        <w:t>6</w:t>
      </w:r>
      <w:r>
        <w:rPr>
          <w:rFonts w:ascii="Times New Roman" w:cs="Times New Roman" w:eastAsia="Times New Roman" w:hAnsi="Times New Roman"/>
          <w:sz w:val="18"/>
          <w:szCs w:val="18"/>
          <w:b w:val="1"/>
          <w:bCs w:val="1"/>
          <w:color w:val="auto"/>
        </w:rPr>
        <w:t xml:space="preserve"> of this prospectus, and under similar headings in the documents that are incorporated by reference into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478155</wp:posOffset>
            </wp:positionH>
            <wp:positionV relativeFrom="paragraph">
              <wp:posOffset>-177165</wp:posOffset>
            </wp:positionV>
            <wp:extent cx="618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490" cy="8890"/>
                    </a:xfrm>
                    <a:prstGeom prst="rect">
                      <a:avLst/>
                    </a:prstGeom>
                    <a:noFill/>
                  </pic:spPr>
                </pic:pic>
              </a:graphicData>
            </a:graphic>
          </wp:anchor>
        </w:drawing>
      </w:r>
    </w:p>
    <w:p>
      <w:pPr>
        <w:spacing w:after="0" w:line="151" w:lineRule="exact"/>
        <w:rPr>
          <w:sz w:val="24"/>
          <w:szCs w:val="24"/>
          <w:color w:val="auto"/>
        </w:rPr>
      </w:pPr>
    </w:p>
    <w:p>
      <w:pPr>
        <w:ind w:right="420"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1, 2026.</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4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22"/>
                <w:szCs w:val="22"/>
                <w:color w:val="0000FF"/>
              </w:rPr>
              <w:t>3</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6</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9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CAUTIONARY NOTES REGARDING FORWARD-LOOKING STATEMENTS</w:t>
            </w: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7</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6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4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9</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DIVIDEND POLICY</w:t>
            </w:r>
          </w:p>
        </w:tc>
        <w:tc>
          <w:tcPr>
            <w:tcW w:w="46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10</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11</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PRINCIPAL AND SELLING STOCKHOLDERS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12</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1800" w:type="dxa"/>
            <w:vAlign w:val="bottom"/>
            <w:gridSpan w:val="4"/>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20</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LEGAL MATTERS</w:t>
            </w:r>
          </w:p>
        </w:tc>
        <w:tc>
          <w:tcPr>
            <w:tcW w:w="2360" w:type="dxa"/>
            <w:vAlign w:val="bottom"/>
            <w:gridSpan w:val="7"/>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23</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3060" w:type="dxa"/>
            <w:vAlign w:val="bottom"/>
            <w:gridSpan w:val="9"/>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24</w:t>
            </w:r>
          </w:p>
        </w:tc>
      </w:tr>
      <w:tr>
        <w:trPr>
          <w:trHeight w:val="20"/>
        </w:trPr>
        <w:tc>
          <w:tcPr>
            <w:tcW w:w="40" w:type="dxa"/>
            <w:vAlign w:val="bottom"/>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8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25</w:t>
            </w:r>
          </w:p>
        </w:tc>
      </w:tr>
      <w:tr>
        <w:trPr>
          <w:trHeight w:val="20"/>
        </w:trPr>
        <w:tc>
          <w:tcPr>
            <w:tcW w:w="40" w:type="dxa"/>
            <w:vAlign w:val="bottom"/>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2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INCORPORATION OF CERTAIN INFORMATION BY REFERENCE</w:t>
            </w:r>
          </w:p>
        </w:tc>
        <w:tc>
          <w:tcPr>
            <w:tcW w:w="720" w:type="dxa"/>
            <w:vAlign w:val="bottom"/>
          </w:tcPr>
          <w:p>
            <w:pPr>
              <w:spacing w:after="0"/>
              <w:rPr>
                <w:sz w:val="20"/>
                <w:szCs w:val="20"/>
                <w:color w:val="auto"/>
              </w:rPr>
            </w:pPr>
          </w:p>
        </w:tc>
        <w:tc>
          <w:tcPr>
            <w:tcW w:w="524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2"/>
                <w:szCs w:val="22"/>
                <w:color w:val="0000FF"/>
              </w:rPr>
              <w:t>26</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contained in any free writing prospectus prepared by or on behalf of us or to which we have referred you. Neither we nor the selling stockholders have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accurate only as of its date regardless of the time of delivery of this prospectus or of any sale of securities. Our business, operating results and financial condition may have changed since that date.</w:t>
      </w:r>
    </w:p>
    <w:p>
      <w:pPr>
        <w:spacing w:after="0" w:line="187"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under the captions “Where You Can Find More Information” and “Incorporation of Certain Information by Reference” in this prospectus.</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stockholders have done anything that would permit this offering or possession or distribution of this prospectus in any jurisdiction where action for that purpose is required, other than in the United States. Persons who come into possession of this prospectus and any free writing prospectus related to this offering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943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94334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40" w:firstLine="33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together with, the more detailed information and financial statements and related notes thereto incorporated by reference into this prospectus. Before you decide to invest in our common stock, you should read the entire prospectus carefully, including the risk factors and the financial statements and related notes incorporated by reference into this prospectus. Unless the context requires otherwise, in this prospectus the terms “LeonaBio,” the “Company,” “we,” “us” and “our” refer to LeonaBio, Inc., a Delaware corporation, together with its subsidiaries, taken as a whole. This prospectus includes trademarks, service marks and trade names owned by us or other companies. All trademarks, service marks and trade names included in this prospectus are the property of their respective owners.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40" w:firstLine="333"/>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development of novel therapeutics for high unmet medical needs, including treatment-resistant metastatic breast cancer and amyotrophic lateral sclerosis (“ALS”),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aim to advance meaningful new therapies that are designed to treat patients with treatment-resistant metastatic breast cancer and ALS. Our other product candidates include ATH-1020 and new early compounds to address neurodegenerative diseases.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33"/>
        <w:spacing w:after="0" w:line="256" w:lineRule="auto"/>
        <w:rPr>
          <w:sz w:val="20"/>
          <w:szCs w:val="20"/>
          <w:color w:val="auto"/>
        </w:rPr>
      </w:pPr>
      <w:r>
        <w:rPr>
          <w:rFonts w:ascii="Times New Roman" w:cs="Times New Roman" w:eastAsia="Times New Roman" w:hAnsi="Times New Roman"/>
          <w:sz w:val="18"/>
          <w:szCs w:val="18"/>
          <w:color w:val="auto"/>
        </w:rPr>
        <w:t>We were incorporated in Washington as a corporation in March 2011 under the name M3 Biotechnology, Inc. In October 2015, we converted to a Delaware corporation and subsequently changed our name to “Athira Pharma, Inc.” In January 2026, we changed our name to “LeonaBio, Inc.” Our principal executive office is located at 18706 North Creek Parkway, Suite 104, Bothell Washington 98011. Our telephone number is (425) 620-8501. Our website is www.leonabio.com. Information contained in, or that can be accessed through, our website is not a part of, and is not incorporated into, this report, and the inclusion of our website address in this report is an inactive textual reference only.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229" w:lineRule="exact"/>
        <w:rPr>
          <w:sz w:val="20"/>
          <w:szCs w:val="20"/>
          <w:color w:val="auto"/>
        </w:rPr>
      </w:pPr>
    </w:p>
    <w:p>
      <w:pPr>
        <w:ind w:right="40" w:firstLine="333"/>
        <w:spacing w:after="0" w:line="256"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58,464,567 shares of our common stock, including shares issuable upon the exercise of pre-funded warrants and warrants to purchase our common stock and/or pre-funded warrants. Our common stock is listed on The Nasdaq Capital Market under the symbol “LONA.” We will not receive any proceeds from sales by the selling stockholders of any of the shares of common stock covered by this prospectus. We will receive proceeds from any cash exercise of pre-funded warrants or warrants to purchase the shares included in the shares that are being offered by the selling stockholders hereunder. See the section titled “Use of Proceeds.”</w:t>
      </w:r>
    </w:p>
    <w:p>
      <w:pPr>
        <w:spacing w:after="0" w:line="187" w:lineRule="exact"/>
        <w:rPr>
          <w:sz w:val="20"/>
          <w:szCs w:val="20"/>
          <w:color w:val="auto"/>
        </w:rPr>
      </w:pPr>
    </w:p>
    <w:p>
      <w:pPr>
        <w:ind w:right="160" w:firstLine="333"/>
        <w:spacing w:after="0" w:line="255" w:lineRule="auto"/>
        <w:rPr>
          <w:sz w:val="20"/>
          <w:szCs w:val="20"/>
          <w:color w:val="auto"/>
        </w:rPr>
      </w:pPr>
      <w:r>
        <w:rPr>
          <w:rFonts w:ascii="Times New Roman" w:cs="Times New Roman" w:eastAsia="Times New Roman" w:hAnsi="Times New Roman"/>
          <w:sz w:val="18"/>
          <w:szCs w:val="18"/>
          <w:color w:val="auto"/>
        </w:rPr>
        <w:t>Throughout this prospectus, when we refer to the shares of our common stock, the offer and sale of which are being registered on behalf of the selling stockholders, we are referring to the shares of common stock that have been issued to or are issuable upon the exercise of pre-funded warrants or warrants to the stockholders listed in the section titled “Principal and Selling Stockholders,” pursuant to the applicable securities purchase agreement described below. When we refer to the selling stockholders in this prospectus, we are referring to the investors in our December 2025 private placement (the “PIPE Purchasers”) and, as applicable, any donees, pledgees, transferees or other successors-in-interest selling shares received after the date of this prospectus from the PIPE Purchasers as a gift, pledge or other non-sale related transfer.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2025 Private Placement</w:t>
      </w:r>
    </w:p>
    <w:p>
      <w:pPr>
        <w:spacing w:after="0" w:line="229" w:lineRule="exact"/>
        <w:rPr>
          <w:sz w:val="20"/>
          <w:szCs w:val="20"/>
          <w:color w:val="auto"/>
        </w:rPr>
      </w:pPr>
    </w:p>
    <w:p>
      <w:pPr>
        <w:ind w:right="80" w:firstLine="333"/>
        <w:spacing w:after="0" w:line="266" w:lineRule="auto"/>
        <w:rPr>
          <w:sz w:val="20"/>
          <w:szCs w:val="20"/>
          <w:color w:val="auto"/>
        </w:rPr>
      </w:pPr>
      <w:r>
        <w:rPr>
          <w:rFonts w:ascii="Times New Roman" w:cs="Times New Roman" w:eastAsia="Times New Roman" w:hAnsi="Times New Roman"/>
          <w:sz w:val="18"/>
          <w:szCs w:val="18"/>
          <w:color w:val="auto"/>
        </w:rPr>
        <w:t>On December 18, 2025, we entered into a securities purchase agreement (the “PIPE SPA”) for a private placement with the PIPE Purchasers, one of which is affiliated with a member of our board of directors. Pursuant to such agreement, the PIPE Purchasers received an aggregate of (1) 5,356,547 shares of our common stock (the “PIPE Initial</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481330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120" w:top="1440" w:right="819" w:bottom="1440" w:gutter="0" w:footer="0" w:header="0"/>
        </w:sectPr>
      </w:pPr>
    </w:p>
    <w:bookmarkStart w:id="3" w:name="page4"/>
    <w:bookmarkEnd w:id="3"/>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669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669020"/>
                    </a:xfrm>
                    <a:prstGeom prst="rect">
                      <a:avLst/>
                    </a:prstGeom>
                    <a:noFill/>
                  </pic:spPr>
                </pic:pic>
              </a:graphicData>
            </a:graphic>
          </wp:anchor>
        </w:drawing>
      </w:r>
    </w:p>
    <w:p>
      <w:pPr>
        <w:ind w:right="100"/>
        <w:spacing w:after="0" w:line="255" w:lineRule="auto"/>
        <w:rPr>
          <w:sz w:val="20"/>
          <w:szCs w:val="20"/>
          <w:color w:val="auto"/>
        </w:rPr>
      </w:pPr>
      <w:r>
        <w:rPr>
          <w:rFonts w:ascii="Times New Roman" w:cs="Times New Roman" w:eastAsia="Times New Roman" w:hAnsi="Times New Roman"/>
          <w:sz w:val="18"/>
          <w:szCs w:val="18"/>
          <w:color w:val="auto"/>
        </w:rPr>
        <w:t>Shares”), (2) pre-funded warrants to purchase 8,816,684 shares of our common stock (the “PIPE Pre-Funded Warrants”), (3) warrants to purchase 23,031,494 shares of our common stock and/or pre-funded warrants (the “PIPE Series A Common Warrants”) and (4) warrants to purchase 21,259,842 shares of our common stock and/or pre-funded warrants (the “PIPE Series B Common Warrants” and, together with the PIPE Pre-Funded Warrants and the PIPE Series A Common Warrants, the “PIPE Warrants”). The purchase price for each PIPE Initial Share was $6.350 and the purchase price for each PIPE Pre-Funded Warrant was $6.349, for an aggregate purchase price of approximately $90 million. The closing of the purchase and sale of the PIPE Initial Shares and the PIPE Warrants occurred on December 23, 2025.</w:t>
      </w:r>
    </w:p>
    <w:p>
      <w:pPr>
        <w:spacing w:after="0" w:line="189" w:lineRule="exact"/>
        <w:rPr>
          <w:sz w:val="20"/>
          <w:szCs w:val="20"/>
          <w:color w:val="auto"/>
        </w:rPr>
      </w:pPr>
    </w:p>
    <w:p>
      <w:pPr>
        <w:ind w:firstLine="333"/>
        <w:spacing w:after="0" w:line="252" w:lineRule="auto"/>
        <w:rPr>
          <w:sz w:val="20"/>
          <w:szCs w:val="20"/>
          <w:color w:val="auto"/>
        </w:rPr>
      </w:pPr>
      <w:r>
        <w:rPr>
          <w:rFonts w:ascii="Times New Roman" w:cs="Times New Roman" w:eastAsia="Times New Roman" w:hAnsi="Times New Roman"/>
          <w:sz w:val="18"/>
          <w:szCs w:val="18"/>
          <w:color w:val="auto"/>
        </w:rPr>
        <w:t>The PIPE Pre-Funded Warrants are immediately exercisable at an exercise price of $0.001 per share, subject to adjustments as provided therein and the restrictions discussed below. The PIPE Series A Common Warrants are exercisable at an exercise price of $6.35 per share, subject to adjustments as provided therein and the restrictions discussed below, after the earlier of (1) the latest of (a) June 30, 2026, (b) the date on which the Company publicly announces, 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and (c) the date on which the FDA approves or issues a complete response letter to Eli Lilly &amp; Co.’s marketing application, including a supplement to a new drug application, for imlunestrant in combination with abemaciclib in breast cancer, and (2) October 31, 2026 (the “PIPE Series A Common Warrant Initial Exercise Date” and such exercise limitation, the “PIPE Series A Common Warrant Exercise Limitation”). The PIPE Series A Common Warrants will remain exercisable until the 30th day following the PIPE Series A Common Warrant Initial Exercise Date (the “PIPE Series A Common Warrant Termination Date”), except that if the PIPE Series A Common Warrant Initial Exercise Date has not occurred by December 23, 2030, then December 23, 2030 will be the PIPE Series A Common Warrant Termination Date. The PIPE Series B Common Warrants are exercisable at an exercise price of $7.62 per share payable on a cashless net exercise basis, subject to adjustments as provided therein and the restrictions discussed below, after the later of (1) June 30, 2026 and (2) the date of the completion of the public readout of topline results of the ELAINE-3 Trial (the later of (1) and (2), the “PIPE Series B Common Warrant Initial Exercise Date” and such exercise limitation, the “PIPE Series B Common Warrant Exercise Limitation”). The PIPE Series B Common Warrants will remain exercisable until the 30th day following the PIPE Series B Common Warrant Initial Exercise Date (the “PIPE Series B Common Warrant Termination Date”), except that if the PIPE Series B Common Warrant Initial Exercise Date has not occurred by December 23, 2030, then December 23, 2030 will be the PIPE Series B Common Warrant Termination Date.</w:t>
      </w:r>
    </w:p>
    <w:p>
      <w:pPr>
        <w:spacing w:after="0" w:line="189" w:lineRule="exact"/>
        <w:rPr>
          <w:sz w:val="20"/>
          <w:szCs w:val="20"/>
          <w:color w:val="auto"/>
        </w:rPr>
      </w:pPr>
    </w:p>
    <w:p>
      <w:pPr>
        <w:ind w:right="40" w:firstLine="333"/>
        <w:spacing w:after="0" w:line="252" w:lineRule="auto"/>
        <w:rPr>
          <w:sz w:val="20"/>
          <w:szCs w:val="20"/>
          <w:color w:val="auto"/>
        </w:rPr>
      </w:pPr>
      <w:r>
        <w:rPr>
          <w:rFonts w:ascii="Times New Roman" w:cs="Times New Roman" w:eastAsia="Times New Roman" w:hAnsi="Times New Roman"/>
          <w:sz w:val="18"/>
          <w:szCs w:val="18"/>
          <w:color w:val="auto"/>
        </w:rPr>
        <w:t>None of the PIPE Pre-Funded Warrants, the PIPE Series A Common Warrants or the PIPE Series B Common Warrants can be exercised if, immediately prior to or following such exercise, the applicable PIPE Purchaser, together with its affiliates and any other persons whose beneficial ownership of shares of our common stock would be aggregated with the PIPE Purchaser for purposes of Section 13(d) of the Securities Exchange Act of 1934, as amended (the “Exchange Act”), would beneficially own more than 4.99%, 9.99% or 19.99%, at the election of the PIPE Purchaser (in each case, the “PIPE Maximum Percentage”) of the total number of issued and outstanding shares of our common stock following such exercise. If, upon exercise of the PIPE Series A Common Warrants or PIPE Series B Common Warrants, a PIPE Purchaser would exceed a PIPE Purchaser’s respective PIPE Maximum Percentage, then the PIPE Series A Common Warrants and PIPE Series B Common Warrants may be exercised for pre-funded warrants to purchase shares of our common stock, which pre-funded warrants will have terms substantially the same as the PIPE Pre-Funded Warrants. A PIPE Purchaser’s respective PIPE Maximum Percentage may be increased or decreased by a PIPE Purchaser with 61 days’ written notice to us; provided, however, that such percentage may in no event exceed (1) 19.99% prior to a vote of our stockholders approving the removal of such exercise limitation, which vote was obtained with respect to Perceptive Life Sciences Master Fund, Ltd. and Perceptive Xontogeny Venture Fund II, LP (collectively, the “Perceptive Entities”) at a special meeting held on March 18, 2026 or (2) with respect to certain PIPE Purchasers, 4.99%.</w:t>
      </w:r>
    </w:p>
    <w:p>
      <w:pPr>
        <w:spacing w:after="0" w:line="197" w:lineRule="exact"/>
        <w:rPr>
          <w:sz w:val="20"/>
          <w:szCs w:val="20"/>
          <w:color w:val="auto"/>
        </w:rPr>
      </w:pPr>
    </w:p>
    <w:p>
      <w:pPr>
        <w:ind w:right="140" w:firstLine="555"/>
        <w:spacing w:after="0" w:line="282" w:lineRule="auto"/>
        <w:rPr>
          <w:sz w:val="20"/>
          <w:szCs w:val="20"/>
          <w:color w:val="auto"/>
        </w:rPr>
      </w:pPr>
      <w:r>
        <w:rPr>
          <w:rFonts w:ascii="Times New Roman" w:cs="Times New Roman" w:eastAsia="Times New Roman" w:hAnsi="Times New Roman"/>
          <w:sz w:val="18"/>
          <w:szCs w:val="18"/>
          <w:color w:val="auto"/>
        </w:rPr>
        <w:t>We also entered into a registration rights agreement with the PIPE Purchasers requiring us to register the resale of the Shares and the shares issuable upon exercise of the PIPE Warrants.</w:t>
      </w:r>
    </w:p>
    <w:p>
      <w:pPr>
        <w:spacing w:after="0" w:line="162" w:lineRule="exact"/>
        <w:rPr>
          <w:sz w:val="20"/>
          <w:szCs w:val="20"/>
          <w:color w:val="auto"/>
        </w:rPr>
      </w:pPr>
    </w:p>
    <w:p>
      <w:pPr>
        <w:ind w:right="40" w:firstLine="333"/>
        <w:spacing w:after="0" w:line="282" w:lineRule="auto"/>
        <w:rPr>
          <w:sz w:val="20"/>
          <w:szCs w:val="20"/>
          <w:color w:val="auto"/>
        </w:rPr>
      </w:pPr>
      <w:r>
        <w:rPr>
          <w:rFonts w:ascii="Times New Roman" w:cs="Times New Roman" w:eastAsia="Times New Roman" w:hAnsi="Times New Roman"/>
          <w:sz w:val="18"/>
          <w:szCs w:val="18"/>
          <w:color w:val="auto"/>
        </w:rPr>
        <w:t>Pursuant to the terms of the PIPE SPA, for so long as funds affiliated with each of Commodore Capital LP (“Commodore”) and TCG Crossover Management LLC (“TGCX”), respectively, beneficially own 5% or more in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481330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120" w:top="1440" w:right="799" w:bottom="1440" w:gutter="0" w:footer="0" w:header="0"/>
        </w:sectPr>
      </w:pPr>
    </w:p>
    <w:bookmarkStart w:id="4" w:name="page5"/>
    <w:bookmarkEnd w:id="4"/>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319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3319780"/>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color w:val="auto"/>
        </w:rPr>
        <w:t>aggregate of the issued and outstanding common stock of the Company (including any shares of common stock issuable upon the exercise of any outstanding PIPE Warrants whose initial exercise date has occurred, without otherwise giving effect to any limitations on exercise of the PIPE Warrants), each of Commodore and TCGX will be entitled to designate one member of our board of directors, and the Company will take all actions reasonably necessary to have such designee promptly appointed to the board, including, but not limited to, increasing the size of the board to accommodate the appointment of such designee, subject to specified conditions. In addition, the Company has agreed to use its reasonable best efforts to cause the resignation of two (2) current members of the board by the six (6) month anniversary of December 23, 2025.</w:t>
      </w:r>
    </w:p>
    <w:p>
      <w:pPr>
        <w:spacing w:after="0" w:line="189" w:lineRule="exact"/>
        <w:rPr>
          <w:sz w:val="20"/>
          <w:szCs w:val="20"/>
          <w:color w:val="auto"/>
        </w:rPr>
      </w:pPr>
    </w:p>
    <w:p>
      <w:pPr>
        <w:ind w:right="460" w:firstLine="333"/>
        <w:spacing w:after="0" w:line="282"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titled “Plan of Distribution.”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481330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120" w:top="1440" w:right="8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1" w:lineRule="exact"/>
        <w:rPr>
          <w:sz w:val="20"/>
          <w:szCs w:val="20"/>
          <w:color w:val="auto"/>
        </w:rPr>
      </w:pPr>
    </w:p>
    <w:p>
      <w:pPr>
        <w:ind w:firstLine="374"/>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 investment in our securities involves a high degree of risk. Before you invest you should carefully consider the risks and uncertainties described in “Part I. Item 1A - Risk Factors” in our </w:t>
      </w:r>
      <w:hyperlink r:id="rId19">
        <w:r>
          <w:rPr>
            <w:rFonts w:ascii="Times New Roman" w:cs="Times New Roman" w:eastAsia="Times New Roman" w:hAnsi="Times New Roman"/>
            <w:sz w:val="18"/>
            <w:szCs w:val="18"/>
            <w:i w:val="1"/>
            <w:iCs w:val="1"/>
            <w:u w:val="single" w:color="auto"/>
            <w:color w:val="0000FF"/>
          </w:rPr>
          <w:t>Annual Report on Form 10-K</w:t>
        </w:r>
      </w:hyperlink>
      <w:r>
        <w:rPr>
          <w:rFonts w:ascii="Times New Roman" w:cs="Times New Roman" w:eastAsia="Times New Roman" w:hAnsi="Times New Roman"/>
          <w:sz w:val="18"/>
          <w:szCs w:val="18"/>
          <w:i w:val="1"/>
          <w:iCs w:val="1"/>
          <w:color w:val="auto"/>
        </w:rPr>
        <w:t>, filed with the SEC on March 31, 2026, which are incorporated by reference in this prospectus, together with all of the other information contained in this prospectus and the documents incorporated by reference herein. If any of these risks actually occur, our business, operating results and financial condition could be materially and adversely impacted, the market price of our common stock could decline and you could lose all or part of your investment. Additional risks and uncertainties not presently known or which we consider immaterial as of the date hereof may also have an adverse effect on our business. The Risk Factors are not guarantees that no such conditions exist as of the date of this prospectus and should not be interpreted as an affirmative statement that such risks or conditions have not materialized, in whole or in part.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NOTES REGARDING FORWARD-LOOKING STATEMENTS</w:t>
      </w:r>
    </w:p>
    <w:p>
      <w:pPr>
        <w:spacing w:after="0" w:line="31"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contain certain forward-looking statements within the meaning of Section 27A of the Securities Act of 1933, as amended (the “Securities Act”) and Section 21E of the Exchange Act. Forward-looking statements are based on Company management’s beliefs and assumptions and on information currently available to management. The statements in this prospectus and the information incorporated by reference in this prospectus that are not purely historical are forward-looking statements. In some cases, you can identify forward-looking statements by such words as “anticipate,” “believe,” “continue,” “could,” “estimate,” “expect,” “intend,” “may,” “ongoing,” “plan,” “possible,” “potential,” “predict,” “on track,” “project,” “should,” “target,” “will,” “would” or the negative of these terms or words of similar import,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and are based on current expectations that involve risks and uncertainties, such as our plans, projections, objectives, expectations and intentions. These forward-looking statements include, but are not limited to, statements about:</w:t>
      </w:r>
    </w:p>
    <w:p>
      <w:pPr>
        <w:spacing w:after="0" w:line="192"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investments to fund our future operating expenses and capital expenditure requirements</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9" w:lineRule="exact"/>
        <w:rPr>
          <w:rFonts w:ascii="Times New Roman" w:cs="Times New Roman" w:eastAsia="Times New Roman" w:hAnsi="Times New Roman"/>
          <w:sz w:val="18"/>
          <w:szCs w:val="18"/>
          <w:color w:val="auto"/>
        </w:rPr>
      </w:pPr>
    </w:p>
    <w:p>
      <w:pPr>
        <w:ind w:left="760" w:right="42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and commercialize our drug candidates and funding necessary for the payment of future milestone and other payments that may be earned by our collaboration partners;</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nonclinical studies and clinical trials to demonstrate safety and efficacy of our drug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development activities, nonclinical studies and clinical trials;</w:t>
      </w:r>
    </w:p>
    <w:p>
      <w:pPr>
        <w:spacing w:after="0" w:line="9" w:lineRule="exact"/>
        <w:rPr>
          <w:rFonts w:ascii="Times New Roman" w:cs="Times New Roman" w:eastAsia="Times New Roman" w:hAnsi="Times New Roman"/>
          <w:sz w:val="18"/>
          <w:szCs w:val="18"/>
          <w:color w:val="auto"/>
        </w:rPr>
      </w:pPr>
    </w:p>
    <w:p>
      <w:pPr>
        <w:ind w:left="760" w:right="18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to complete the Phase 3 ELAINE-3 clinical trial for lasofoxifene and any subsequent clinical trials to show the clinical benefits of lasofoxifene;</w:t>
      </w:r>
    </w:p>
    <w:p>
      <w:pPr>
        <w:ind w:left="760" w:right="18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Phase 2 ATH-1105 clinical trial and any subsequent clinical trials to show the beneficial characteristics, safety and efficacy of ATH-1105;</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learnings from our ongoing clinical trials and their ability to inform and improve future clinical development plans;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our future clinical trials, and the reporting of data from those trials;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milestone timelines, such as the timing of data releases, and our ability to meet such timelines;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drug candidates, if approved;</w:t>
      </w:r>
    </w:p>
    <w:p>
      <w:pPr>
        <w:spacing w:after="0" w:line="9" w:lineRule="exact"/>
        <w:rPr>
          <w:rFonts w:ascii="Times New Roman" w:cs="Times New Roman" w:eastAsia="Times New Roman" w:hAnsi="Times New Roman"/>
          <w:sz w:val="18"/>
          <w:szCs w:val="18"/>
          <w:color w:val="auto"/>
        </w:rPr>
      </w:pPr>
    </w:p>
    <w:p>
      <w:pPr>
        <w:ind w:left="760" w:right="48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drug candidates for which we obtain approval;</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managerial, scientific and clinical personnel and the expected contributions of such personnel;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lasofoxifene to be a new standard of care in the genetically defined patient group;</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candidates, if approved;</w:t>
      </w:r>
    </w:p>
    <w:p>
      <w:pPr>
        <w:spacing w:after="0" w:line="9" w:lineRule="exact"/>
        <w:rPr>
          <w:rFonts w:ascii="Times New Roman" w:cs="Times New Roman" w:eastAsia="Times New Roman" w:hAnsi="Times New Roman"/>
          <w:sz w:val="18"/>
          <w:szCs w:val="18"/>
          <w:color w:val="auto"/>
        </w:rPr>
      </w:pPr>
    </w:p>
    <w:p>
      <w:pPr>
        <w:ind w:left="760" w:right="48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drug candidates, and for the manufacture of our drug candidates for nonclinical studies and clinical trials;</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and efficacy of our drug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jurisdictions;</w:t>
      </w:r>
    </w:p>
    <w:p>
      <w:pPr>
        <w:spacing w:after="0" w:line="9" w:lineRule="exact"/>
        <w:rPr>
          <w:rFonts w:ascii="Times New Roman" w:cs="Times New Roman" w:eastAsia="Times New Roman" w:hAnsi="Times New Roman"/>
          <w:sz w:val="18"/>
          <w:szCs w:val="18"/>
          <w:color w:val="auto"/>
        </w:rPr>
      </w:pPr>
    </w:p>
    <w:p>
      <w:pPr>
        <w:ind w:left="760" w:right="66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drug candidates in the United States and other jurisdictions, and any related restrictions, limitations or warnings in the label of any approved drug candidate;</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drug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ind w:left="760" w:right="8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capacity and capability relating to the further development and manufacturing of our drug candidates, including additional indications for which we may pursue regulatory approval;</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which may in the future be instituted against us and certain of our directors and officers;</w:t>
      </w:r>
    </w:p>
    <w:p>
      <w:pPr>
        <w:spacing w:after="0" w:line="9" w:lineRule="exact"/>
        <w:rPr>
          <w:rFonts w:ascii="Times New Roman" w:cs="Times New Roman" w:eastAsia="Times New Roman" w:hAnsi="Times New Roman"/>
          <w:sz w:val="18"/>
          <w:szCs w:val="18"/>
          <w:color w:val="auto"/>
        </w:rPr>
      </w:pPr>
    </w:p>
    <w:p>
      <w:pPr>
        <w:ind w:left="760" w:right="46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activist stockholders, which have in the past been, and may in the future be, disruptive and could cause uncertainty about the strategic direction of our business;</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drug candidates, if approved for commercial use, and our ability to serve those markets;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strategic collaborations, partnerships, or other transactions we may enter into.</w:t>
      </w:r>
    </w:p>
    <w:p>
      <w:pPr>
        <w:spacing w:after="0" w:line="207" w:lineRule="exact"/>
        <w:rPr>
          <w:sz w:val="20"/>
          <w:szCs w:val="20"/>
          <w:color w:val="auto"/>
        </w:rPr>
      </w:pPr>
    </w:p>
    <w:p>
      <w:pPr>
        <w:ind w:right="40" w:firstLine="37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the Risk Factors and elsewhere in “Part I. Item 1A - Risk Factors” in our </w:t>
      </w:r>
      <w:hyperlink r:id="rId19">
        <w:r>
          <w:rPr>
            <w:rFonts w:ascii="Times New Roman" w:cs="Times New Roman" w:eastAsia="Times New Roman" w:hAnsi="Times New Roman"/>
            <w:sz w:val="18"/>
            <w:szCs w:val="18"/>
            <w:u w:val="single" w:color="auto"/>
            <w:color w:val="0000FF"/>
          </w:rPr>
          <w:t>Annual Report on Form 10-K</w:t>
        </w:r>
      </w:hyperlink>
      <w:r>
        <w:rPr>
          <w:rFonts w:ascii="Times New Roman" w:cs="Times New Roman" w:eastAsia="Times New Roman" w:hAnsi="Times New Roman"/>
          <w:sz w:val="18"/>
          <w:szCs w:val="18"/>
          <w:color w:val="auto"/>
        </w:rPr>
        <w:t>, filed with the SEC on March 31, 2026. These statements, like all statements in this report, speak only as of their date and we undertake no obligation to update or revise these statements in light of future developments. Our ability to advance the development of our product candidates is subject to risks and uncertainties, including: (1) unexpected costs, charges or expenses resulting from any transactions; (2) potential adverse reactions or changes to business relationships resulting from the announcement or completion of any transactions; and (3) risks associated with the possible failure to realize certain anticipated benefits of any transactions, including with respect to future financial and operating results. The Risk Factors are not guarantees that no such conditions exist as of the date of this prospectus and should not be interpreted as an affirmative statement that such risks or conditions have not materialized, in whole or in part.</w:t>
      </w:r>
    </w:p>
    <w:p>
      <w:pPr>
        <w:spacing w:after="0" w:line="188"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our securities by the selling stockholders.</w:t>
      </w:r>
    </w:p>
    <w:p>
      <w:pPr>
        <w:spacing w:after="0" w:line="22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will receive proceeds from the cash exercise of the pre-funded warrants which, if exercised for cash with respect to all of the 8,816,684 shares of common stock underlying such pre-funded warrants at the exercise price per share of $0.001, would result in gross proceeds to us of approximately $8,816. There can be no assurance that any of the pre-funded warrants will be exercised by the selling stockholders or that they will exercise the pre-funded warrants for cash instead of using the cashless exercise feature. We will also receive proceeds from the cash exercise of certain warrants eligible for cash exercise which, if exercised for cash with respect to all of the 23,031,494 shares of common stock underlying such warrants at the exercise price of $6.35, would result in gross proceeds to us of approximately $146,249,987.</w:t>
      </w:r>
    </w:p>
    <w:p>
      <w:pPr>
        <w:spacing w:after="0" w:line="187"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if any, from the cash exercise of the pre-funded warrants and the warrants for working capital purposes and to advance lasofoxifene and the drug candidates in our existing pipeline.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our credit facility materially restricts, and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current or then-existing debt instruments and other factors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0" w:name="page11"/>
    <w:bookmarkEnd w:id="1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31" w:lineRule="exact"/>
        <w:rPr>
          <w:sz w:val="20"/>
          <w:szCs w:val="20"/>
          <w:color w:val="auto"/>
        </w:rPr>
      </w:pPr>
    </w:p>
    <w:p>
      <w:pPr>
        <w:ind w:right="620" w:firstLine="37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is incorporated by reference to </w:t>
      </w:r>
      <w:hyperlink r:id="rId25">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fiscal year ended December 31, 2025, filed with the SEC on March 31, 2026.</w:t>
      </w:r>
    </w:p>
    <w:p>
      <w:pPr>
        <w:spacing w:after="0" w:line="18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As of March 16, 2026, there were 9,393,514 shares of our common stock issued and outstanding and there were 38 holders of record of our common stock. As of March 16, 2026, there were no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11" w:name="page12"/>
    <w:bookmarkEnd w:id="11"/>
    <w:p>
      <w:pPr>
        <w:ind w:left="3700"/>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16, 2026 for:</w:t>
      </w:r>
    </w:p>
    <w:p>
      <w:pPr>
        <w:spacing w:after="0" w:line="20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we know beneficially owns more than 5% of our common stock;</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percentage of beneficial ownership shown in the table is based upon 9,393,514 shares of common stock outstanding as of March 16, 2026.</w:t>
      </w:r>
    </w:p>
    <w:p>
      <w:pPr>
        <w:spacing w:after="0" w:line="225"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6"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color w:val="auto"/>
        </w:rPr>
        <w:t>In computing the number of shares beneficially owned by a person and the percentage ownership of that person, we take into account shares of common stock issuable pursuant to stock options, warrants and restricted stock units that may be exercised or that are scheduled to vest on or before the 60th day after March 16, 2026. These shares are deemed to be outstanding and beneficially owned by the person holding those options, warrants or restricted stock units for the purpose of computing the percentage ownership of that person, but they are not treated as outstanding for the purpose of computing the percentage ownership of any other person.</w:t>
      </w:r>
    </w:p>
    <w:p>
      <w:pPr>
        <w:spacing w:after="0" w:line="183"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listed in the table is c/o LeonaBio, Inc., 18706 North Creek Parkway, Suite 104, Bothell, Washington 98011.</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187"/>
        </w:trPr>
        <w:tc>
          <w:tcPr>
            <w:tcW w:w="8700" w:type="dxa"/>
            <w:vAlign w:val="bottom"/>
          </w:tcPr>
          <w:p>
            <w:pPr>
              <w:spacing w:after="0"/>
              <w:rPr>
                <w:sz w:val="16"/>
                <w:szCs w:val="16"/>
                <w:color w:val="auto"/>
              </w:rPr>
            </w:pPr>
          </w:p>
        </w:tc>
        <w:tc>
          <w:tcPr>
            <w:tcW w:w="10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87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15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 and greater stockholders:</w:t>
            </w: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Anders Hove (1)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596,068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8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Perceptive Entities (2)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1,882,370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Named executive officers and directors: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8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 Litton (3)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244,445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 Worthington (4)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Javier San Martin (5)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Joseph Edelman (6)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1,882,370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16"/>
        </w:trPr>
        <w:tc>
          <w:tcPr>
            <w:tcW w:w="8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John M. Fluke, Jr. (7)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James A. Johnson (8)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Barbara Kosacz (9)</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Kelly A. Romano (10)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Pickering (11)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Michael Panzara (12)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(12 persons)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2,473,404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180"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beneficial ownership of less than 1% of our outstanding common stock.</w:t>
      </w:r>
    </w:p>
    <w:p>
      <w:pPr>
        <w:spacing w:after="0" w:line="117" w:lineRule="exact"/>
        <w:rPr>
          <w:rFonts w:ascii="Times New Roman" w:cs="Times New Roman" w:eastAsia="Times New Roman" w:hAnsi="Times New Roman"/>
          <w:sz w:val="16"/>
          <w:szCs w:val="16"/>
          <w:color w:val="auto"/>
        </w:rPr>
      </w:pPr>
    </w:p>
    <w:p>
      <w:pPr>
        <w:jc w:val="both"/>
        <w:ind w:left="760" w:hanging="378"/>
        <w:spacing w:after="0" w:line="254"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with the Securities and Exchange Commission on January 8, 2026. Consists of (i) 250,348 shares of common stock which Acorn Bioventures, L.P. and Acorn Capital Advisors GP, LLC may be deemed to beneficially own and (ii) 345,720 shares of common stock which Acorn Bioventures 2, L.P. and Acorn Capital Advisors GP 2, LLC may be deemed to beneficially own.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Mr. Hove, in his capacity as Manager of each of Acorn Capital Advisors GP, LLC and Acorn Capital Advisors GP 2, LLC, may be deemed to beneficially own the shares beneficially owned by each of Acorn Capital Advisors GP, LLC and Acorn Capital Advisors GP 2, LLC. The business address of Acorn Bioventures, L.P. and Acorn Bioventures 2, L.P. is 420 Lexington Avenue, Suite 2626, New York, New York 10170.</w:t>
      </w:r>
    </w:p>
    <w:p>
      <w:pPr>
        <w:spacing w:after="0" w:line="80"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13D/A filed with the Securities and Exchange Commission on January 16, 2026. Consists of (i) 1,529,566 shares of common stock and 18,960 shares of common stock issuable upon the partial exercise of a pre-funded warrant that is exercisable within 60 days of March 16, 2026 held directly by Perceptive Life Sciences Master Fund, Ltd. (“Master Fund”), and (ii) 329,756 shares of common stock and 4,088 shares of common stock issuable upon the partial exercise of a pre-funded warrant that is exercisable within 60 days of March 16, 2026 held directly by Perceptive Xontogeny Venture Fund II, LP (“PXV II” and, together with Master Fund, “Perceptive Entities”). Perceptive Advisors LLC (“Perceptive Advisors”) is the investment advisor of Perceptive Life Sciences Master Fund Ltd (“Perceptive Master Fund”) and may be deemed to have beneficial ownership of the shares beneficially owned thereby. Perceptive Venture Advisors, LP (“Perceptive Venture”) is the investment manager to Perceptive Xontogeny Venture Fund II, LP (“PXV II”), and accordingly, may be deemed to beneficially own the securities directly held by PXV II. Joseph Edelman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spacing w:after="0" w:line="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57,926 shares held of record by Dr. Litton, 656 shares held by Irrevocable Trust of OSL, 656 shares held by Irrevocable Trust of SWL, and 656 shares held by Irrevocable Trust of WGL, each irrevocable trust is for the benefit of Dr. Litton’s children, and options to purchase 184,551 shares that are exercisable within 60 days of March 16, 2026.</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18,376 shares held by Mr. Worthington and options to purchase 70,883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15,887 shares held by Dr. San Martin and options to purchase 38,089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referenced in footnote (2) above and excludes 9,728 shares issuable upon the exercise of options held by Mr. Edelman, which are not exercisable within 60 days of March 16, 2026. Joseph Edelman is the managing member of Perceptive Advisors LLC and he may be deemed to beneficially own the shares held by Perceptive. Mr. Edelman disclaims beneficial ownership of all such securities except to the extent of its or his pecuniary interest therein.</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373 shares held of record by Fluke Capital Management, L.P., 14,488 shares held by Mr. Fluke, and options to purchase 9,728 shares that are exercisable within 60 days of March 16, 2026</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 shares held by Mr. Johnson and options to purchase 9,728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held by Ms. Kosacz to purchase 8,341 shares that are exercisable within 60 days of March 16,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left="800" w:hanging="4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8,071 shares held by Ms. Romano and options to purchase 8,341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ind w:left="800" w:hanging="4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2,578 shares held by Mr. Pickering and options to purchase 7,300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ind w:left="800" w:hanging="4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held by Dr. Panzara to purchase 7,185 shares that are exercisable within 60 days of March 16, 2026.</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82" w:lineRule="auto"/>
        <w:tabs>
          <w:tab w:leader="none" w:pos="8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2,020,518 shares held by our current directors and executive officers as a group, pre-funded warrants to purchase 23,048 shares that are exercisable within 60 days of March 16, 2026, and options to purchase 429,838 shares that are exercisable within 60 days of March 16, 2026.</w:t>
      </w:r>
    </w:p>
    <w:p>
      <w:pPr>
        <w:spacing w:after="0" w:line="27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have included in this prospectus and related registration statement 58,464,567 shares of our common stock, including shares issuable upon the exercise of pre-funded warrants and warrants to purchase our common stock and/or pre-funded warrants issued in our December 2025 private placement to the selling stockholders. The term “selling stockholder” includes the stockholders listed below and their transferees, pledges, donees or other successors in interest selling shares received after the date of this prospectus from a selling stockholder as a permitted transfer. Information concerning the selling stockholders may change after the date of this prospectus and changed information will be presented in a supplement to this prospectus if and when required.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certain information with respect to each selling stockholder, including (1) the name and address of each selling stockholder;</w:t>
      </w:r>
    </w:p>
    <w:p>
      <w:pPr>
        <w:spacing w:after="0" w:line="27" w:lineRule="exact"/>
        <w:rPr>
          <w:sz w:val="20"/>
          <w:szCs w:val="20"/>
          <w:color w:val="auto"/>
        </w:rPr>
      </w:pPr>
    </w:p>
    <w:p>
      <w:pPr>
        <w:ind w:right="320"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beneficially owned by each selling stockholder prior to this offering; (3) the maximum number of shares being offered by each selling stockholder pursuant to this prospectus; and (4) each selling stockholder’s beneficial ownership after completion of this offering, assuming that all of the shares covered hereby (but no other shares, if any, held by the selling stockholders) are sold.</w:t>
      </w:r>
    </w:p>
    <w:p>
      <w:pPr>
        <w:spacing w:after="0" w:line="18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table is based on information supplied to us by the selling stockholders, with beneficial ownership and percentage ownership determined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rules and regulations of the SEC, and includes information with respect to voting or investment power with respect to shares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information does not necessarily indicate beneficial ownership for any other purpose.</w:t>
      </w:r>
    </w:p>
    <w:p>
      <w:pPr>
        <w:spacing w:after="0" w:line="207"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percentage of each selling stockholder’s ownership is based on 9,393,514 shares of common stock outstanding as of March 16, 2026. In computing the number of shares beneficially owned by a selling stockholder and the percentage ownership of that selling stockholder before this offering, shares of common stock underlying the warrants and pre-funded warrants held by that selling stockholder are deemed outstanding, as well as any other derivative securities that are exercisable as of March 16, 2026, or exercisable within 60 days thereafter. Such shares, however, are not deemed outstanding for the purposes of computing the percentage ownership of any other person. The percentage of beneficial ownership after this offering is based on shares outstanding on March 16, 2026, which includes the shares of our common stock registered for sale in this offering.</w:t>
      </w:r>
    </w:p>
    <w:p>
      <w:pPr>
        <w:spacing w:after="0" w:line="187"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registration of the sale of shares of common stock held by and issuable to the selling stockholders upon exercise of the warrants and pre-funded warrants does not mean that the selling stockholders will sell or otherwise dispose of all or any of those securities. The selling stockholders may sell or otherwise dispose of all, a portion or none of such shares from time to time. We do not know the number of shares, if any, that will be offered for sale or other disposition by any of the selling stockholders under this prospectus. Furthermore, the selling stockholders may have sold, transferred or disposed of the shares of common stock covered hereby in transactions exempt from the registration requirements of the Securities Act since the date on which we filed this prospectus.</w:t>
      </w:r>
    </w:p>
    <w:p>
      <w:pPr>
        <w:spacing w:after="0" w:line="187"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None of the selling stockholders has, or within the past three years has had, any position, office or other material relationship with us or any of our predecessors or affiliates. None of the selling stockholders is a broker-dealer or an affiliate of a broker-dealer, except as noted below. We have prepared the table below based on information given to us by, or on behalf of,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2"/>
          </w:tcPr>
          <w:p>
            <w:pPr>
              <w:jc w:val="right"/>
              <w:ind w:right="1340"/>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Beneficial Ownership</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gridSpan w:val="2"/>
          </w:tcPr>
          <w:p>
            <w:pPr>
              <w:jc w:val="right"/>
              <w:ind w:right="1360"/>
              <w:spacing w:after="0"/>
              <w:rPr>
                <w:sz w:val="20"/>
                <w:szCs w:val="20"/>
                <w:color w:val="auto"/>
              </w:rPr>
            </w:pPr>
            <w:r>
              <w:rPr>
                <w:rFonts w:ascii="Times New Roman" w:cs="Times New Roman" w:eastAsia="Times New Roman" w:hAnsi="Times New Roman"/>
                <w:sz w:val="13"/>
                <w:szCs w:val="13"/>
                <w:b w:val="1"/>
                <w:bCs w:val="1"/>
                <w:color w:val="auto"/>
              </w:rPr>
              <w:t>Before This Offering</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After This Offering</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8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Offered</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Hereby</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9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Offered</w:t>
            </w:r>
          </w:p>
        </w:tc>
        <w:tc>
          <w:tcPr>
            <w:tcW w:w="9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Offered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Upon</w:t>
            </w:r>
          </w:p>
        </w:tc>
        <w:tc>
          <w:tcPr>
            <w:tcW w:w="9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Hereby Issuable</w:t>
            </w:r>
          </w:p>
        </w:tc>
        <w:tc>
          <w:tcPr>
            <w:tcW w:w="9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Hereby Issuable</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9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Exercise of</w:t>
            </w:r>
          </w:p>
        </w:tc>
        <w:tc>
          <w:tcPr>
            <w:tcW w:w="9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Upon Exercise of</w:t>
            </w: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Upon Exercise</w:t>
            </w:r>
          </w:p>
        </w:tc>
        <w:tc>
          <w:tcPr>
            <w:tcW w:w="66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9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PIPE Pre-</w:t>
            </w:r>
          </w:p>
        </w:tc>
        <w:tc>
          <w:tcPr>
            <w:tcW w:w="9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PIPE Series A</w:t>
            </w: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PIPE Series</w:t>
            </w:r>
          </w:p>
        </w:tc>
        <w:tc>
          <w:tcPr>
            <w:tcW w:w="66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9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8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Offered</w:t>
            </w:r>
          </w:p>
        </w:tc>
        <w:tc>
          <w:tcPr>
            <w:tcW w:w="7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Funded</w:t>
            </w:r>
          </w:p>
        </w:tc>
        <w:tc>
          <w:tcPr>
            <w:tcW w:w="9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9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B Common</w:t>
            </w:r>
          </w:p>
        </w:tc>
        <w:tc>
          <w:tcPr>
            <w:tcW w:w="66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Selling Stockholder (1)</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Owned (2)</w:t>
            </w:r>
          </w:p>
        </w:tc>
        <w:tc>
          <w:tcPr>
            <w:tcW w:w="40" w:type="dxa"/>
            <w:vAlign w:val="bottom"/>
          </w:tcPr>
          <w:p>
            <w:pPr>
              <w:spacing w:after="0"/>
              <w:rPr>
                <w:sz w:val="13"/>
                <w:szCs w:val="13"/>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Shares (2)</w:t>
            </w:r>
          </w:p>
        </w:tc>
        <w:tc>
          <w:tcPr>
            <w:tcW w:w="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Hereby (3)</w:t>
            </w:r>
          </w:p>
        </w:tc>
        <w:tc>
          <w:tcPr>
            <w:tcW w:w="4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Warrants (4)</w:t>
            </w:r>
          </w:p>
        </w:tc>
        <w:tc>
          <w:tcPr>
            <w:tcW w:w="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Warrants(5)</w:t>
            </w:r>
          </w:p>
        </w:tc>
        <w:tc>
          <w:tcPr>
            <w:tcW w:w="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Warrants(6)</w:t>
            </w:r>
          </w:p>
        </w:tc>
        <w:tc>
          <w:tcPr>
            <w:tcW w:w="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0" w:type="dxa"/>
            <w:vAlign w:val="bottom"/>
          </w:tcPr>
          <w:p>
            <w:pPr>
              <w:spacing w:after="0"/>
              <w:rPr>
                <w:sz w:val="1"/>
                <w:szCs w:val="1"/>
                <w:color w:val="auto"/>
              </w:rPr>
            </w:pPr>
          </w:p>
        </w:tc>
      </w:tr>
      <w:tr>
        <w:trPr>
          <w:trHeight w:val="119"/>
        </w:trPr>
        <w:tc>
          <w:tcPr>
            <w:tcW w:w="24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9vc SPV 1, Limited</w:t>
            </w:r>
          </w:p>
        </w:tc>
        <w:tc>
          <w:tcPr>
            <w:tcW w:w="8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157,4</w:t>
            </w:r>
          </w:p>
        </w:tc>
        <w:tc>
          <w:tcPr>
            <w:tcW w:w="40" w:type="dxa"/>
            <w:vAlign w:val="bottom"/>
            <w:shd w:val="clear" w:color="auto" w:fill="CFF0FC"/>
          </w:tcPr>
          <w:p>
            <w:pPr>
              <w:spacing w:after="0"/>
              <w:rPr>
                <w:sz w:val="10"/>
                <w:szCs w:val="10"/>
                <w:color w:val="auto"/>
              </w:rPr>
            </w:pP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w:t>
            </w:r>
          </w:p>
        </w:tc>
        <w:tc>
          <w:tcPr>
            <w:tcW w:w="780" w:type="dxa"/>
            <w:vAlign w:val="bottom"/>
            <w:shd w:val="clear" w:color="auto" w:fill="CFF0FC"/>
          </w:tcPr>
          <w:p>
            <w:pPr>
              <w:ind w:left="520"/>
              <w:spacing w:after="0" w:line="119" w:lineRule="exact"/>
              <w:rPr>
                <w:sz w:val="20"/>
                <w:szCs w:val="20"/>
                <w:color w:val="auto"/>
              </w:rPr>
            </w:pPr>
            <w:r>
              <w:rPr>
                <w:rFonts w:ascii="Times New Roman" w:cs="Times New Roman" w:eastAsia="Times New Roman" w:hAnsi="Times New Roman"/>
                <w:sz w:val="13"/>
                <w:szCs w:val="13"/>
                <w:color w:val="auto"/>
              </w:rPr>
              <w:t>157,</w:t>
            </w:r>
          </w:p>
        </w:tc>
        <w:tc>
          <w:tcPr>
            <w:tcW w:w="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255,90</w:t>
            </w:r>
          </w:p>
        </w:tc>
        <w:tc>
          <w:tcPr>
            <w:tcW w:w="2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236,2</w:t>
            </w:r>
          </w:p>
        </w:tc>
        <w:tc>
          <w:tcPr>
            <w:tcW w:w="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Partnership (7)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0" w:type="dxa"/>
            <w:vAlign w:val="bottom"/>
            <w:shd w:val="clear" w:color="auto" w:fill="CFF0FC"/>
          </w:tcPr>
          <w:p>
            <w:pPr>
              <w:spacing w:after="0"/>
              <w:rPr>
                <w:sz w:val="14"/>
                <w:szCs w:val="14"/>
                <w:color w:val="auto"/>
              </w:rPr>
            </w:pPr>
          </w:p>
        </w:tc>
        <w:tc>
          <w:tcPr>
            <w:tcW w:w="2920" w:type="dxa"/>
            <w:vAlign w:val="bottom"/>
            <w:gridSpan w:val="2"/>
            <w:vMerge w:val="continue"/>
            <w:shd w:val="clear" w:color="auto" w:fill="CFF0FC"/>
          </w:tcPr>
          <w:p>
            <w:pPr>
              <w:spacing w:after="0"/>
              <w:rPr>
                <w:sz w:val="14"/>
                <w:szCs w:val="14"/>
                <w:color w:val="auto"/>
              </w:rPr>
            </w:pP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480</w:t>
            </w:r>
          </w:p>
        </w:tc>
        <w:tc>
          <w:tcPr>
            <w:tcW w:w="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ADAR1 Partners, LP (8)</w:t>
            </w:r>
          </w:p>
        </w:tc>
        <w:tc>
          <w:tcPr>
            <w:tcW w:w="8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340,5</w:t>
            </w:r>
          </w:p>
        </w:tc>
        <w:tc>
          <w:tcPr>
            <w:tcW w:w="2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3.63%</w:t>
            </w:r>
          </w:p>
        </w:tc>
        <w:tc>
          <w:tcPr>
            <w:tcW w:w="780" w:type="dxa"/>
            <w:vAlign w:val="bottom"/>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340,</w:t>
            </w:r>
          </w:p>
        </w:tc>
        <w:tc>
          <w:tcPr>
            <w:tcW w:w="40" w:type="dxa"/>
            <w:vAlign w:val="bottom"/>
          </w:tcPr>
          <w:p>
            <w:pPr>
              <w:spacing w:after="0"/>
              <w:rPr>
                <w:sz w:val="10"/>
                <w:szCs w:val="10"/>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553,39</w:t>
            </w:r>
          </w:p>
        </w:tc>
        <w:tc>
          <w:tcPr>
            <w:tcW w:w="20" w:type="dxa"/>
            <w:vAlign w:val="bottom"/>
          </w:tcPr>
          <w:p>
            <w:pPr>
              <w:spacing w:after="0"/>
              <w:rPr>
                <w:sz w:val="10"/>
                <w:szCs w:val="10"/>
                <w:color w:val="auto"/>
              </w:rPr>
            </w:pPr>
          </w:p>
        </w:tc>
        <w:tc>
          <w:tcPr>
            <w:tcW w:w="9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510,8</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552</w:t>
            </w: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CDK Associates, LLC (9)</w:t>
            </w:r>
          </w:p>
        </w:tc>
        <w:tc>
          <w:tcPr>
            <w:tcW w:w="88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441,7</w:t>
            </w: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4.70%</w:t>
            </w:r>
          </w:p>
        </w:tc>
        <w:tc>
          <w:tcPr>
            <w:tcW w:w="780" w:type="dxa"/>
            <w:vAlign w:val="bottom"/>
            <w:shd w:val="clear" w:color="auto" w:fill="CFF0FC"/>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429,</w:t>
            </w:r>
          </w:p>
        </w:tc>
        <w:tc>
          <w:tcPr>
            <w:tcW w:w="4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271,</w:t>
            </w:r>
          </w:p>
        </w:tc>
        <w:tc>
          <w:tcPr>
            <w:tcW w:w="2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1,138,67</w:t>
            </w:r>
          </w:p>
        </w:tc>
        <w:tc>
          <w:tcPr>
            <w:tcW w:w="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1,051,0</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0" w:type="dxa"/>
            <w:vAlign w:val="bottom"/>
            <w:shd w:val="clear" w:color="auto" w:fill="CFF0FC"/>
          </w:tcPr>
          <w:p>
            <w:pPr>
              <w:spacing w:after="0"/>
              <w:rPr>
                <w:sz w:val="14"/>
                <w:szCs w:val="14"/>
                <w:color w:val="auto"/>
              </w:rPr>
            </w:pPr>
          </w:p>
        </w:tc>
        <w:tc>
          <w:tcPr>
            <w:tcW w:w="2920" w:type="dxa"/>
            <w:vAlign w:val="bottom"/>
            <w:gridSpan w:val="2"/>
            <w:vMerge w:val="continue"/>
            <w:shd w:val="clear" w:color="auto" w:fill="CFF0FC"/>
          </w:tcPr>
          <w:p>
            <w:pPr>
              <w:spacing w:after="0"/>
              <w:rPr>
                <w:sz w:val="14"/>
                <w:szCs w:val="14"/>
                <w:color w:val="auto"/>
              </w:rPr>
            </w:pP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197</w:t>
            </w: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Commodore Capital Master</w:t>
            </w:r>
          </w:p>
        </w:tc>
        <w:tc>
          <w:tcPr>
            <w:tcW w:w="8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468,9</w:t>
            </w:r>
          </w:p>
        </w:tc>
        <w:tc>
          <w:tcPr>
            <w:tcW w:w="2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4.99%</w:t>
            </w:r>
          </w:p>
        </w:tc>
        <w:tc>
          <w:tcPr>
            <w:tcW w:w="780" w:type="dxa"/>
            <w:vAlign w:val="bottom"/>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464,</w:t>
            </w:r>
          </w:p>
        </w:tc>
        <w:tc>
          <w:tcPr>
            <w:tcW w:w="4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2,685,</w:t>
            </w:r>
          </w:p>
        </w:tc>
        <w:tc>
          <w:tcPr>
            <w:tcW w:w="2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5,118,11</w:t>
            </w:r>
          </w:p>
        </w:tc>
        <w:tc>
          <w:tcPr>
            <w:tcW w:w="20" w:type="dxa"/>
            <w:vAlign w:val="bottom"/>
          </w:tcPr>
          <w:p>
            <w:pPr>
              <w:spacing w:after="0"/>
              <w:rPr>
                <w:sz w:val="10"/>
                <w:szCs w:val="10"/>
                <w:color w:val="auto"/>
              </w:rPr>
            </w:pPr>
          </w:p>
        </w:tc>
        <w:tc>
          <w:tcPr>
            <w:tcW w:w="9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4,724,4</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LP (10)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398</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Growth Equity Opportunities 18</w:t>
            </w:r>
          </w:p>
        </w:tc>
        <w:tc>
          <w:tcPr>
            <w:tcW w:w="88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468,9</w:t>
            </w: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4.99%</w:t>
            </w:r>
          </w:p>
        </w:tc>
        <w:tc>
          <w:tcPr>
            <w:tcW w:w="780" w:type="dxa"/>
            <w:vAlign w:val="bottom"/>
            <w:shd w:val="clear" w:color="auto" w:fill="CFF0FC"/>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464,</w:t>
            </w:r>
          </w:p>
        </w:tc>
        <w:tc>
          <w:tcPr>
            <w:tcW w:w="4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1,110,</w:t>
            </w:r>
          </w:p>
        </w:tc>
        <w:tc>
          <w:tcPr>
            <w:tcW w:w="2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2,559,05</w:t>
            </w:r>
          </w:p>
        </w:tc>
        <w:tc>
          <w:tcPr>
            <w:tcW w:w="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2,362,2</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VGE, LLC (11)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shd w:val="clear" w:color="auto" w:fill="CFF0FC"/>
          </w:tcPr>
          <w:p>
            <w:pPr>
              <w:spacing w:after="0"/>
              <w:rPr>
                <w:sz w:val="14"/>
                <w:szCs w:val="14"/>
                <w:color w:val="auto"/>
              </w:rPr>
            </w:pPr>
          </w:p>
        </w:tc>
        <w:tc>
          <w:tcPr>
            <w:tcW w:w="2920" w:type="dxa"/>
            <w:vAlign w:val="bottom"/>
            <w:gridSpan w:val="2"/>
            <w:vMerge w:val="continue"/>
            <w:shd w:val="clear" w:color="auto" w:fill="CFF0FC"/>
          </w:tcPr>
          <w:p>
            <w:pPr>
              <w:spacing w:after="0"/>
              <w:rPr>
                <w:sz w:val="14"/>
                <w:szCs w:val="14"/>
                <w:color w:val="auto"/>
              </w:rPr>
            </w:pP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398</w:t>
            </w: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Kalehua Capital Partners LP (12)</w:t>
            </w:r>
          </w:p>
        </w:tc>
        <w:tc>
          <w:tcPr>
            <w:tcW w:w="8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393,7</w:t>
            </w:r>
          </w:p>
        </w:tc>
        <w:tc>
          <w:tcPr>
            <w:tcW w:w="2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4.19%</w:t>
            </w:r>
          </w:p>
        </w:tc>
        <w:tc>
          <w:tcPr>
            <w:tcW w:w="780" w:type="dxa"/>
            <w:vAlign w:val="bottom"/>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393,</w:t>
            </w:r>
          </w:p>
        </w:tc>
        <w:tc>
          <w:tcPr>
            <w:tcW w:w="40" w:type="dxa"/>
            <w:vAlign w:val="bottom"/>
          </w:tcPr>
          <w:p>
            <w:pPr>
              <w:spacing w:after="0"/>
              <w:rPr>
                <w:sz w:val="10"/>
                <w:szCs w:val="10"/>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639,76</w:t>
            </w:r>
          </w:p>
        </w:tc>
        <w:tc>
          <w:tcPr>
            <w:tcW w:w="20" w:type="dxa"/>
            <w:vAlign w:val="bottom"/>
          </w:tcPr>
          <w:p>
            <w:pPr>
              <w:spacing w:after="0"/>
              <w:rPr>
                <w:sz w:val="10"/>
                <w:szCs w:val="10"/>
                <w:color w:val="auto"/>
              </w:rPr>
            </w:pPr>
          </w:p>
        </w:tc>
        <w:tc>
          <w:tcPr>
            <w:tcW w:w="9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590,5</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701</w:t>
            </w: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Ligand Pharmaceuticals</w:t>
            </w:r>
          </w:p>
        </w:tc>
        <w:tc>
          <w:tcPr>
            <w:tcW w:w="88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157,4</w:t>
            </w: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w:t>
            </w:r>
          </w:p>
        </w:tc>
        <w:tc>
          <w:tcPr>
            <w:tcW w:w="780" w:type="dxa"/>
            <w:vAlign w:val="bottom"/>
            <w:shd w:val="clear" w:color="auto" w:fill="CFF0FC"/>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157,</w:t>
            </w:r>
          </w:p>
        </w:tc>
        <w:tc>
          <w:tcPr>
            <w:tcW w:w="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255,90</w:t>
            </w:r>
          </w:p>
        </w:tc>
        <w:tc>
          <w:tcPr>
            <w:tcW w:w="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236,2</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Incorporated (13)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0" w:type="dxa"/>
            <w:vAlign w:val="bottom"/>
            <w:shd w:val="clear" w:color="auto" w:fill="CFF0FC"/>
          </w:tcPr>
          <w:p>
            <w:pPr>
              <w:spacing w:after="0"/>
              <w:rPr>
                <w:sz w:val="14"/>
                <w:szCs w:val="14"/>
                <w:color w:val="auto"/>
              </w:rPr>
            </w:pPr>
          </w:p>
        </w:tc>
        <w:tc>
          <w:tcPr>
            <w:tcW w:w="2920" w:type="dxa"/>
            <w:vAlign w:val="bottom"/>
            <w:gridSpan w:val="2"/>
            <w:vMerge w:val="continue"/>
            <w:shd w:val="clear" w:color="auto" w:fill="CFF0FC"/>
          </w:tcPr>
          <w:p>
            <w:pPr>
              <w:spacing w:after="0"/>
              <w:rPr>
                <w:sz w:val="14"/>
                <w:szCs w:val="14"/>
                <w:color w:val="auto"/>
              </w:rPr>
            </w:pP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480</w:t>
            </w:r>
          </w:p>
        </w:tc>
        <w:tc>
          <w:tcPr>
            <w:tcW w:w="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Nemean Asset Management,</w:t>
            </w:r>
          </w:p>
        </w:tc>
        <w:tc>
          <w:tcPr>
            <w:tcW w:w="8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365,0</w:t>
            </w:r>
          </w:p>
        </w:tc>
        <w:tc>
          <w:tcPr>
            <w:tcW w:w="2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3.89%</w:t>
            </w:r>
          </w:p>
        </w:tc>
        <w:tc>
          <w:tcPr>
            <w:tcW w:w="780" w:type="dxa"/>
            <w:vAlign w:val="bottom"/>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236,</w:t>
            </w:r>
          </w:p>
        </w:tc>
        <w:tc>
          <w:tcPr>
            <w:tcW w:w="40" w:type="dxa"/>
            <w:vAlign w:val="bottom"/>
          </w:tcPr>
          <w:p>
            <w:pPr>
              <w:spacing w:after="0"/>
              <w:rPr>
                <w:sz w:val="10"/>
                <w:szCs w:val="10"/>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383,85</w:t>
            </w:r>
          </w:p>
        </w:tc>
        <w:tc>
          <w:tcPr>
            <w:tcW w:w="20" w:type="dxa"/>
            <w:vAlign w:val="bottom"/>
          </w:tcPr>
          <w:p>
            <w:pPr>
              <w:spacing w:after="0"/>
              <w:rPr>
                <w:sz w:val="10"/>
                <w:szCs w:val="10"/>
                <w:color w:val="auto"/>
              </w:rPr>
            </w:pPr>
          </w:p>
        </w:tc>
        <w:tc>
          <w:tcPr>
            <w:tcW w:w="9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354,3</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128,806</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LLC (14)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Perceptive Life Sciences Master</w:t>
            </w:r>
          </w:p>
        </w:tc>
        <w:tc>
          <w:tcPr>
            <w:tcW w:w="88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1,548,5</w:t>
            </w: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16.44%</w:t>
            </w:r>
          </w:p>
        </w:tc>
        <w:tc>
          <w:tcPr>
            <w:tcW w:w="780" w:type="dxa"/>
            <w:vAlign w:val="bottom"/>
            <w:shd w:val="clear" w:color="auto" w:fill="CFF0FC"/>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989,</w:t>
            </w:r>
          </w:p>
        </w:tc>
        <w:tc>
          <w:tcPr>
            <w:tcW w:w="4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1,372,</w:t>
            </w:r>
          </w:p>
        </w:tc>
        <w:tc>
          <w:tcPr>
            <w:tcW w:w="2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3,838,58</w:t>
            </w:r>
          </w:p>
        </w:tc>
        <w:tc>
          <w:tcPr>
            <w:tcW w:w="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3,543,3</w:t>
            </w: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FF0FC"/>
          </w:tcPr>
          <w:p>
            <w:pPr>
              <w:spacing w:after="0"/>
              <w:rPr>
                <w:sz w:val="10"/>
                <w:szCs w:val="10"/>
                <w:color w:val="auto"/>
              </w:rPr>
            </w:pP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Fund, Ltd. (15)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FF0FC"/>
          </w:tcPr>
          <w:p>
            <w:pPr>
              <w:spacing w:after="0"/>
              <w:rPr>
                <w:sz w:val="14"/>
                <w:szCs w:val="14"/>
                <w:color w:val="auto"/>
              </w:rPr>
            </w:pPr>
          </w:p>
        </w:tc>
        <w:tc>
          <w:tcPr>
            <w:tcW w:w="2920" w:type="dxa"/>
            <w:vAlign w:val="bottom"/>
            <w:gridSpan w:val="2"/>
            <w:vMerge w:val="continue"/>
            <w:shd w:val="clear" w:color="auto" w:fill="CFF0FC"/>
          </w:tcPr>
          <w:p>
            <w:pPr>
              <w:spacing w:after="0"/>
              <w:rPr>
                <w:sz w:val="14"/>
                <w:szCs w:val="14"/>
                <w:color w:val="auto"/>
              </w:rPr>
            </w:pP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270</w:t>
            </w: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40,296</w:t>
            </w:r>
          </w:p>
        </w:tc>
        <w:tc>
          <w:tcPr>
            <w:tcW w:w="40" w:type="dxa"/>
            <w:vAlign w:val="bottom"/>
            <w:shd w:val="clear" w:color="auto" w:fill="CFF0FC"/>
          </w:tcPr>
          <w:p>
            <w:pPr>
              <w:spacing w:after="0"/>
              <w:rPr>
                <w:sz w:val="14"/>
                <w:szCs w:val="14"/>
                <w:color w:val="auto"/>
              </w:rPr>
            </w:pPr>
          </w:p>
        </w:tc>
        <w:tc>
          <w:tcPr>
            <w:tcW w:w="90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Perceptive Xontogeny Venture</w:t>
            </w:r>
          </w:p>
        </w:tc>
        <w:tc>
          <w:tcPr>
            <w:tcW w:w="8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333,8</w:t>
            </w:r>
          </w:p>
        </w:tc>
        <w:tc>
          <w:tcPr>
            <w:tcW w:w="2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3.55%</w:t>
            </w:r>
          </w:p>
        </w:tc>
        <w:tc>
          <w:tcPr>
            <w:tcW w:w="780" w:type="dxa"/>
            <w:vAlign w:val="bottom"/>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329,</w:t>
            </w:r>
          </w:p>
        </w:tc>
        <w:tc>
          <w:tcPr>
            <w:tcW w:w="4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457,</w:t>
            </w:r>
          </w:p>
        </w:tc>
        <w:tc>
          <w:tcPr>
            <w:tcW w:w="2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1,279,52</w:t>
            </w:r>
          </w:p>
        </w:tc>
        <w:tc>
          <w:tcPr>
            <w:tcW w:w="20" w:type="dxa"/>
            <w:vAlign w:val="bottom"/>
          </w:tcPr>
          <w:p>
            <w:pPr>
              <w:spacing w:after="0"/>
              <w:rPr>
                <w:sz w:val="10"/>
                <w:szCs w:val="10"/>
                <w:color w:val="auto"/>
              </w:rPr>
            </w:pPr>
          </w:p>
        </w:tc>
        <w:tc>
          <w:tcPr>
            <w:tcW w:w="9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1,181,1</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 II, LP (15)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756</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Spearhead Insurance Solutions</w:t>
            </w: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53,1</w:t>
            </w:r>
          </w:p>
        </w:tc>
        <w:tc>
          <w:tcPr>
            <w:tcW w:w="40" w:type="dxa"/>
            <w:vAlign w:val="bottom"/>
            <w:shd w:val="clear" w:color="auto" w:fill="CFF0FC"/>
          </w:tcPr>
          <w:p>
            <w:pPr>
              <w:spacing w:after="0"/>
              <w:rPr>
                <w:sz w:val="10"/>
                <w:szCs w:val="10"/>
                <w:color w:val="auto"/>
              </w:rPr>
            </w:pP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53,</w:t>
            </w:r>
          </w:p>
        </w:tc>
        <w:tc>
          <w:tcPr>
            <w:tcW w:w="7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86,367</w:t>
            </w:r>
          </w:p>
        </w:tc>
        <w:tc>
          <w:tcPr>
            <w:tcW w:w="2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79,72</w:t>
            </w:r>
          </w:p>
        </w:tc>
        <w:tc>
          <w:tcPr>
            <w:tcW w:w="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IDF, LLC – Series ADAR1 (8)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shd w:val="clear" w:color="auto" w:fill="CFF0FC"/>
          </w:tcPr>
          <w:p>
            <w:pPr>
              <w:spacing w:after="0"/>
              <w:rPr>
                <w:sz w:val="14"/>
                <w:szCs w:val="14"/>
                <w:color w:val="auto"/>
              </w:rPr>
            </w:pPr>
          </w:p>
        </w:tc>
        <w:tc>
          <w:tcPr>
            <w:tcW w:w="2920" w:type="dxa"/>
            <w:vAlign w:val="bottom"/>
            <w:gridSpan w:val="2"/>
            <w:vMerge w:val="continue"/>
            <w:shd w:val="clear" w:color="auto" w:fill="CFF0FC"/>
          </w:tcPr>
          <w:p>
            <w:pPr>
              <w:spacing w:after="0"/>
              <w:rPr>
                <w:sz w:val="14"/>
                <w:szCs w:val="14"/>
                <w:color w:val="auto"/>
              </w:rPr>
            </w:pP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149</w:t>
            </w:r>
          </w:p>
        </w:tc>
        <w:tc>
          <w:tcPr>
            <w:tcW w:w="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Spruce Street Aggregator</w:t>
            </w:r>
          </w:p>
        </w:tc>
        <w:tc>
          <w:tcPr>
            <w:tcW w:w="8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469,4</w:t>
            </w:r>
          </w:p>
        </w:tc>
        <w:tc>
          <w:tcPr>
            <w:tcW w:w="2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4.99%</w:t>
            </w:r>
          </w:p>
        </w:tc>
        <w:tc>
          <w:tcPr>
            <w:tcW w:w="780" w:type="dxa"/>
            <w:vAlign w:val="bottom"/>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456,</w:t>
            </w:r>
          </w:p>
        </w:tc>
        <w:tc>
          <w:tcPr>
            <w:tcW w:w="4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216,</w:t>
            </w:r>
          </w:p>
        </w:tc>
        <w:tc>
          <w:tcPr>
            <w:tcW w:w="2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1,093,30</w:t>
            </w:r>
          </w:p>
        </w:tc>
        <w:tc>
          <w:tcPr>
            <w:tcW w:w="20" w:type="dxa"/>
            <w:vAlign w:val="bottom"/>
          </w:tcPr>
          <w:p>
            <w:pPr>
              <w:spacing w:after="0"/>
              <w:rPr>
                <w:sz w:val="10"/>
                <w:szCs w:val="10"/>
                <w:color w:val="auto"/>
              </w:rPr>
            </w:pPr>
          </w:p>
        </w:tc>
        <w:tc>
          <w:tcPr>
            <w:tcW w:w="9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1,009,2</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L.P. (16)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022</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Spruce Street Entities (17)</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393,701</w:t>
            </w:r>
          </w:p>
        </w:tc>
        <w:tc>
          <w:tcPr>
            <w:tcW w:w="40" w:type="dxa"/>
            <w:vAlign w:val="bottom"/>
            <w:shd w:val="clear" w:color="auto" w:fill="CFF0FC"/>
          </w:tcPr>
          <w:p>
            <w:pPr>
              <w:spacing w:after="0"/>
              <w:rPr>
                <w:sz w:val="10"/>
                <w:szCs w:val="10"/>
                <w:color w:val="auto"/>
              </w:rPr>
            </w:pP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4.19%</w:t>
            </w:r>
          </w:p>
        </w:tc>
        <w:tc>
          <w:tcPr>
            <w:tcW w:w="78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393,701</w:t>
            </w:r>
          </w:p>
        </w:tc>
        <w:tc>
          <w:tcPr>
            <w:tcW w:w="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6</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590,551</w:t>
            </w:r>
          </w:p>
        </w:tc>
        <w:tc>
          <w:tcPr>
            <w:tcW w:w="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92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39,763</w:t>
            </w:r>
          </w:p>
        </w:tc>
        <w:tc>
          <w:tcPr>
            <w:tcW w:w="2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TCG Crossover Fund II,</w:t>
            </w:r>
          </w:p>
        </w:tc>
        <w:tc>
          <w:tcPr>
            <w:tcW w:w="8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234,4</w:t>
            </w:r>
          </w:p>
        </w:tc>
        <w:tc>
          <w:tcPr>
            <w:tcW w:w="2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2.50%</w:t>
            </w:r>
          </w:p>
        </w:tc>
        <w:tc>
          <w:tcPr>
            <w:tcW w:w="780" w:type="dxa"/>
            <w:vAlign w:val="bottom"/>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232,</w:t>
            </w:r>
          </w:p>
        </w:tc>
        <w:tc>
          <w:tcPr>
            <w:tcW w:w="4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1,342,</w:t>
            </w:r>
          </w:p>
        </w:tc>
        <w:tc>
          <w:tcPr>
            <w:tcW w:w="2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2,559,05</w:t>
            </w:r>
          </w:p>
        </w:tc>
        <w:tc>
          <w:tcPr>
            <w:tcW w:w="20" w:type="dxa"/>
            <w:vAlign w:val="bottom"/>
          </w:tcPr>
          <w:p>
            <w:pPr>
              <w:spacing w:after="0"/>
              <w:rPr>
                <w:sz w:val="10"/>
                <w:szCs w:val="10"/>
                <w:color w:val="auto"/>
              </w:rPr>
            </w:pPr>
          </w:p>
        </w:tc>
        <w:tc>
          <w:tcPr>
            <w:tcW w:w="9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2,362,2</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L.P. (18)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199</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TCG Crossover Fund III,</w:t>
            </w:r>
          </w:p>
        </w:tc>
        <w:tc>
          <w:tcPr>
            <w:tcW w:w="88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234,4</w:t>
            </w: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2.50%</w:t>
            </w:r>
          </w:p>
        </w:tc>
        <w:tc>
          <w:tcPr>
            <w:tcW w:w="780" w:type="dxa"/>
            <w:vAlign w:val="bottom"/>
            <w:shd w:val="clear" w:color="auto" w:fill="CFF0FC"/>
          </w:tcPr>
          <w:p>
            <w:pPr>
              <w:ind w:left="520"/>
              <w:spacing w:after="0" w:line="126" w:lineRule="exact"/>
              <w:rPr>
                <w:sz w:val="20"/>
                <w:szCs w:val="20"/>
                <w:color w:val="auto"/>
              </w:rPr>
            </w:pPr>
            <w:r>
              <w:rPr>
                <w:rFonts w:ascii="Times New Roman" w:cs="Times New Roman" w:eastAsia="Times New Roman" w:hAnsi="Times New Roman"/>
                <w:sz w:val="14"/>
                <w:szCs w:val="14"/>
                <w:color w:val="auto"/>
                <w:w w:val="97"/>
              </w:rPr>
              <w:t>232,</w:t>
            </w:r>
          </w:p>
        </w:tc>
        <w:tc>
          <w:tcPr>
            <w:tcW w:w="4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1,342,</w:t>
            </w:r>
          </w:p>
        </w:tc>
        <w:tc>
          <w:tcPr>
            <w:tcW w:w="2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2,559,05</w:t>
            </w:r>
          </w:p>
        </w:tc>
        <w:tc>
          <w:tcPr>
            <w:tcW w:w="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2,362,2</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L.P. (18)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shd w:val="clear" w:color="auto" w:fill="CFF0FC"/>
          </w:tcPr>
          <w:p>
            <w:pPr>
              <w:spacing w:after="0"/>
              <w:rPr>
                <w:sz w:val="14"/>
                <w:szCs w:val="14"/>
                <w:color w:val="auto"/>
              </w:rPr>
            </w:pPr>
          </w:p>
        </w:tc>
        <w:tc>
          <w:tcPr>
            <w:tcW w:w="2920" w:type="dxa"/>
            <w:vAlign w:val="bottom"/>
            <w:gridSpan w:val="2"/>
            <w:vMerge w:val="continue"/>
            <w:shd w:val="clear" w:color="auto" w:fill="CFF0FC"/>
          </w:tcPr>
          <w:p>
            <w:pPr>
              <w:spacing w:after="0"/>
              <w:rPr>
                <w:sz w:val="14"/>
                <w:szCs w:val="14"/>
                <w:color w:val="auto"/>
              </w:rPr>
            </w:pP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199</w:t>
            </w: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900" w:type="dxa"/>
            <w:vAlign w:val="bottom"/>
            <w:tcBorders>
              <w:right w:val="single" w:sz="8" w:color="DAEEF3"/>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Third Street Holdings, LLC (9)</w:t>
            </w: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27,6</w:t>
            </w:r>
          </w:p>
        </w:tc>
        <w:tc>
          <w:tcPr>
            <w:tcW w:w="40" w:type="dxa"/>
            <w:vAlign w:val="bottom"/>
          </w:tcPr>
          <w:p>
            <w:pPr>
              <w:spacing w:after="0"/>
              <w:rPr>
                <w:sz w:val="10"/>
                <w:szCs w:val="10"/>
                <w:color w:val="auto"/>
              </w:rPr>
            </w:pPr>
          </w:p>
        </w:tc>
        <w:tc>
          <w:tcPr>
            <w:tcW w:w="2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26,</w:t>
            </w:r>
          </w:p>
        </w:tc>
        <w:tc>
          <w:tcPr>
            <w:tcW w:w="78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16,</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71,166</w:t>
            </w:r>
          </w:p>
        </w:tc>
        <w:tc>
          <w:tcPr>
            <w:tcW w:w="2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65,69</w:t>
            </w:r>
          </w:p>
        </w:tc>
        <w:tc>
          <w:tcPr>
            <w:tcW w:w="2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825</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40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shd w:val="clear" w:color="auto" w:fill="CFF0FC"/>
          </w:tcPr>
          <w:p>
            <w:pPr>
              <w:jc w:val="right"/>
              <w:ind w:right="20"/>
              <w:spacing w:after="0" w:line="124" w:lineRule="exact"/>
              <w:rPr>
                <w:sz w:val="20"/>
                <w:szCs w:val="20"/>
                <w:color w:val="auto"/>
              </w:rPr>
            </w:pPr>
            <w:r>
              <w:rPr>
                <w:rFonts w:ascii="Times New Roman" w:cs="Times New Roman" w:eastAsia="Times New Roman" w:hAnsi="Times New Roman"/>
                <w:sz w:val="14"/>
                <w:szCs w:val="14"/>
                <w:b w:val="1"/>
                <w:bCs w:val="1"/>
                <w:color w:val="auto"/>
              </w:rPr>
              <w:t>6,089,1</w:t>
            </w:r>
          </w:p>
        </w:tc>
        <w:tc>
          <w:tcPr>
            <w:tcW w:w="2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64.76%</w:t>
            </w:r>
          </w:p>
        </w:tc>
        <w:tc>
          <w:tcPr>
            <w:tcW w:w="7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5,356,</w:t>
            </w:r>
          </w:p>
        </w:tc>
        <w:tc>
          <w:tcPr>
            <w:tcW w:w="4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8,816,</w:t>
            </w:r>
          </w:p>
        </w:tc>
        <w:tc>
          <w:tcPr>
            <w:tcW w:w="2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23,031,49</w:t>
            </w:r>
          </w:p>
        </w:tc>
        <w:tc>
          <w:tcPr>
            <w:tcW w:w="2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0"/>
              <w:spacing w:after="0" w:line="124" w:lineRule="exact"/>
              <w:rPr>
                <w:sz w:val="20"/>
                <w:szCs w:val="20"/>
                <w:color w:val="auto"/>
              </w:rPr>
            </w:pPr>
            <w:r>
              <w:rPr>
                <w:rFonts w:ascii="Times New Roman" w:cs="Times New Roman" w:eastAsia="Times New Roman" w:hAnsi="Times New Roman"/>
                <w:sz w:val="14"/>
                <w:szCs w:val="14"/>
                <w:b w:val="1"/>
                <w:bCs w:val="1"/>
                <w:color w:val="auto"/>
              </w:rPr>
              <w:t>21,259,8</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669,102</w:t>
            </w:r>
          </w:p>
        </w:tc>
        <w:tc>
          <w:tcPr>
            <w:tcW w:w="900" w:type="dxa"/>
            <w:vAlign w:val="bottom"/>
            <w:tcBorders>
              <w:right w:val="single" w:sz="8" w:color="DAEEF3"/>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16.94%</w:t>
            </w:r>
          </w:p>
        </w:tc>
        <w:tc>
          <w:tcPr>
            <w:tcW w:w="0" w:type="dxa"/>
            <w:vAlign w:val="bottom"/>
          </w:tcPr>
          <w:p>
            <w:pPr>
              <w:spacing w:after="0"/>
              <w:rPr>
                <w:sz w:val="1"/>
                <w:szCs w:val="1"/>
                <w:color w:val="auto"/>
              </w:rPr>
            </w:pPr>
          </w:p>
        </w:tc>
      </w:tr>
      <w:tr>
        <w:trPr>
          <w:trHeight w:val="173"/>
        </w:trPr>
        <w:tc>
          <w:tcPr>
            <w:tcW w:w="24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40" w:type="dxa"/>
            <w:vAlign w:val="bottom"/>
            <w:shd w:val="clear" w:color="auto" w:fill="CFF0FC"/>
          </w:tcPr>
          <w:p>
            <w:pPr>
              <w:spacing w:after="0"/>
              <w:rPr>
                <w:sz w:val="15"/>
                <w:szCs w:val="15"/>
                <w:color w:val="auto"/>
              </w:rPr>
            </w:pPr>
          </w:p>
        </w:tc>
        <w:tc>
          <w:tcPr>
            <w:tcW w:w="2920" w:type="dxa"/>
            <w:vAlign w:val="bottom"/>
            <w:gridSpan w:val="2"/>
            <w:vMerge w:val="continue"/>
            <w:shd w:val="clear" w:color="auto" w:fill="CFF0FC"/>
          </w:tcPr>
          <w:p>
            <w:pPr>
              <w:spacing w:after="0"/>
              <w:rPr>
                <w:sz w:val="15"/>
                <w:szCs w:val="15"/>
                <w:color w:val="auto"/>
              </w:rPr>
            </w:pP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b w:val="1"/>
                <w:bCs w:val="1"/>
                <w:color w:val="auto"/>
              </w:rPr>
              <w:t>547</w:t>
            </w: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684</w:t>
            </w:r>
          </w:p>
        </w:tc>
        <w:tc>
          <w:tcPr>
            <w:tcW w:w="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20" w:type="dxa"/>
            <w:vAlign w:val="bottom"/>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900" w:type="dxa"/>
            <w:vAlign w:val="bottom"/>
            <w:tcBorders>
              <w:right w:val="single" w:sz="8" w:color="DAEEF3"/>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25" w:lineRule="exact"/>
        <w:rPr>
          <w:rFonts w:ascii="Times New Roman" w:cs="Times New Roman" w:eastAsia="Times New Roman" w:hAnsi="Times New Roman"/>
          <w:sz w:val="18"/>
          <w:szCs w:val="18"/>
          <w:color w:val="auto"/>
        </w:rPr>
      </w:pPr>
    </w:p>
    <w:p>
      <w:pPr>
        <w:ind w:left="760" w:right="40" w:hanging="378"/>
        <w:spacing w:after="0" w:line="256"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and the information in the notes below are based upon information supplied by the selling stockholders and shares of our common stock outstanding as of March 16, 2026. Equity securities exercisable within 60 days of March 16, 2026 are deemed outstanding for the purposes of listing the number of shares owned by that person and for computing the percentage of shares owned by that person, but are not deemed outstanding for purposes of computing the percentage of shares owned by any other person. This table assumes the sale of all shares of common stock registered pursuant to this prospectus, although the selling stockholder is under no obligation known to us to sell any shares of common stock at this time.</w:t>
      </w:r>
    </w:p>
    <w:p>
      <w:pPr>
        <w:spacing w:after="0" w:line="18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Warrants held by the selling stockholders are subject to beneficial ownership limitations such that the PIPE Warrants may not be exercised if, immediately prior to or following such exercise, the applicable selling stockholder, together with its affiliates and any other persons whose beneficial ownership of shares of our common stock would be aggregated with the selling stockholder for purposes of Section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5" w:name="page16"/>
    <w:bookmarkEnd w:id="15"/>
    <w:p>
      <w:pPr>
        <w:ind w:left="380" w:right="80"/>
        <w:spacing w:after="0" w:line="253" w:lineRule="auto"/>
        <w:rPr>
          <w:sz w:val="20"/>
          <w:szCs w:val="20"/>
          <w:color w:val="auto"/>
        </w:rPr>
      </w:pPr>
      <w:r>
        <w:rPr>
          <w:rFonts w:ascii="Times New Roman" w:cs="Times New Roman" w:eastAsia="Times New Roman" w:hAnsi="Times New Roman"/>
          <w:sz w:val="18"/>
          <w:szCs w:val="18"/>
          <w:color w:val="auto"/>
        </w:rPr>
        <w:t>13(d) of the Exchange Act, would beneficially own more than such selling stockholder’s PIPE Maximum Percentage of the total number of issued and outstanding shares of our common stock following such exercise (the “Beneficial Ownership Limitation”). If, upon exercise of the PIPE Series A Common Warrants or PIPE Series B Common Warrants, a selling stockholder would exceed a selling stockholder’s PIPE Maximum Percentage, then the PIPE Series A Common Warrants and the PIPE Series B Common Warrants may be exercised for pre-funded warrants to purchase shares of our common stock, which pre-funded warrants will have terms substantially the same as the PIPE Pre-Funded Warrants. The PIPE Maximum Percentage in each of the PIPE Warrants held by (i) each of 9vc, the ADAR1 Entities, the Blackstone Entities, Commodore, GEO 18 VGE, Kalehua, Ligand, Nemean, Aggregator and the TCGX Entities (each as defined below) is 4.99% and (ii) the Spruce Street Entities (as defined below) is 9.99% and (iii), the Perceptive Entities is 19.99%. The PIPE Series A Common Warrants and the PIPE Series B Common Warrants are also subject to the PIPE Series A Common Warrant Exercise Limitation and the PIPE Series B Common Warrant Exercise Limitation, respectively, and such warrants are therefore not currently exercisable. As a result, such warrants are not reflected in the “Number of Shares Owned” column of this table for any selling stockholder.</w:t>
      </w:r>
    </w:p>
    <w:p>
      <w:pPr>
        <w:spacing w:after="0" w:line="192" w:lineRule="exact"/>
        <w:rPr>
          <w:sz w:val="20"/>
          <w:szCs w:val="20"/>
          <w:color w:val="auto"/>
        </w:rPr>
      </w:pPr>
    </w:p>
    <w:p>
      <w:pPr>
        <w:ind w:left="380" w:hanging="378"/>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issuable upon the exercise of the PIPE Warrants are not included in this column.</w:t>
      </w:r>
    </w:p>
    <w:p>
      <w:pPr>
        <w:spacing w:after="0" w:line="225" w:lineRule="exact"/>
        <w:rPr>
          <w:rFonts w:ascii="Times New Roman" w:cs="Times New Roman" w:eastAsia="Times New Roman" w:hAnsi="Times New Roman"/>
          <w:sz w:val="18"/>
          <w:szCs w:val="18"/>
          <w:color w:val="auto"/>
        </w:rPr>
      </w:pPr>
    </w:p>
    <w:p>
      <w:pPr>
        <w:ind w:left="380" w:right="40" w:hanging="378"/>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applicable PIPE Maximum Percentage on the number of shares issuable upon exercise of the PIPE Pre-Funded Warrants is not reflected in this column.</w:t>
      </w:r>
    </w:p>
    <w:p>
      <w:pPr>
        <w:spacing w:after="0" w:line="161" w:lineRule="exact"/>
        <w:rPr>
          <w:rFonts w:ascii="Times New Roman" w:cs="Times New Roman" w:eastAsia="Times New Roman" w:hAnsi="Times New Roman"/>
          <w:sz w:val="18"/>
          <w:szCs w:val="18"/>
          <w:color w:val="auto"/>
        </w:rPr>
      </w:pPr>
    </w:p>
    <w:p>
      <w:pPr>
        <w:ind w:left="380" w:right="200" w:hanging="378"/>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applicable PIPE Maximum Percentage and Series A Common Warrant Exercise Limitation on the number of shares issuable upon exercise of the PIPE Series A Common Warrants is not reflected in this column.</w:t>
      </w:r>
    </w:p>
    <w:p>
      <w:pPr>
        <w:spacing w:after="0" w:line="161" w:lineRule="exact"/>
        <w:rPr>
          <w:rFonts w:ascii="Times New Roman" w:cs="Times New Roman" w:eastAsia="Times New Roman" w:hAnsi="Times New Roman"/>
          <w:sz w:val="18"/>
          <w:szCs w:val="18"/>
          <w:color w:val="auto"/>
        </w:rPr>
      </w:pPr>
    </w:p>
    <w:p>
      <w:pPr>
        <w:ind w:left="380" w:right="220" w:hanging="378"/>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applicable PIPE Maximum Percentage and Series B Common Warrant Exercise Limitation on the number of shares issuable upon exercise of the PIPE Series B Common Warrants is not reflected in this column.</w:t>
      </w:r>
    </w:p>
    <w:p>
      <w:pPr>
        <w:spacing w:after="0" w:line="161" w:lineRule="exact"/>
        <w:rPr>
          <w:rFonts w:ascii="Times New Roman" w:cs="Times New Roman" w:eastAsia="Times New Roman" w:hAnsi="Times New Roman"/>
          <w:sz w:val="18"/>
          <w:szCs w:val="18"/>
          <w:color w:val="auto"/>
        </w:rPr>
      </w:pPr>
    </w:p>
    <w:p>
      <w:pPr>
        <w:ind w:left="380" w:right="600" w:hanging="378"/>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157,480 shares of common stock held directly by 9vc SPV 1, Limited Partnership (“9vc”). A B Y Finance (eToro) 21 LP, Gershenberg Massa Family Trust, Doron Mahfood, Negad Ltd, 9vc LP Ltd and Chen Barshai are the Limited Partners of 9vc and may be deemed to beneficially own the securities held by 9vc. The address of 9vc is 10 Rosenblum Street, Tel Aviv, Israel 6937957.</w:t>
      </w:r>
    </w:p>
    <w:p>
      <w:pPr>
        <w:spacing w:after="0" w:line="175" w:lineRule="exact"/>
        <w:rPr>
          <w:rFonts w:ascii="Times New Roman" w:cs="Times New Roman" w:eastAsia="Times New Roman" w:hAnsi="Times New Roman"/>
          <w:sz w:val="18"/>
          <w:szCs w:val="18"/>
          <w:color w:val="auto"/>
        </w:rPr>
      </w:pPr>
    </w:p>
    <w:p>
      <w:pPr>
        <w:ind w:left="380" w:right="120" w:hanging="378"/>
        <w:spacing w:after="0" w:line="25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340,552 shares of common stock held directly by ADAR1 Partners, LP (“ADAR1”) and (ii) 53,149 shares of common stock held directly by Spearhead Insurance Solutions IDF, LLC – Series ADAR1 (“Spearhead” and, together with ADAR1, the “ADAR1 Entities”). ADAR1 Capital Management, LLC (“ADAR1 LLC”), the investment advisor of ADAR1 and the sub-advisor of Spearhead, has voting and investment control of the securities held by ADAR1 and the securities held by Spearhead. ADAR1 Capital Management GP, LLC (“ADAR1 GP”) is the general partner of ADAR1. Daniel Schneeberger is the manager of ADAR1 LLC and ADAR1 GP. The address of ADAR1 is 3503 Wild Cherry Drive, Building 9, Austin, TX 78738. The address of Spearhead is 3828 Kennett Pike, Suite 202, Greenville, DE 19807.</w:t>
      </w:r>
    </w:p>
    <w:p>
      <w:pPr>
        <w:spacing w:after="0" w:line="187" w:lineRule="exact"/>
        <w:rPr>
          <w:rFonts w:ascii="Times New Roman" w:cs="Times New Roman" w:eastAsia="Times New Roman" w:hAnsi="Times New Roman"/>
          <w:sz w:val="18"/>
          <w:szCs w:val="18"/>
          <w:color w:val="auto"/>
        </w:rPr>
      </w:pPr>
    </w:p>
    <w:p>
      <w:pPr>
        <w:ind w:left="380" w:hanging="378"/>
        <w:spacing w:after="0" w:line="253"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429,197 shares of common stock and 12,594 shares of common stock issuable upon the partial exercise of a PIPE Pre-Funded Warrant which is exercisable within 60 days of March 16, 2026 held directly by CDK Associates, LLC (“CDK”) and excludes 258,934 shares issuable upon exercise of such PIPE Pre-Funded Warrant which is not exercisable within 60 days of March 16, 2026 due to the Beneficial Ownership Limitation, based on the number of shares outstanding as of December 31, 2025, and (ii) 26,825 shares of common stock and 788 shares of common stock issuable upon the partial exercise of a PIPE Pre-Funded Warrant which is exercisable within 60 days of March 16, 2026 held directly by Third Street Holdings, LLC (“Third Street” and, together with CDK, the “Blackstone Entities”) and excludes 16,182 shares issuable upon exercise of such PIPE Pre-Funded Warrant which is not exercisable within 60 days of March 16, 2026 due to the Beneficial Ownership Limitation, based on the number of shares outstanding as of March 16, 2026. Bruce Kovner has voting and dispositive power over the holdings of CDK and may be deemed to beneficially own the securities held by CDK. Peter P. D’Angelo has voting and dispositive power over the holdings of Third Street and may be deemed to beneficially own the securities held by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16" w:name="page17"/>
    <w:bookmarkEnd w:id="16"/>
    <w:p>
      <w:pPr>
        <w:ind w:left="380"/>
        <w:spacing w:after="0"/>
        <w:rPr>
          <w:sz w:val="20"/>
          <w:szCs w:val="20"/>
          <w:color w:val="auto"/>
        </w:rPr>
      </w:pPr>
      <w:r>
        <w:rPr>
          <w:rFonts w:ascii="Times New Roman" w:cs="Times New Roman" w:eastAsia="Times New Roman" w:hAnsi="Times New Roman"/>
          <w:sz w:val="18"/>
          <w:szCs w:val="18"/>
          <w:color w:val="auto"/>
        </w:rPr>
        <w:t>Third Street. The address of CDK and Third Street is 731 Alexander Road, Building 2, Suite 500, Princeton, NJ 08540.</w:t>
      </w:r>
    </w:p>
    <w:p>
      <w:pPr>
        <w:spacing w:after="0" w:line="225" w:lineRule="exact"/>
        <w:rPr>
          <w:sz w:val="20"/>
          <w:szCs w:val="20"/>
          <w:color w:val="auto"/>
        </w:rPr>
      </w:pPr>
    </w:p>
    <w:p>
      <w:pPr>
        <w:ind w:left="380" w:right="20" w:hanging="378"/>
        <w:spacing w:after="0" w:line="254"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464,398 shares of common stock and 4,566 shares of common stock issuable upon the partial exercise of a PIPE Pre-Funded Warrant which is exercisable within 60 days of March 16, 2026 held directly by Commodore Capital Master LP (“Commodore”) and excludes 2,680,643 shares issuable upon exercise of such PIPE Pre-Funded Warrant which is not exercisable within 60 days of March 16, 2026 due to the Beneficial Ownership Limitation, based on the number of shares outstanding as of March 16, 2026. Commodore Capital LP is the investment manager to Commodore and may be deemed to beneficially own the shares held by Commodore. Michael Kramarz and Robert Egen Atkinson are the managing partners of Commodore Capital LP and exercise investment discretion with respect to these shares. Commodore Capital LP and Commodore have shared voting and dispositive power with respect to these shares. See the section of this prospectus titled “Prospectus Summary—December 2025 Private Placement” for additional information. The address of Commodore Capital LP and Commodore is 444 Madison Avenue, 35th Floor, New York, NY 10022.</w:t>
      </w:r>
    </w:p>
    <w:p>
      <w:pPr>
        <w:spacing w:after="0" w:line="188" w:lineRule="exact"/>
        <w:rPr>
          <w:rFonts w:ascii="Times New Roman" w:cs="Times New Roman" w:eastAsia="Times New Roman" w:hAnsi="Times New Roman"/>
          <w:sz w:val="18"/>
          <w:szCs w:val="18"/>
          <w:color w:val="auto"/>
        </w:rPr>
      </w:pPr>
    </w:p>
    <w:p>
      <w:pPr>
        <w:ind w:left="380" w:hanging="378"/>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464,398 shares of common stock and 4,566 shares of common stock issuable upon the partial exercise of a PIPE Pre-Funded Warrant which is exercisable within 60 days of March 16, 2026 held directly by Growth Equity Opportunities 18 VGE, LLC (“GEO 18 VGE”) and excludes 1,105,840 shares issuable upon exercise of such PIPE Pre-Funded Warrant which is not exercisable within 60 days of March 16, 2026 due to the Beneficial Ownership Limitation, based on the number of shares outstanding as of March 16, 2026. GEO 18 VGE is wholly owned by NEA 18 Venture Growth Equity, L.P. (“NEA 18 VGE”). The sole general partner of NEA 18 VGE is NEA Partners 18 VGE, L.P. (“NEA Partners 18 VGE”). The sole general partner of NEA Partners 18 VGE is NEA VGE 18 GP, LLC (“NEA VGE 18 LLC”). The managers of NEA VGE 18 LLC are Scott D. Sandell, Anthony A. Florence, Jr., Mohamad Makhzoumi, Ali Behbahani, Carmen Chang, Edward T. Mathers, Paul E. Walker and Rick C. Yang. NEA VGE 18 LLC and its managers may be deemed to beneficially own the securities held by Growth Equity Opportunities 18 VGE, LLC. Each of NEA VGE 18 and its managers disclaims beneficial ownership of any of the shares of our common stock they may be deemed to beneficially own except to the extent of their respective pecuniary interest therein. The address of GEO 18 VGE, NEA 18 VGE, NEA Partners 18 VGE, NEA VGE 18 LLC and Scott Sandell is New Enterprise Associates, 1954 Greenspring Drive, Suite 600, Timonium, MD 21093. The address of Ali Behbahani, Carmen Chang, Mohamad Makhzoumi, Paul Walker and Rick Yang is New Enterprise Associates, 2855 Sand Hill Road, Menlo Park, California 94025. The address of the principal business office of Edward Mathers and Anthony Florence is New Enterprise Associates, 104 5th Avenue, 19th Floor, New York, NY 10001.</w:t>
      </w:r>
    </w:p>
    <w:p>
      <w:pPr>
        <w:spacing w:after="0" w:line="19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393,701 shares of common stock held directly by Kalehua Capital Partners LP (“Kalehua”). Kalehua Capital Management LLC is the general partner of Kalehua. The address of Kalehua is 3819 Maple Avenue, Dallas, TX 75219.</w:t>
      </w:r>
    </w:p>
    <w:p>
      <w:pPr>
        <w:spacing w:after="0" w:line="161" w:lineRule="exact"/>
        <w:rPr>
          <w:rFonts w:ascii="Times New Roman" w:cs="Times New Roman" w:eastAsia="Times New Roman" w:hAnsi="Times New Roman"/>
          <w:sz w:val="18"/>
          <w:szCs w:val="18"/>
          <w:color w:val="auto"/>
        </w:rPr>
      </w:pPr>
    </w:p>
    <w:p>
      <w:pPr>
        <w:ind w:left="380" w:right="320" w:hanging="378"/>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157,480 shares of common stock held directly by Ligand Pharmaceuticals Incorporated (“Ligand”). The address of Ligand is 555 Heritage Drive, Suite 200, Jupiter, FL 33458.</w:t>
      </w:r>
    </w:p>
    <w:p>
      <w:pPr>
        <w:spacing w:after="0" w:line="161" w:lineRule="exact"/>
        <w:rPr>
          <w:rFonts w:ascii="Times New Roman" w:cs="Times New Roman" w:eastAsia="Times New Roman" w:hAnsi="Times New Roman"/>
          <w:sz w:val="18"/>
          <w:szCs w:val="18"/>
          <w:color w:val="auto"/>
        </w:rPr>
      </w:pPr>
    </w:p>
    <w:p>
      <w:pPr>
        <w:ind w:left="380" w:right="160" w:hanging="378"/>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365,026 shares of common stock held directly by Nemean Asset Management, LLC (“Nemean”). Steven Oliveira is the manager of Nemean and may be deemed to beneficially own the securities held directly by Nemean. The address of Nemean is 207 Commodore Drive, Jupiter, FL 33477.</w:t>
      </w:r>
    </w:p>
    <w:p>
      <w:pPr>
        <w:spacing w:after="0" w:line="175" w:lineRule="exact"/>
        <w:rPr>
          <w:rFonts w:ascii="Times New Roman" w:cs="Times New Roman" w:eastAsia="Times New Roman" w:hAnsi="Times New Roman"/>
          <w:sz w:val="18"/>
          <w:szCs w:val="18"/>
          <w:color w:val="auto"/>
        </w:rPr>
      </w:pPr>
    </w:p>
    <w:p>
      <w:pPr>
        <w:ind w:left="380" w:right="20" w:hanging="378"/>
        <w:spacing w:after="0" w:line="255"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1,529,566 shares of common stock and 18,960 shares of common stock issuable upon the partial exercise of a PIPE Pre-Funded Warrant which is exercisable within 60 days of March 16, 2026 held directly by Perceptive Life Sciences Master Fund, Ltd. (the “Perceptive Master Fund”) and excludes 1,353,975 shares of common stock issuable upon exercise of such PIPE Pre-Funded Warrant which is not exercisable within 60 days of March 16, 2026 due to the Beneficial Ownership Limitation, based on the number of shares outstanding as of March 16, 2026, and (ii) 329,756 shares of common stock and 4,088 shares of common stock issuable upon the partial exercise of a PIPE Pre-Funded Warrant that is exercisable within 60 days of March 16, 2026 held directly by Perceptive Xontogeny Venture Fund II, LP (“PXV II” and, together with the Perceptive Master Fund, the “Perceptive Entities”) and excludes 453,557 shares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17" w:name="page18"/>
    <w:bookmarkEnd w:id="17"/>
    <w:p>
      <w:pPr>
        <w:ind w:left="380" w:right="60"/>
        <w:spacing w:after="0" w:line="253" w:lineRule="auto"/>
        <w:rPr>
          <w:sz w:val="20"/>
          <w:szCs w:val="20"/>
          <w:color w:val="auto"/>
        </w:rPr>
      </w:pPr>
      <w:r>
        <w:rPr>
          <w:rFonts w:ascii="Times New Roman" w:cs="Times New Roman" w:eastAsia="Times New Roman" w:hAnsi="Times New Roman"/>
          <w:sz w:val="18"/>
          <w:szCs w:val="18"/>
          <w:color w:val="auto"/>
        </w:rPr>
        <w:t>common stock issuable upon exercise of such PIPE Pre-Funded Warrant which is not exercisable within 60 days of March 16, 2026 due to the Beneficial Ownership Limitation, based on the number of shares outstanding as of March 16, 2026. Perceptive Advisors LLC (“Perceptive Advisors”) is the investment advisor of the Perceptive Master Fund and may be deemed to have beneficial ownership of the shares beneficially owned thereby. Perceptive Venture Advisors, LP (“Perceptive Venture”), is the investment manager to PXV II, and accordingly, may be deemed to beneficially own the securities directly held by PXV II. Joseph Edelman (a member of our board of directors)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spacing w:after="0" w:line="194" w:lineRule="exact"/>
        <w:rPr>
          <w:sz w:val="20"/>
          <w:szCs w:val="20"/>
          <w:color w:val="auto"/>
        </w:rPr>
      </w:pPr>
    </w:p>
    <w:p>
      <w:pPr>
        <w:ind w:left="380" w:right="60" w:hanging="378"/>
        <w:spacing w:after="0" w:line="25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456,022 shares of common stock and 13,382 shares of common stock issuable upon the partial exercise of a PIPE Pre-Funded Warrant which is exercisable within 60 days of March 16, 2026 held directly by Spruce Street Aggregator L.P. (the “Aggregator Fund”) and excludes 203,400 shares issuable upon exercise of such PIPE Pre-Funded Warrant which is not exercisable within 60 days of March 16, 2026 due to the Beneficial Ownership Limitation, based on the number of shares outstanding as of March 16, 2026. Blackstone Alternative Asset Management Associates LLC is the general partner of the Aggregator Fund. Blackstone Holdings II L.P. is the sole member of Blackstone Alternative Asset Management Associates LLC. Blackstone Holdings I/II GP L.L.C. is the general partner of Blackstone Holdings II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 Mr. Schwarzman may be deemed to beneficially own the securities beneficially owned by the Aggregator Fund directly or indirectly controlled by it or him, but each (other than the Aggregator Fund to the extent of its direct holdings) disclaims beneficial ownership of such securities. The address of each of the entities listed is c/o Blackstone Inc., 345 Park Avenue, New York, New York 10154.</w:t>
      </w:r>
    </w:p>
    <w:p>
      <w:pPr>
        <w:spacing w:after="0" w:line="189" w:lineRule="exact"/>
        <w:rPr>
          <w:rFonts w:ascii="Times New Roman" w:cs="Times New Roman" w:eastAsia="Times New Roman" w:hAnsi="Times New Roman"/>
          <w:sz w:val="18"/>
          <w:szCs w:val="18"/>
          <w:color w:val="auto"/>
        </w:rPr>
      </w:pPr>
    </w:p>
    <w:p>
      <w:pPr>
        <w:ind w:left="380" w:right="40" w:hanging="378"/>
        <w:spacing w:after="0" w:line="258"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69,900 shares of common stock held directly by MAP 852 SP, a segregated portfolio of MAP Institutional SPC (“MAP”) and (ii) 323,801 shares of common stock held directly by Spruce Street Capital Master Fund LP (the “Fund” and, together with MAP, the “Spruce Street Entities”). Spruce Street Capital LP (“Spruce Street Advisor”) is the discretionary manager of MAP and of the Fund and may be deemed to beneficially own the securities held by Spruce Street Entities. The address of each of MAP, Spruce Street Advisor and Spruce Street is 777 Third Avenue, Suite 1704, New York, NY 10017.</w:t>
      </w:r>
    </w:p>
    <w:p>
      <w:pPr>
        <w:spacing w:after="0" w:line="183" w:lineRule="exact"/>
        <w:rPr>
          <w:rFonts w:ascii="Times New Roman" w:cs="Times New Roman" w:eastAsia="Times New Roman" w:hAnsi="Times New Roman"/>
          <w:sz w:val="18"/>
          <w:szCs w:val="18"/>
          <w:color w:val="auto"/>
        </w:rPr>
      </w:pPr>
    </w:p>
    <w:p>
      <w:pPr>
        <w:ind w:left="380" w:hanging="378"/>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232,199 shares of common stock and 2,283 shares of common stock issuable upon the partial exercise of a PIPE Pre-Funded Warrant which is exercisable within 60 days of March 16, 2026 held directly by TCG Crossover Fund II, L.P. (“TCG Crossover II”) and excludes 1,340,322 shares issuable upon exercise of such PIPE Pre-Funded Warrant which is not exercisable within 60 days of March 16, 2026 due to the Beneficial Ownership Limitation, based on the number of shares outstanding as of March 16, 2026, and (ii) 232,199 shares of common stock and 2,283 shares of common stock issuable upon the partial exercise of a PIPE Pre-Funded Warrant which is exercisable within 60 days of March 16, 2026 held directly by TCG Crossover Fund III, L.P. (“TCG Crossover III” and, together with TCG Crossover II, the “TCGX Entities”) and excludes 1,340,321 shares issuable upon exercise of such PIPE Pre-Funded Warrant that is not exercisable within 60 days of March 16, 2026 due to the Beneficial Ownership Limitation, based on the number of shares outstanding as of March 16, 2026. TCG Crossover GP II, LLC (“TCG Crossover GP II”) is the general partner of TCG Crossover II and may be deemed to have voting, investment and dispositive power with respect to the securities held by TCG Crossover II. TCG Crossover GP III, LLC is the general partner of TCG Crossover III and may be deemed to have voting, investment and dispositive power with respect to the securities held by TCG Crossover III. Chen Yu is the sole managing member of each of TCG Crossover GP II and TCG Crossover III and may be deemed to have voting, investment and dispositive power with respect to the securities held by each of TCG Crossover II and TCG Crossover III. See the section of this prospectus titled “Prospectus Summary—December 2025 Private Placement” for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additional information. The address of the TCGX Entities, TCG Crossover GP II, TCG Crossover GP III and Chen Yu is 245 Lytton Avenue, Suite 350, Palo Alto, CA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080" w:top="1417" w:right="61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1"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0"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These sales may be effected in transactions, which may involve crosses or block transactions. The selling stockholders may use any one or more of the following methods when disposing of shares or interests therein:</w:t>
      </w:r>
    </w:p>
    <w:p>
      <w:pPr>
        <w:spacing w:after="0" w:line="16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9" w:lineRule="exact"/>
        <w:rPr>
          <w:rFonts w:ascii="Times New Roman" w:cs="Times New Roman" w:eastAsia="Times New Roman" w:hAnsi="Times New Roman"/>
          <w:sz w:val="18"/>
          <w:szCs w:val="18"/>
          <w:color w:val="auto"/>
        </w:rPr>
      </w:pPr>
    </w:p>
    <w:p>
      <w:pPr>
        <w:ind w:left="760" w:right="18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ind w:right="120" w:firstLine="374"/>
        <w:spacing w:after="0" w:line="270"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if necessary, the list of selling stockholders to include the pledgee, transferee or other successors in interest as selling stockholders under this prospectus.</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selling stockholders also may transfer or donate the shares of common stock in other circumstances, in which case the transferees, pledgees or other successors in interest will be the selling stockholders for purposes of this prospectus.</w:t>
      </w:r>
    </w:p>
    <w:p>
      <w:pPr>
        <w:spacing w:after="0" w:line="18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or common warrants by payment of cash, however, we will receive the exercise price of the pre-funded warrants or common warrants.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right="20" w:firstLine="374"/>
        <w:spacing w:after="0" w:line="272" w:lineRule="auto"/>
        <w:rPr>
          <w:sz w:val="20"/>
          <w:szCs w:val="20"/>
          <w:color w:val="auto"/>
        </w:rPr>
      </w:pPr>
      <w:r>
        <w:rPr>
          <w:rFonts w:ascii="Times New Roman" w:cs="Times New Roman" w:eastAsia="Times New Roman" w:hAnsi="Times New Roman"/>
          <w:sz w:val="17"/>
          <w:szCs w:val="17"/>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72"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(1) the name of each such selling stockholder and of the participating broker-dealer(s), (2) the number of shares involved, (3) the price at which such the shares of common stock were sold, (4) the commissions paid or discounts or concessions allowed to such broker-dealer(s), where applicable, (5) that such broker-dealer(s) did not conduct any investigation to verify the information set out or incorporated by reference in this prospectus, and (6) other facts material to the transaction. In no event shall any broker-dealer receive fees, commissions and markups, which, in the aggregate, would exceed 8.0%.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9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There can be no assurance that any selling stockholder will sell any or all of the shares of common stock registered pursuant to the registration statement, of which this prospectus forms a part.</w:t>
      </w:r>
    </w:p>
    <w:p>
      <w:pPr>
        <w:spacing w:after="0" w:line="187"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until</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auto"/>
        </w:rPr>
        <w:t>the earlier of: (1) the date on which the selling stockholders shall have resold or otherwise disposed of all the shares covered by this prospectus pursuant to any applicable securities exemption where the recipient thereof receives unrestricted securities including Rule 144 (or any successor provision) or pursuant to this prospectus, and (2)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83"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2" w:name="page23"/>
    <w:bookmarkEnd w:id="2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3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Seattle, Washington. Certain members of, and investment partnerships comprised of members of, and persons associated with, Wilson Sonsini Goodrich &amp; Rosati, P.C. own less than 1% of our common stock.</w:t>
      </w: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31" w:lineRule="exact"/>
        <w:rPr>
          <w:sz w:val="20"/>
          <w:szCs w:val="20"/>
          <w:color w:val="auto"/>
        </w:rPr>
      </w:pPr>
    </w:p>
    <w:p>
      <w:pPr>
        <w:ind w:firstLine="374"/>
        <w:spacing w:after="0" w:line="253" w:lineRule="auto"/>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auto"/>
          </w:rPr>
          <w:t xml:space="preserve">Ernst &amp; Young LLP, independent registered public accounting firm, has audited our consolidated financial statements included in our </w:t>
        </w:r>
        <w:r>
          <w:rPr>
            <w:rFonts w:ascii="Times New Roman" w:cs="Times New Roman" w:eastAsia="Times New Roman" w:hAnsi="Times New Roman"/>
            <w:sz w:val="18"/>
            <w:szCs w:val="18"/>
            <w:u w:val="single" w:color="auto"/>
            <w:color w:val="0000FF"/>
          </w:rPr>
          <w:t>Annual Report</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on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2025, as set forth in their report, which is incorporated by reference in this prospectus and elsewhere in the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https://www.leonabio.com/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about these documents are summaries and each statement is qualified in all respects 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31"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w:t>
      </w:r>
    </w:p>
    <w:p>
      <w:pPr>
        <w:spacing w:after="0" w:line="106"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filed with the SEC on </w:t>
      </w:r>
      <w:hyperlink r:id="rId19">
        <w:r>
          <w:rPr>
            <w:rFonts w:ascii="Times New Roman" w:cs="Times New Roman" w:eastAsia="Times New Roman" w:hAnsi="Times New Roman"/>
            <w:sz w:val="18"/>
            <w:szCs w:val="18"/>
            <w:u w:val="single" w:color="auto"/>
            <w:color w:val="0000FF"/>
          </w:rPr>
          <w:t>March 31, 2026</w:t>
        </w:r>
      </w:hyperlink>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760" w:hanging="378"/>
        <w:spacing w:after="0" w:line="24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1">
        <w:r>
          <w:rPr>
            <w:rFonts w:ascii="Times New Roman" w:cs="Times New Roman" w:eastAsia="Times New Roman" w:hAnsi="Times New Roman"/>
            <w:sz w:val="18"/>
            <w:szCs w:val="18"/>
            <w:u w:val="single" w:color="auto"/>
            <w:color w:val="0000FF"/>
          </w:rPr>
          <w:t>January 9, 2026</w:t>
        </w:r>
      </w:hyperlink>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FF"/>
          </w:rPr>
          <w:t>March 19, 2026</w:t>
        </w:r>
      </w:hyperlink>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w:t>
      </w:r>
      <w:hyperlink r:id="rId43">
        <w:r>
          <w:rPr>
            <w:rFonts w:ascii="Times New Roman" w:cs="Times New Roman" w:eastAsia="Times New Roman" w:hAnsi="Times New Roman"/>
            <w:sz w:val="18"/>
            <w:szCs w:val="18"/>
            <w:u w:val="single" w:color="auto"/>
            <w:color w:val="0000FF"/>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and not filed under such Current Reports on Form 8-K); and</w:t>
      </w:r>
    </w:p>
    <w:p>
      <w:pPr>
        <w:spacing w:after="0" w:line="1" w:lineRule="exact"/>
        <w:rPr>
          <w:rFonts w:ascii="Times New Roman" w:cs="Times New Roman" w:eastAsia="Times New Roman" w:hAnsi="Times New Roman"/>
          <w:sz w:val="18"/>
          <w:szCs w:val="18"/>
          <w:color w:val="auto"/>
        </w:rPr>
      </w:pPr>
    </w:p>
    <w:p>
      <w:pPr>
        <w:ind w:left="760" w:right="180" w:hanging="378"/>
        <w:spacing w:after="0" w:line="260" w:lineRule="auto"/>
        <w:tabs>
          <w:tab w:leader="none" w:pos="760" w:val="left"/>
        </w:tabs>
        <w:numPr>
          <w:ilvl w:val="0"/>
          <w:numId w:val="12"/>
        </w:numPr>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auto"/>
          </w:rPr>
          <w:t xml:space="preserve">the description of our common stock contained in the Registration Statement on Form 8-A relating thereto, filed with the SEC on </w:t>
        </w:r>
        <w:r>
          <w:rPr>
            <w:rFonts w:ascii="Times New Roman" w:cs="Times New Roman" w:eastAsia="Times New Roman" w:hAnsi="Times New Roman"/>
            <w:sz w:val="18"/>
            <w:szCs w:val="18"/>
            <w:u w:val="single" w:color="auto"/>
            <w:color w:val="0000FF"/>
          </w:rPr>
          <w:t>September 9,</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2020</w:t>
        </w:r>
        <w:r>
          <w:rPr>
            <w:rFonts w:ascii="Times New Roman" w:cs="Times New Roman" w:eastAsia="Times New Roman" w:hAnsi="Times New Roman"/>
            <w:sz w:val="18"/>
            <w:szCs w:val="18"/>
            <w:color w:val="000000"/>
          </w:rPr>
          <w:t>, including any amendment or report filed for the purpose of updating such description.</w:t>
        </w:r>
      </w:hyperlink>
    </w:p>
    <w:p>
      <w:pPr>
        <w:spacing w:after="0" w:line="181"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and telephone number:</w:t>
      </w:r>
    </w:p>
    <w:p>
      <w:pPr>
        <w:spacing w:after="0" w:line="22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LeonaBio,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18706 North Creek Parkway, Suite 104</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Bothell, Washington 98011</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(425) 620-8501</w:t>
      </w:r>
    </w:p>
    <w:p>
      <w:pPr>
        <w:spacing w:after="0" w:line="9" w:lineRule="exact"/>
        <w:rPr>
          <w:rFonts w:ascii="Times New Roman" w:cs="Times New Roman" w:eastAsia="Times New Roman" w:hAnsi="Times New Roman"/>
          <w:sz w:val="18"/>
          <w:szCs w:val="18"/>
          <w:color w:val="auto"/>
        </w:rPr>
      </w:pPr>
    </w:p>
    <w:p>
      <w:pPr>
        <w:ind w:right="240" w:firstLine="374"/>
        <w:spacing w:after="0" w:line="255"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www.leonabio.com. Except for the specific incorporated documents listed above, no information available on or through our website shall be deemed to be incorporated in this prospectus or the registration statement of which it forms a part. Information contained on our website is not part of this prospectus.</w:t>
      </w:r>
    </w:p>
    <w:p>
      <w:pPr>
        <w:spacing w:after="0" w:line="38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3114040</wp:posOffset>
            </wp:positionH>
            <wp:positionV relativeFrom="page">
              <wp:posOffset>1049020</wp:posOffset>
            </wp:positionV>
            <wp:extent cx="1328420" cy="1405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LeonaBio, Inc.</w:t>
      </w:r>
    </w:p>
    <w:p>
      <w:pPr>
        <w:spacing w:after="0" w:line="200" w:lineRule="exact"/>
        <w:rPr>
          <w:sz w:val="20"/>
          <w:szCs w:val="20"/>
          <w:color w:val="auto"/>
        </w:rPr>
      </w:pPr>
    </w:p>
    <w:p>
      <w:pPr>
        <w:spacing w:after="0" w:line="24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58,464,567 Shares of Common Stock</w:t>
      </w:r>
    </w:p>
    <w:p>
      <w:pPr>
        <w:spacing w:after="0" w:line="4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1181735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2)"/>
      <w:numFmt w:val="decimal"/>
      <w:start w:val="1"/>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
      <w:numFmt w:val="bullet"/>
      <w:start w:val="1"/>
    </w:lvl>
    <w:lvl w:ilvl="1">
      <w:lvlJc w:val="left"/>
      <w:lvlText w:val="(%2)"/>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6"/>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jpe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19" Type="http://schemas.openxmlformats.org/officeDocument/2006/relationships/hyperlink" Target="https://www.sec.gov/ix?doc=/Archives/edgar/data/0001620463/000119312526134565/lona-20251231.htm" TargetMode="External"/><Relationship Id="rId25" Type="http://schemas.openxmlformats.org/officeDocument/2006/relationships/hyperlink" Target="https://www.sec.gov/Archives/edgar/data/1620463/000119312526134565/lona-ex4_2.htm" TargetMode="External"/><Relationship Id="rId41" Type="http://schemas.openxmlformats.org/officeDocument/2006/relationships/hyperlink" Target="https://www.sec.gov/ix?doc=/Archives/edgar/data/0001620463/000119312526008904/atha-20260107.htm" TargetMode="External"/><Relationship Id="rId42" Type="http://schemas.openxmlformats.org/officeDocument/2006/relationships/hyperlink" Target="https://www.sec.gov/ix?doc=/Archives/edgar/data/0001620463/000119312526116123/lona-20260318.htm" TargetMode="External"/><Relationship Id="rId43" Type="http://schemas.openxmlformats.org/officeDocument/2006/relationships/hyperlink" Target="https://www.sec.gov/ix?doc=/Archives/edgar/data/0001620463/000119312526134097/lona-20251218.htm" TargetMode="External"/><Relationship Id="rId44" Type="http://schemas.openxmlformats.org/officeDocument/2006/relationships/hyperlink" Target="https://www.sec.gov/Archives/edgar/data/1620463/000095012320009608/atha-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2026-04-02T05:14:04Z</dcterms:created>
  <dcterms:modified xsi:type="dcterms:W3CDTF">2026-04-02T05:14:04Z</dcterms:modified>
</cp:coreProperties>
</file>