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9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9968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Worthington Mark</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Athira Pharma,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ATHA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180" w:type="dxa"/>
            <w:vAlign w:val="bottom"/>
          </w:tcPr>
          <w:p>
            <w:pPr>
              <w:spacing w:after="0"/>
              <w:rPr>
                <w:sz w:val="18"/>
                <w:szCs w:val="18"/>
                <w:color w:val="auto"/>
              </w:rPr>
            </w:pPr>
          </w:p>
        </w:tc>
        <w:tc>
          <w:tcPr>
            <w:tcW w:w="18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06/30/2025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697"/>
        <w:spacing w:after="0"/>
        <w:rPr>
          <w:sz w:val="20"/>
          <w:szCs w:val="20"/>
          <w:color w:val="auto"/>
        </w:rPr>
      </w:pPr>
      <w:r>
        <w:rPr>
          <w:rFonts w:ascii="Times New Roman" w:cs="Times New Roman" w:eastAsia="Times New Roman" w:hAnsi="Times New Roman"/>
          <w:sz w:val="17"/>
          <w:szCs w:val="17"/>
          <w:color w:val="0000FF"/>
        </w:rPr>
        <w:t>General Counsel and CCO</w:t>
      </w:r>
    </w:p>
    <w:p>
      <w:pPr>
        <w:spacing w:after="0" w:line="39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98011</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3"/>
          </w:tcPr>
          <w:p>
            <w:pPr>
              <w:jc w:val="center"/>
              <w:ind w:left="71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0000FF"/>
              </w:rPr>
              <w:t>06/30/2025</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36,666</w:t>
            </w:r>
          </w:p>
        </w:tc>
        <w:tc>
          <w:tcPr>
            <w:tcW w:w="600" w:type="dxa"/>
            <w:vAlign w:val="bottom"/>
          </w:tcPr>
          <w:p>
            <w:pPr>
              <w:jc w:val="center"/>
              <w:ind w:left="17"/>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Pr>
          <w:p>
            <w:pPr>
              <w:jc w:val="center"/>
              <w:ind w:right="5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120,401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07/01/2025</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8,526</w:t>
            </w:r>
          </w:p>
        </w:tc>
        <w:tc>
          <w:tcPr>
            <w:tcW w:w="600" w:type="dxa"/>
            <w:vAlign w:val="bottom"/>
            <w:tcBorders>
              <w:bottom w:val="single" w:sz="8" w:color="2C2C2C"/>
            </w:tcBorders>
          </w:tcPr>
          <w:p>
            <w:pPr>
              <w:jc w:val="center"/>
              <w:ind w:left="17"/>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0.2935</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111,875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36,666</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06/30/2025</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12"/>
                <w:szCs w:val="12"/>
                <w:color w:val="auto"/>
              </w:rPr>
            </w:pPr>
          </w:p>
        </w:tc>
        <w:tc>
          <w:tcPr>
            <w:tcW w:w="82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36,666</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36,667</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-2028825</wp:posOffset>
            </wp:positionV>
            <wp:extent cx="29210" cy="2033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390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w:t>
      </w:r>
    </w:p>
    <w:p>
      <w:pPr>
        <w:spacing w:after="0" w:line="16" w:lineRule="exact"/>
        <w:rPr>
          <w:rFonts w:ascii="Times New Roman" w:cs="Times New Roman" w:eastAsia="Times New Roman" w:hAnsi="Times New Roman"/>
          <w:sz w:val="13"/>
          <w:szCs w:val="13"/>
          <w:color w:val="008000"/>
        </w:rPr>
      </w:pPr>
    </w:p>
    <w:p>
      <w:pPr>
        <w:ind w:left="40" w:right="1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$0.2854 to $0.3031,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convert into common stock on a one-for-one basis.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2024, the reporting person was granted 110,000 RSUs. One-third (1/3rd) of the RSUs vest on each of December 31, 2024, June 30, 2025 and December 31, 2025, subject to the reporting person continuing to be a Service Provider (as defined in the Issuer's 2020 Equity Incentive Plan (the "Plan")) through the applicable vesting dates.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Mark Worthington</w:t>
            </w:r>
          </w:p>
        </w:tc>
        <w:tc>
          <w:tcPr>
            <w:tcW w:w="74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07/02/2025</w:t>
            </w: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464"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2025-07-02T15:35:14Z</dcterms:created>
  <dcterms:modified xsi:type="dcterms:W3CDTF">2025-07-02T15:35:14Z</dcterms:modified>
</cp:coreProperties>
</file>