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6"/>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136"/>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236"/>
        <w:spacing w:after="0"/>
        <w:rPr>
          <w:sz w:val="20"/>
          <w:szCs w:val="20"/>
          <w:color w:val="auto"/>
        </w:rPr>
      </w:pPr>
      <w:r>
        <w:rPr>
          <w:rFonts w:ascii="Times New Roman" w:cs="Times New Roman" w:eastAsia="Times New Roman" w:hAnsi="Times New Roman"/>
          <w:sz w:val="32"/>
          <w:szCs w:val="32"/>
          <w:b w:val="1"/>
          <w:bCs w:val="1"/>
          <w:color w:val="auto"/>
        </w:rPr>
        <w:t>SCHEDULE 13D/A</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Athira Pharma, Inc.</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Common Stock, $0.0001 par value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04746L 104</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Alexander Rakitin</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Perceptive Advisors LLC</w:t>
      </w:r>
    </w:p>
    <w:p>
      <w:pPr>
        <w:jc w:val="center"/>
        <w:ind w:right="-63"/>
        <w:spacing w:after="0" w:line="181" w:lineRule="auto"/>
        <w:rPr>
          <w:sz w:val="20"/>
          <w:szCs w:val="20"/>
          <w:color w:val="auto"/>
        </w:rPr>
      </w:pPr>
      <w:r>
        <w:rPr>
          <w:rFonts w:ascii="Times New Roman" w:cs="Times New Roman" w:eastAsia="Times New Roman" w:hAnsi="Times New Roman"/>
          <w:sz w:val="18"/>
          <w:szCs w:val="18"/>
          <w:b w:val="1"/>
          <w:bCs w:val="1"/>
          <w:color w:val="auto"/>
        </w:rPr>
        <w:t>51 Astor Place, 10</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spacing w:after="0" w:line="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New York, NY 10003</w:t>
      </w:r>
    </w:p>
    <w:p>
      <w:pPr>
        <w:spacing w:after="0" w:line="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(646) 205-5340</w:t>
      </w:r>
    </w:p>
    <w:p>
      <w:pPr>
        <w:spacing w:after="0" w:line="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304800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ind w:left="4" w:right="120"/>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9" w:lineRule="exact"/>
        <w:rPr>
          <w:sz w:val="24"/>
          <w:szCs w:val="24"/>
          <w:color w:val="auto"/>
        </w:rPr>
      </w:pPr>
    </w:p>
    <w:p>
      <w:pPr>
        <w:ind w:left="4" w:right="18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Section 240.13d-7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71" w:lineRule="exact"/>
        <w:rPr>
          <w:sz w:val="24"/>
          <w:szCs w:val="24"/>
          <w:color w:val="auto"/>
        </w:rPr>
      </w:pPr>
    </w:p>
    <w:p>
      <w:pPr>
        <w:ind w:left="424"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as amended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174625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4"/>
          </w:cols>
          <w:pgMar w:left="436" w:top="376" w:right="5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04746L 104</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38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560" w:type="dxa"/>
            <w:vAlign w:val="bottom"/>
            <w:tcBorders>
              <w:top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Perceptive Advisors LLC</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10560" w:type="dxa"/>
            <w:vAlign w:val="bottom"/>
            <w:tcBorders>
              <w:right w:val="single" w:sz="8" w:color="auto"/>
            </w:tcBorders>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6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20" w:type="dxa"/>
            <w:vAlign w:val="bottom"/>
          </w:tcPr>
          <w:p>
            <w:pPr>
              <w:spacing w:after="0"/>
              <w:rPr>
                <w:sz w:val="24"/>
                <w:szCs w:val="24"/>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w:t>
            </w:r>
          </w:p>
        </w:tc>
        <w:tc>
          <w:tcPr>
            <w:tcW w:w="932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3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w w:val="98"/>
              </w:rPr>
              <w:t>SEC Use Only</w:t>
            </w:r>
          </w:p>
        </w:tc>
        <w:tc>
          <w:tcPr>
            <w:tcW w:w="9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94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AF</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Delaware</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7"/>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Shares</w:t>
            </w:r>
          </w:p>
        </w:tc>
        <w:tc>
          <w:tcPr>
            <w:tcW w:w="32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3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continue"/>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3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140" w:type="dxa"/>
            <w:vAlign w:val="bottom"/>
            <w:tcBorders>
              <w:left w:val="single" w:sz="8" w:color="auto"/>
              <w:right w:val="single" w:sz="8" w:color="auto"/>
            </w:tcBorders>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3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Owned by</w:t>
            </w:r>
          </w:p>
        </w:tc>
        <w:tc>
          <w:tcPr>
            <w:tcW w:w="3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4,811,149</w:t>
            </w:r>
          </w:p>
        </w:tc>
        <w:tc>
          <w:tcPr>
            <w:tcW w:w="0" w:type="dxa"/>
            <w:vAlign w:val="bottom"/>
          </w:tcPr>
          <w:p>
            <w:pPr>
              <w:spacing w:after="0"/>
              <w:rPr>
                <w:sz w:val="1"/>
                <w:szCs w:val="1"/>
                <w:color w:val="auto"/>
              </w:rPr>
            </w:pPr>
          </w:p>
        </w:tc>
      </w:tr>
      <w:tr>
        <w:trPr>
          <w:trHeight w:val="120"/>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Each</w:t>
            </w:r>
          </w:p>
        </w:tc>
        <w:tc>
          <w:tcPr>
            <w:tcW w:w="32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3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80" w:type="dxa"/>
            <w:vAlign w:val="bottom"/>
            <w:tcBorders>
              <w:left w:val="single" w:sz="8" w:color="auto"/>
            </w:tcBorders>
          </w:tcPr>
          <w:p>
            <w:pPr>
              <w:spacing w:after="0"/>
              <w:rPr>
                <w:sz w:val="6"/>
                <w:szCs w:val="6"/>
                <w:color w:val="auto"/>
              </w:rPr>
            </w:pPr>
          </w:p>
        </w:tc>
        <w:tc>
          <w:tcPr>
            <w:tcW w:w="760" w:type="dxa"/>
            <w:vAlign w:val="bottom"/>
            <w:tcBorders>
              <w:right w:val="single" w:sz="8" w:color="auto"/>
            </w:tcBorders>
            <w:gridSpan w:val="2"/>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32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3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3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760" w:type="dxa"/>
            <w:vAlign w:val="bottom"/>
            <w:tcBorders>
              <w:right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7"/>
              </w:rPr>
              <w:t>Person</w:t>
            </w:r>
          </w:p>
        </w:tc>
        <w:tc>
          <w:tcPr>
            <w:tcW w:w="3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380" w:type="dxa"/>
            <w:vAlign w:val="bottom"/>
            <w:tcBorders>
              <w:left w:val="single" w:sz="8" w:color="auto"/>
            </w:tcBorders>
          </w:tcPr>
          <w:p>
            <w:pPr>
              <w:spacing w:after="0"/>
              <w:rPr>
                <w:sz w:val="15"/>
                <w:szCs w:val="15"/>
                <w:color w:val="auto"/>
              </w:rPr>
            </w:pPr>
          </w:p>
        </w:tc>
        <w:tc>
          <w:tcPr>
            <w:tcW w:w="760" w:type="dxa"/>
            <w:vAlign w:val="bottom"/>
            <w:tcBorders>
              <w:right w:val="single" w:sz="8" w:color="auto"/>
            </w:tcBorders>
            <w:gridSpan w:val="2"/>
          </w:tcPr>
          <w:p>
            <w:pPr>
              <w:jc w:val="center"/>
              <w:ind w:right="150"/>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32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4,811,149</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right w:val="single" w:sz="8" w:color="auto"/>
            </w:tcBorders>
          </w:tcPr>
          <w:p>
            <w:pPr>
              <w:spacing w:after="0"/>
              <w:rPr>
                <w:sz w:val="20"/>
                <w:szCs w:val="20"/>
                <w:color w:val="auto"/>
              </w:rPr>
            </w:pPr>
          </w:p>
        </w:tc>
        <w:tc>
          <w:tcPr>
            <w:tcW w:w="1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Aggregate</w:t>
            </w:r>
          </w:p>
        </w:tc>
        <w:tc>
          <w:tcPr>
            <w:tcW w:w="94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4,811,149</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4"/>
              </w:rPr>
              <w:t>12.8%</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IA</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04746L 104</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38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560" w:type="dxa"/>
            <w:vAlign w:val="bottom"/>
            <w:tcBorders>
              <w:top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Joseph Edelman</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10560" w:type="dxa"/>
            <w:vAlign w:val="bottom"/>
            <w:tcBorders>
              <w:right w:val="single" w:sz="8" w:color="auto"/>
            </w:tcBorders>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6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20" w:type="dxa"/>
            <w:vAlign w:val="bottom"/>
          </w:tcPr>
          <w:p>
            <w:pPr>
              <w:spacing w:after="0"/>
              <w:rPr>
                <w:sz w:val="24"/>
                <w:szCs w:val="24"/>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w:t>
            </w:r>
          </w:p>
        </w:tc>
        <w:tc>
          <w:tcPr>
            <w:tcW w:w="932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3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w w:val="98"/>
              </w:rPr>
              <w:t>SEC Use Only</w:t>
            </w:r>
          </w:p>
        </w:tc>
        <w:tc>
          <w:tcPr>
            <w:tcW w:w="9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94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AF</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7"/>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Shares</w:t>
            </w:r>
          </w:p>
        </w:tc>
        <w:tc>
          <w:tcPr>
            <w:tcW w:w="32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3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continue"/>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3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140" w:type="dxa"/>
            <w:vAlign w:val="bottom"/>
            <w:tcBorders>
              <w:left w:val="single" w:sz="8" w:color="auto"/>
              <w:right w:val="single" w:sz="8" w:color="auto"/>
            </w:tcBorders>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3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Owned by</w:t>
            </w:r>
          </w:p>
        </w:tc>
        <w:tc>
          <w:tcPr>
            <w:tcW w:w="3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4,811,149</w:t>
            </w:r>
          </w:p>
        </w:tc>
        <w:tc>
          <w:tcPr>
            <w:tcW w:w="0" w:type="dxa"/>
            <w:vAlign w:val="bottom"/>
          </w:tcPr>
          <w:p>
            <w:pPr>
              <w:spacing w:after="0"/>
              <w:rPr>
                <w:sz w:val="1"/>
                <w:szCs w:val="1"/>
                <w:color w:val="auto"/>
              </w:rPr>
            </w:pPr>
          </w:p>
        </w:tc>
      </w:tr>
      <w:tr>
        <w:trPr>
          <w:trHeight w:val="120"/>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Each</w:t>
            </w:r>
          </w:p>
        </w:tc>
        <w:tc>
          <w:tcPr>
            <w:tcW w:w="32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3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80" w:type="dxa"/>
            <w:vAlign w:val="bottom"/>
            <w:tcBorders>
              <w:left w:val="single" w:sz="8" w:color="auto"/>
            </w:tcBorders>
          </w:tcPr>
          <w:p>
            <w:pPr>
              <w:spacing w:after="0"/>
              <w:rPr>
                <w:sz w:val="6"/>
                <w:szCs w:val="6"/>
                <w:color w:val="auto"/>
              </w:rPr>
            </w:pPr>
          </w:p>
        </w:tc>
        <w:tc>
          <w:tcPr>
            <w:tcW w:w="760" w:type="dxa"/>
            <w:vAlign w:val="bottom"/>
            <w:tcBorders>
              <w:right w:val="single" w:sz="8" w:color="auto"/>
            </w:tcBorders>
            <w:gridSpan w:val="2"/>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32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3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3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760" w:type="dxa"/>
            <w:vAlign w:val="bottom"/>
            <w:tcBorders>
              <w:right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7"/>
              </w:rPr>
              <w:t>Person</w:t>
            </w:r>
          </w:p>
        </w:tc>
        <w:tc>
          <w:tcPr>
            <w:tcW w:w="3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380" w:type="dxa"/>
            <w:vAlign w:val="bottom"/>
            <w:tcBorders>
              <w:left w:val="single" w:sz="8" w:color="auto"/>
            </w:tcBorders>
          </w:tcPr>
          <w:p>
            <w:pPr>
              <w:spacing w:after="0"/>
              <w:rPr>
                <w:sz w:val="15"/>
                <w:szCs w:val="15"/>
                <w:color w:val="auto"/>
              </w:rPr>
            </w:pPr>
          </w:p>
        </w:tc>
        <w:tc>
          <w:tcPr>
            <w:tcW w:w="760" w:type="dxa"/>
            <w:vAlign w:val="bottom"/>
            <w:tcBorders>
              <w:right w:val="single" w:sz="8" w:color="auto"/>
            </w:tcBorders>
            <w:gridSpan w:val="2"/>
          </w:tcPr>
          <w:p>
            <w:pPr>
              <w:jc w:val="center"/>
              <w:ind w:right="150"/>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32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4,811,149</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right w:val="single" w:sz="8" w:color="auto"/>
            </w:tcBorders>
          </w:tcPr>
          <w:p>
            <w:pPr>
              <w:spacing w:after="0"/>
              <w:rPr>
                <w:sz w:val="20"/>
                <w:szCs w:val="20"/>
                <w:color w:val="auto"/>
              </w:rPr>
            </w:pPr>
          </w:p>
        </w:tc>
        <w:tc>
          <w:tcPr>
            <w:tcW w:w="1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Aggregate</w:t>
            </w:r>
          </w:p>
        </w:tc>
        <w:tc>
          <w:tcPr>
            <w:tcW w:w="94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4,811,149</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4"/>
              </w:rPr>
              <w:t>12.8%</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04746L 104</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38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560" w:type="dxa"/>
            <w:vAlign w:val="bottom"/>
            <w:tcBorders>
              <w:top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Perceptive Life Sciences Master Fund, Ltd.</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10560" w:type="dxa"/>
            <w:vAlign w:val="bottom"/>
            <w:tcBorders>
              <w:right w:val="single" w:sz="8" w:color="auto"/>
            </w:tcBorders>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6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20" w:type="dxa"/>
            <w:vAlign w:val="bottom"/>
          </w:tcPr>
          <w:p>
            <w:pPr>
              <w:spacing w:after="0"/>
              <w:rPr>
                <w:sz w:val="24"/>
                <w:szCs w:val="24"/>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w:t>
            </w:r>
          </w:p>
        </w:tc>
        <w:tc>
          <w:tcPr>
            <w:tcW w:w="932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3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w w:val="98"/>
              </w:rPr>
              <w:t>SEC Use Only</w:t>
            </w:r>
          </w:p>
        </w:tc>
        <w:tc>
          <w:tcPr>
            <w:tcW w:w="9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94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WC</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Cayman Islands</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7"/>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Shares</w:t>
            </w:r>
          </w:p>
        </w:tc>
        <w:tc>
          <w:tcPr>
            <w:tcW w:w="32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3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continue"/>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3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140" w:type="dxa"/>
            <w:vAlign w:val="bottom"/>
            <w:tcBorders>
              <w:left w:val="single" w:sz="8" w:color="auto"/>
              <w:right w:val="single" w:sz="8" w:color="auto"/>
            </w:tcBorders>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3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Owned by</w:t>
            </w:r>
          </w:p>
        </w:tc>
        <w:tc>
          <w:tcPr>
            <w:tcW w:w="3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4,797,278</w:t>
            </w:r>
          </w:p>
        </w:tc>
        <w:tc>
          <w:tcPr>
            <w:tcW w:w="0" w:type="dxa"/>
            <w:vAlign w:val="bottom"/>
          </w:tcPr>
          <w:p>
            <w:pPr>
              <w:spacing w:after="0"/>
              <w:rPr>
                <w:sz w:val="1"/>
                <w:szCs w:val="1"/>
                <w:color w:val="auto"/>
              </w:rPr>
            </w:pPr>
          </w:p>
        </w:tc>
      </w:tr>
      <w:tr>
        <w:trPr>
          <w:trHeight w:val="120"/>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Each</w:t>
            </w:r>
          </w:p>
        </w:tc>
        <w:tc>
          <w:tcPr>
            <w:tcW w:w="32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3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80" w:type="dxa"/>
            <w:vAlign w:val="bottom"/>
            <w:tcBorders>
              <w:left w:val="single" w:sz="8" w:color="auto"/>
            </w:tcBorders>
          </w:tcPr>
          <w:p>
            <w:pPr>
              <w:spacing w:after="0"/>
              <w:rPr>
                <w:sz w:val="6"/>
                <w:szCs w:val="6"/>
                <w:color w:val="auto"/>
              </w:rPr>
            </w:pPr>
          </w:p>
        </w:tc>
        <w:tc>
          <w:tcPr>
            <w:tcW w:w="760" w:type="dxa"/>
            <w:vAlign w:val="bottom"/>
            <w:tcBorders>
              <w:right w:val="single" w:sz="8" w:color="auto"/>
            </w:tcBorders>
            <w:gridSpan w:val="2"/>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32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3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3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760" w:type="dxa"/>
            <w:vAlign w:val="bottom"/>
            <w:tcBorders>
              <w:right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7"/>
              </w:rPr>
              <w:t>Person</w:t>
            </w:r>
          </w:p>
        </w:tc>
        <w:tc>
          <w:tcPr>
            <w:tcW w:w="3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380" w:type="dxa"/>
            <w:vAlign w:val="bottom"/>
            <w:tcBorders>
              <w:left w:val="single" w:sz="8" w:color="auto"/>
            </w:tcBorders>
          </w:tcPr>
          <w:p>
            <w:pPr>
              <w:spacing w:after="0"/>
              <w:rPr>
                <w:sz w:val="15"/>
                <w:szCs w:val="15"/>
                <w:color w:val="auto"/>
              </w:rPr>
            </w:pPr>
          </w:p>
        </w:tc>
        <w:tc>
          <w:tcPr>
            <w:tcW w:w="760" w:type="dxa"/>
            <w:vAlign w:val="bottom"/>
            <w:tcBorders>
              <w:right w:val="single" w:sz="8" w:color="auto"/>
            </w:tcBorders>
            <w:gridSpan w:val="2"/>
          </w:tcPr>
          <w:p>
            <w:pPr>
              <w:jc w:val="center"/>
              <w:ind w:right="150"/>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32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4,797,278</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right w:val="single" w:sz="8" w:color="auto"/>
            </w:tcBorders>
          </w:tcPr>
          <w:p>
            <w:pPr>
              <w:spacing w:after="0"/>
              <w:rPr>
                <w:sz w:val="20"/>
                <w:szCs w:val="20"/>
                <w:color w:val="auto"/>
              </w:rPr>
            </w:pPr>
          </w:p>
        </w:tc>
        <w:tc>
          <w:tcPr>
            <w:tcW w:w="1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Aggregate</w:t>
            </w:r>
          </w:p>
        </w:tc>
        <w:tc>
          <w:tcPr>
            <w:tcW w:w="94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4,797,278</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4"/>
              </w:rPr>
              <w:t>12.7%</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4" w:name="page5"/>
    <w:bookmarkEnd w:id="4"/>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3.</w:t>
      </w:r>
      <w:r>
        <w:rPr>
          <w:sz w:val="20"/>
          <w:szCs w:val="20"/>
          <w:color w:val="auto"/>
        </w:rPr>
        <w:tab/>
      </w:r>
      <w:r>
        <w:rPr>
          <w:rFonts w:ascii="Times New Roman" w:cs="Times New Roman" w:eastAsia="Times New Roman" w:hAnsi="Times New Roman"/>
          <w:sz w:val="18"/>
          <w:szCs w:val="18"/>
          <w:b w:val="1"/>
          <w:bCs w:val="1"/>
          <w:color w:val="auto"/>
        </w:rPr>
        <w:t>Source and Amount of Funds or Other Consideration</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Item 3 of the Schedule 13D is amended and supplemented as follows:</w:t>
      </w:r>
    </w:p>
    <w:p>
      <w:pPr>
        <w:spacing w:after="0" w:line="117" w:lineRule="exact"/>
        <w:rPr>
          <w:sz w:val="20"/>
          <w:szCs w:val="20"/>
          <w:color w:val="auto"/>
        </w:rPr>
      </w:pPr>
    </w:p>
    <w:p>
      <w:pPr>
        <w:ind w:left="444" w:right="220"/>
        <w:spacing w:after="0" w:line="282" w:lineRule="auto"/>
        <w:rPr>
          <w:sz w:val="20"/>
          <w:szCs w:val="20"/>
          <w:color w:val="auto"/>
        </w:rPr>
      </w:pPr>
      <w:r>
        <w:rPr>
          <w:rFonts w:ascii="Times New Roman" w:cs="Times New Roman" w:eastAsia="Times New Roman" w:hAnsi="Times New Roman"/>
          <w:sz w:val="18"/>
          <w:szCs w:val="18"/>
          <w:color w:val="auto"/>
        </w:rPr>
        <w:t>The Reporting Persons acquired beneficial ownership of the shares of the Common Stock in the transactions and at the prices described in Item 5(c). The source of the funds for acquiring these shares was the working capital of the Master Fund.</w:t>
      </w:r>
    </w:p>
    <w:p>
      <w:pPr>
        <w:spacing w:after="0" w:line="306"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12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Item 5 of the Schedule 13D is amended and supplemented as follows:</w:t>
      </w:r>
    </w:p>
    <w:p>
      <w:pPr>
        <w:spacing w:after="0" w:line="131" w:lineRule="exact"/>
        <w:rPr>
          <w:sz w:val="20"/>
          <w:szCs w:val="20"/>
          <w:color w:val="auto"/>
        </w:rPr>
      </w:pPr>
    </w:p>
    <w:p>
      <w:pPr>
        <w:jc w:val="both"/>
        <w:ind w:left="964" w:hanging="532"/>
        <w:spacing w:after="0" w:line="266" w:lineRule="auto"/>
        <w:tabs>
          <w:tab w:leader="none" w:pos="9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rows 11 and 13 of the cover pages to this Schedule 13D is incorporated by reference. The percentage set forth in row 13 is based on 37,635,983 outstanding shares of Common Stock, as reported by the Issuer in its Form 10-Q filed with the Securities and Exchange Commission on May 12, 2022.</w:t>
      </w:r>
    </w:p>
    <w:p>
      <w:pPr>
        <w:spacing w:after="0" w:line="81" w:lineRule="exact"/>
        <w:rPr>
          <w:rFonts w:ascii="Times New Roman" w:cs="Times New Roman" w:eastAsia="Times New Roman" w:hAnsi="Times New Roman"/>
          <w:sz w:val="18"/>
          <w:szCs w:val="18"/>
          <w:color w:val="auto"/>
        </w:rPr>
      </w:pPr>
    </w:p>
    <w:p>
      <w:pPr>
        <w:ind w:left="964" w:right="420" w:hanging="532"/>
        <w:spacing w:after="0" w:line="282" w:lineRule="auto"/>
        <w:tabs>
          <w:tab w:leader="none" w:pos="9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rows 7 through 10 of the cover pages to this Schedule 13D is incorporated by reference. Includes 13,871 vested options awarded to Mr. Edelman.</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Master Fund made the following purchases within the past 60 days:</w:t>
      </w:r>
    </w:p>
    <w:p>
      <w:pPr>
        <w:spacing w:after="0" w:line="248" w:lineRule="exact"/>
        <w:rPr>
          <w:sz w:val="20"/>
          <w:szCs w:val="20"/>
          <w:color w:val="auto"/>
        </w:rPr>
      </w:pPr>
    </w:p>
    <w:tbl>
      <w:tblPr>
        <w:tblLayout w:type="fixed"/>
        <w:tblInd w:w="1324" w:type="dxa"/>
        <w:tblCellMar>
          <w:top w:w="0" w:type="dxa"/>
          <w:left w:w="0" w:type="dxa"/>
          <w:bottom w:w="0" w:type="dxa"/>
          <w:right w:w="0" w:type="dxa"/>
        </w:tblCellMar>
      </w:tblPr>
      <w:tr>
        <w:trPr>
          <w:trHeight w:val="191"/>
        </w:trPr>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8"/>
              </w:rPr>
              <w:t>Date</w:t>
            </w:r>
          </w:p>
        </w:tc>
        <w:tc>
          <w:tcPr>
            <w:tcW w:w="6220" w:type="dxa"/>
            <w:vAlign w:val="bottom"/>
          </w:tcPr>
          <w:p>
            <w:pPr>
              <w:spacing w:after="0"/>
              <w:rPr>
                <w:sz w:val="16"/>
                <w:szCs w:val="16"/>
                <w:color w:val="auto"/>
              </w:rPr>
            </w:pP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Shares</w:t>
            </w:r>
          </w:p>
        </w:tc>
        <w:tc>
          <w:tcPr>
            <w:tcW w:w="180" w:type="dxa"/>
            <w:vAlign w:val="bottom"/>
          </w:tcPr>
          <w:p>
            <w:pPr>
              <w:spacing w:after="0"/>
              <w:rPr>
                <w:sz w:val="16"/>
                <w:szCs w:val="16"/>
                <w:color w:val="auto"/>
              </w:rPr>
            </w:pPr>
          </w:p>
        </w:tc>
        <w:tc>
          <w:tcPr>
            <w:tcW w:w="70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color w:val="auto"/>
              </w:rPr>
              <w:t>Price</w:t>
            </w:r>
          </w:p>
        </w:tc>
      </w:tr>
      <w:tr>
        <w:trPr>
          <w:trHeight w:val="203"/>
        </w:trPr>
        <w:tc>
          <w:tcPr>
            <w:tcW w:w="65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June 29, 2022</w:t>
            </w:r>
          </w:p>
        </w:tc>
        <w:tc>
          <w:tcPr>
            <w:tcW w:w="780" w:type="dxa"/>
            <w:vAlign w:val="bottom"/>
            <w:tcBorders>
              <w:top w:val="single" w:sz="8" w:color="auto"/>
            </w:tcBorders>
            <w:shd w:val="clear" w:color="auto" w:fill="CCEEFF"/>
          </w:tcPr>
          <w:p>
            <w:pPr>
              <w:ind w:left="200"/>
              <w:spacing w:after="0" w:line="203" w:lineRule="exact"/>
              <w:rPr>
                <w:sz w:val="20"/>
                <w:szCs w:val="20"/>
                <w:color w:val="auto"/>
              </w:rPr>
            </w:pPr>
            <w:r>
              <w:rPr>
                <w:rFonts w:ascii="Times New Roman" w:cs="Times New Roman" w:eastAsia="Times New Roman" w:hAnsi="Times New Roman"/>
                <w:sz w:val="18"/>
                <w:szCs w:val="18"/>
                <w:color w:val="auto"/>
                <w:w w:val="95"/>
              </w:rPr>
              <w:t>270,000</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$2.99</w:t>
            </w:r>
          </w:p>
        </w:tc>
        <w:tc>
          <w:tcPr>
            <w:tcW w:w="240" w:type="dxa"/>
            <w:vAlign w:val="bottom"/>
            <w:tcBorders>
              <w:top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5"/>
              </w:rPr>
              <w:t>(1)</w:t>
            </w:r>
          </w:p>
        </w:tc>
      </w:tr>
      <w:tr>
        <w:trPr>
          <w:trHeight w:val="234"/>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 2022</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1,101,362</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$2.99 (2)</w:t>
            </w:r>
          </w:p>
        </w:tc>
      </w:tr>
    </w:tbl>
    <w:p>
      <w:pPr>
        <w:spacing w:after="0" w:line="206" w:lineRule="exact"/>
        <w:rPr>
          <w:sz w:val="20"/>
          <w:szCs w:val="20"/>
          <w:color w:val="auto"/>
        </w:rPr>
      </w:pPr>
    </w:p>
    <w:p>
      <w:pPr>
        <w:jc w:val="both"/>
        <w:ind w:left="424" w:right="500" w:hanging="424"/>
        <w:spacing w:after="0" w:line="266"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reported price is a weighted average price. These shares were purchased in multiple transactions at prices ranging from $2.83 to $3.00, inclusive. The reporting person undertakes to provide the Issuer, any security holder of the Issuer, or the staff of the SEC, upon request, full information regarding the number of purchased at each separate price within such range.</w:t>
      </w:r>
    </w:p>
    <w:p>
      <w:pPr>
        <w:spacing w:after="0" w:line="81" w:lineRule="exact"/>
        <w:rPr>
          <w:rFonts w:ascii="Times New Roman" w:cs="Times New Roman" w:eastAsia="Times New Roman" w:hAnsi="Times New Roman"/>
          <w:sz w:val="18"/>
          <w:szCs w:val="18"/>
          <w:color w:val="auto"/>
        </w:rPr>
      </w:pPr>
    </w:p>
    <w:p>
      <w:pPr>
        <w:jc w:val="both"/>
        <w:ind w:left="424" w:right="500" w:hanging="424"/>
        <w:spacing w:after="0" w:line="266"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reported price is a weighted average price. These shares were purchased in multiple transactions at prices ranging from $2.87 to $3.00, inclusive. The reporting person undertakes to provide the Issuer, any security holder of the Issuer, or the staff of the SEC, upon request, full information regarding the number of purchased at each separate price within such range.</w:t>
      </w:r>
    </w:p>
    <w:p>
      <w:pPr>
        <w:spacing w:after="0" w:line="81" w:lineRule="exact"/>
        <w:rPr>
          <w:rFonts w:ascii="Times New Roman" w:cs="Times New Roman" w:eastAsia="Times New Roman" w:hAnsi="Times New Roman"/>
          <w:sz w:val="18"/>
          <w:szCs w:val="18"/>
          <w:color w:val="auto"/>
        </w:rPr>
      </w:pPr>
    </w:p>
    <w:p>
      <w:pPr>
        <w:ind w:left="964" w:right="80" w:hanging="532"/>
        <w:spacing w:after="0" w:line="282" w:lineRule="auto"/>
        <w:tabs>
          <w:tab w:leader="none" w:pos="9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(other than the Reporting Persons) is known to have the right to receive or the power to direct the receipt of dividends from, or the proceeds from the sale of, the shares of Common Stock subject to this Schedule 13D.</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964"/>
          </w:cols>
          <w:pgMar w:left="436" w:top="266" w:right="499" w:bottom="1440" w:gutter="0" w:footer="0" w:header="0"/>
        </w:sectPr>
      </w:pPr>
    </w:p>
    <w:bookmarkStart w:id="5" w:name="page6"/>
    <w:bookmarkEnd w:id="5"/>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1, 2022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PERCEPTIVE ADVISORS LLC</w:t>
      </w:r>
    </w:p>
    <w:p>
      <w:pPr>
        <w:spacing w:after="0" w:line="22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Name:</w:t>
        <w:tab/>
        <w:t>Joseph Edelman</w:t>
      </w:r>
    </w:p>
    <w:p>
      <w:pPr>
        <w:spacing w:after="0" w:line="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EDELMAN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PERCEPTIVE LIFE SCIENCES MASTER FUND, LTD.</w:t>
      </w:r>
    </w:p>
    <w:p>
      <w:pPr>
        <w:sectPr>
          <w:pgSz w:w="11900" w:h="16838" w:orient="portrait"/>
          <w:cols w:equalWidth="0" w:num="1">
            <w:col w:w="10900"/>
          </w:cols>
          <w:pgMar w:left="440" w:top="266" w:right="55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Perceptive Advisors LLC</w:t>
      </w:r>
    </w:p>
    <w:p>
      <w:pPr>
        <w:spacing w:after="0" w:line="200" w:lineRule="exact"/>
        <w:rPr>
          <w:sz w:val="20"/>
          <w:szCs w:val="20"/>
          <w:color w:val="auto"/>
        </w:rPr>
      </w:pPr>
    </w:p>
    <w:p>
      <w:pPr>
        <w:sectPr>
          <w:pgSz w:w="11900" w:h="16838" w:orient="portrait"/>
          <w:cols w:equalWidth="0" w:num="2">
            <w:col w:w="260" w:space="360"/>
            <w:col w:w="10280"/>
          </w:cols>
          <w:pgMar w:left="440" w:top="266" w:right="55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24003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48" w:lineRule="exact"/>
        <w:rPr>
          <w:sz w:val="20"/>
          <w:szCs w:val="20"/>
          <w:color w:val="auto"/>
        </w:rPr>
      </w:pPr>
    </w:p>
    <w:p>
      <w:pPr>
        <w:sectPr>
          <w:pgSz w:w="11900" w:h="16838" w:orient="portrait"/>
          <w:cols w:equalWidth="0" w:num="2">
            <w:col w:w="260" w:space="360"/>
            <w:col w:w="10280"/>
          </w:cols>
          <w:pgMar w:left="440" w:top="266" w:right="559" w:bottom="1440" w:gutter="0" w:footer="0" w:header="0"/>
          <w:type w:val="continuous"/>
        </w:sect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Name:</w:t>
        <w:tab/>
        <w:t>Joseph Edelman</w:t>
      </w:r>
    </w:p>
    <w:p>
      <w:pPr>
        <w:spacing w:after="0" w:line="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7"/>
          <w:szCs w:val="17"/>
          <w:color w:val="auto"/>
        </w:rPr>
        <w:t>Title:</w:t>
        <w:tab/>
        <w:t>Managing Member</w:t>
      </w:r>
    </w:p>
    <w:sectPr>
      <w:pgSz w:w="11900" w:h="16838" w:orient="portrait"/>
      <w:cols w:equalWidth="0" w:num="1">
        <w:col w:w="10900"/>
      </w:cols>
      <w:pgMar w:left="440" w:top="266"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1"/>
    </w:lvl>
    <w:lvl w:ilvl="1">
      <w:lvlJc w:val="left"/>
      <w:lvlText w:val="(%2)"/>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2022-07-01T15:48:04Z</dcterms:created>
  <dcterms:modified xsi:type="dcterms:W3CDTF">2022-07-01T15:48:04Z</dcterms:modified>
</cp:coreProperties>
</file>