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Portman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E. BROAD ST., SUITE 250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LeonaBio,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0"/>
        <w:gridCol w:w="1222"/>
        <w:gridCol w:w="1125"/>
        <w:gridCol w:w="1302"/>
        <w:gridCol w:w="1141"/>
        <w:gridCol w:w="1257"/>
        <w:gridCol w:w="1217"/>
        <w:gridCol w:w="135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4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</w:t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10/26/2026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5,502,402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0.001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warrant is held by Sermonix Pharmaceuticals, Inc., of which Mr. Portman is the Chief Executive Officer. This Form 3 is being filed to report Mr. Portman's voting control over such securities, but Mr. Portman's personal indirect beneficial ownership does not exceed 10% of the stock in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warrant does not expire.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Portman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6186" TargetMode="External"/><Relationship Id="rId3" Type="http://schemas.openxmlformats.org/officeDocument/2006/relationships/hyperlink" Target="http://www.sec.gov/cgi-bin/browse-edgar?action=getcompany&amp;CIK=00016204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448</Words>
  <Characters>2447</Characters>
  <CharactersWithSpaces>2843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