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September 14, 2020</w:t>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19"/>
          <w:szCs w:val="19"/>
          <w:color w:val="auto"/>
        </w:rPr>
        <w:t>United States Securities and Exchange Commission</w:t>
      </w:r>
    </w:p>
    <w:p>
      <w:pPr>
        <w:spacing w:after="0" w:line="225" w:lineRule="auto"/>
        <w:rPr>
          <w:sz w:val="20"/>
          <w:szCs w:val="20"/>
          <w:color w:val="auto"/>
        </w:rPr>
      </w:pPr>
      <w:r>
        <w:rPr>
          <w:rFonts w:ascii="Arial" w:cs="Arial" w:eastAsia="Arial" w:hAnsi="Arial"/>
          <w:sz w:val="20"/>
          <w:szCs w:val="20"/>
          <w:color w:val="auto"/>
        </w:rPr>
        <w:t>Division of Corporation Finance</w:t>
      </w:r>
    </w:p>
    <w:p>
      <w:pPr>
        <w:spacing w:after="0" w:line="225" w:lineRule="auto"/>
        <w:rPr>
          <w:sz w:val="20"/>
          <w:szCs w:val="20"/>
          <w:color w:val="auto"/>
        </w:rPr>
      </w:pPr>
      <w:r>
        <w:rPr>
          <w:rFonts w:ascii="Arial" w:cs="Arial" w:eastAsia="Arial" w:hAnsi="Arial"/>
          <w:sz w:val="20"/>
          <w:szCs w:val="20"/>
          <w:color w:val="auto"/>
        </w:rPr>
        <w:t>100 F Street, N.E.</w:t>
      </w:r>
    </w:p>
    <w:p>
      <w:pPr>
        <w:spacing w:after="0" w:line="1" w:lineRule="exact"/>
        <w:rPr>
          <w:sz w:val="24"/>
          <w:szCs w:val="24"/>
          <w:color w:val="auto"/>
        </w:rPr>
      </w:pPr>
    </w:p>
    <w:p>
      <w:pPr>
        <w:spacing w:after="0"/>
        <w:rPr>
          <w:sz w:val="20"/>
          <w:szCs w:val="20"/>
          <w:color w:val="auto"/>
        </w:rPr>
      </w:pPr>
      <w:r>
        <w:rPr>
          <w:rFonts w:ascii="Arial" w:cs="Arial" w:eastAsia="Arial" w:hAnsi="Arial"/>
          <w:sz w:val="20"/>
          <w:szCs w:val="20"/>
          <w:color w:val="auto"/>
        </w:rPr>
        <w:t>Washington, DC 20549</w:t>
      </w:r>
    </w:p>
    <w:p>
      <w:pPr>
        <w:spacing w:after="0" w:line="121" w:lineRule="exact"/>
        <w:rPr>
          <w:sz w:val="24"/>
          <w:szCs w:val="24"/>
          <w:color w:val="auto"/>
        </w:rPr>
      </w:pPr>
    </w:p>
    <w:p>
      <w:pPr>
        <w:spacing w:after="0"/>
        <w:rPr>
          <w:sz w:val="20"/>
          <w:szCs w:val="20"/>
          <w:color w:val="auto"/>
        </w:rPr>
      </w:pPr>
      <w:r>
        <w:rPr>
          <w:rFonts w:ascii="Arial" w:cs="Arial" w:eastAsia="Arial" w:hAnsi="Arial"/>
          <w:sz w:val="20"/>
          <w:szCs w:val="20"/>
          <w:color w:val="auto"/>
        </w:rPr>
        <w:t>Attention:Deanna Virginio</w:t>
      </w:r>
    </w:p>
    <w:p>
      <w:pPr>
        <w:ind w:left="840"/>
        <w:spacing w:after="0" w:line="225" w:lineRule="auto"/>
        <w:rPr>
          <w:sz w:val="20"/>
          <w:szCs w:val="20"/>
          <w:color w:val="auto"/>
        </w:rPr>
      </w:pPr>
      <w:r>
        <w:rPr>
          <w:rFonts w:ascii="Arial" w:cs="Arial" w:eastAsia="Arial" w:hAnsi="Arial"/>
          <w:sz w:val="20"/>
          <w:szCs w:val="20"/>
          <w:color w:val="auto"/>
        </w:rPr>
        <w:t>Ada D. Sarmento</w:t>
      </w:r>
    </w:p>
    <w:p>
      <w:pPr>
        <w:ind w:left="840"/>
        <w:spacing w:after="0" w:line="225" w:lineRule="auto"/>
        <w:rPr>
          <w:sz w:val="20"/>
          <w:szCs w:val="20"/>
          <w:color w:val="auto"/>
        </w:rPr>
      </w:pPr>
      <w:r>
        <w:rPr>
          <w:rFonts w:ascii="Arial" w:cs="Arial" w:eastAsia="Arial" w:hAnsi="Arial"/>
          <w:sz w:val="20"/>
          <w:szCs w:val="20"/>
          <w:color w:val="auto"/>
        </w:rPr>
        <w:t>Michael Fay</w:t>
      </w:r>
    </w:p>
    <w:p>
      <w:pPr>
        <w:spacing w:after="0" w:line="1" w:lineRule="exact"/>
        <w:rPr>
          <w:sz w:val="24"/>
          <w:szCs w:val="24"/>
          <w:color w:val="auto"/>
        </w:rPr>
      </w:pPr>
    </w:p>
    <w:p>
      <w:pPr>
        <w:ind w:left="840"/>
        <w:spacing w:after="0"/>
        <w:rPr>
          <w:sz w:val="20"/>
          <w:szCs w:val="20"/>
          <w:color w:val="auto"/>
        </w:rPr>
      </w:pPr>
      <w:r>
        <w:rPr>
          <w:rFonts w:ascii="Arial" w:cs="Arial" w:eastAsia="Arial" w:hAnsi="Arial"/>
          <w:sz w:val="20"/>
          <w:szCs w:val="20"/>
          <w:color w:val="auto"/>
        </w:rPr>
        <w:t>Daniel Gordon</w:t>
      </w:r>
    </w:p>
    <w:p>
      <w:pPr>
        <w:sectPr>
          <w:pgSz w:w="11900" w:h="16838" w:orient="portrait"/>
          <w:cols w:equalWidth="0" w:num="1">
            <w:col w:w="11240"/>
          </w:cols>
          <w:pgMar w:left="320" w:top="460"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4"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ind w:left="100"/>
        <w:spacing w:after="0"/>
        <w:rPr>
          <w:sz w:val="20"/>
          <w:szCs w:val="20"/>
          <w:color w:val="auto"/>
        </w:rPr>
      </w:pPr>
      <w:r>
        <w:rPr>
          <w:rFonts w:ascii="Arial" w:cs="Arial" w:eastAsia="Arial" w:hAnsi="Arial"/>
          <w:sz w:val="20"/>
          <w:szCs w:val="20"/>
          <w:b w:val="1"/>
          <w:bCs w:val="1"/>
          <w:color w:val="auto"/>
        </w:rPr>
        <w:t>Athira Pharma, Inc.</w:t>
      </w:r>
    </w:p>
    <w:p>
      <w:pPr>
        <w:spacing w:after="0" w:line="10"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Registration Statement on Form S-1 (File No. 333-248428)</w:t>
      </w:r>
    </w:p>
    <w:p>
      <w:pPr>
        <w:spacing w:after="0" w:line="200" w:lineRule="exact"/>
        <w:rPr>
          <w:sz w:val="24"/>
          <w:szCs w:val="24"/>
          <w:color w:val="auto"/>
        </w:rPr>
      </w:pPr>
    </w:p>
    <w:p>
      <w:pPr>
        <w:sectPr>
          <w:pgSz w:w="11900" w:h="16838" w:orient="portrait"/>
          <w:cols w:equalWidth="0" w:num="2">
            <w:col w:w="320" w:space="560"/>
            <w:col w:w="10360"/>
          </w:cols>
          <w:pgMar w:left="320" w:top="460" w:right="339" w:bottom="1440" w:gutter="0" w:footer="0" w:header="0"/>
          <w:type w:val="continuous"/>
        </w:sectPr>
      </w:pPr>
    </w:p>
    <w:p>
      <w:pPr>
        <w:spacing w:after="0" w:line="41" w:lineRule="exact"/>
        <w:rPr>
          <w:sz w:val="24"/>
          <w:szCs w:val="24"/>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29" w:lineRule="exact"/>
        <w:rPr>
          <w:sz w:val="24"/>
          <w:szCs w:val="24"/>
          <w:color w:val="auto"/>
        </w:rPr>
      </w:pPr>
    </w:p>
    <w:p>
      <w:pPr>
        <w:jc w:val="both"/>
        <w:spacing w:after="0" w:line="230" w:lineRule="auto"/>
        <w:rPr>
          <w:sz w:val="20"/>
          <w:szCs w:val="20"/>
          <w:color w:val="auto"/>
        </w:rPr>
      </w:pPr>
      <w:r>
        <w:rPr>
          <w:rFonts w:ascii="Arial" w:cs="Arial" w:eastAsia="Arial" w:hAnsi="Arial"/>
          <w:sz w:val="20"/>
          <w:szCs w:val="20"/>
          <w:color w:val="auto"/>
        </w:rPr>
        <w:t>Pursuant to Rule 460 of the General Rules and Regulations under the Securities Act of 1933, as amended, we wish to advise that between September 14, 2020 and the date hereof, approximately 4,550 copies of the Preliminary Prospectus dated September 14, 2020 were distributed to prospective underwriters, institutional investors and prospective dealers in connection with the above-captioned Registration Statement.</w:t>
      </w:r>
    </w:p>
    <w:p>
      <w:pPr>
        <w:spacing w:after="0" w:line="225" w:lineRule="exact"/>
        <w:rPr>
          <w:sz w:val="24"/>
          <w:szCs w:val="24"/>
          <w:color w:val="auto"/>
        </w:rPr>
      </w:pPr>
    </w:p>
    <w:p>
      <w:pPr>
        <w:jc w:val="both"/>
        <w:spacing w:after="0" w:line="236" w:lineRule="auto"/>
        <w:rPr>
          <w:sz w:val="20"/>
          <w:szCs w:val="20"/>
          <w:color w:val="auto"/>
        </w:rPr>
      </w:pPr>
      <w:r>
        <w:rPr>
          <w:rFonts w:ascii="Arial" w:cs="Arial" w:eastAsia="Arial" w:hAnsi="Arial"/>
          <w:sz w:val="20"/>
          <w:szCs w:val="20"/>
          <w:color w:val="auto"/>
        </w:rPr>
        <w:t>We wish to advise you that the participating underwriters have informed us that they have complied and will continue to comply with the requirements of Rule 15c2-8 under the Securities Exchange Act of 1934, as amended.</w:t>
      </w:r>
    </w:p>
    <w:p>
      <w:pPr>
        <w:spacing w:after="0" w:line="223" w:lineRule="exact"/>
        <w:rPr>
          <w:sz w:val="24"/>
          <w:szCs w:val="24"/>
          <w:color w:val="auto"/>
        </w:rPr>
      </w:pPr>
    </w:p>
    <w:p>
      <w:pPr>
        <w:jc w:val="both"/>
        <w:spacing w:after="0" w:line="236" w:lineRule="auto"/>
        <w:rPr>
          <w:sz w:val="20"/>
          <w:szCs w:val="20"/>
          <w:color w:val="auto"/>
        </w:rPr>
      </w:pPr>
      <w:r>
        <w:rPr>
          <w:rFonts w:ascii="Arial" w:cs="Arial" w:eastAsia="Arial" w:hAnsi="Arial"/>
          <w:sz w:val="20"/>
          <w:szCs w:val="20"/>
          <w:color w:val="auto"/>
        </w:rPr>
        <w:t>We hereby join in the request of the registrant that the effectiveness of the above-captioned Registration Statement, as amended, be accelerated to 4:00 p.m. Eastern Time, on Thursday, September 17, 2020 or as soon thereafter as practicable.</w:t>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1748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6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color w:val="auto"/>
        </w:rPr>
        <w:t>Very truly yours,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color w:val="auto"/>
        </w:rPr>
        <w:t>GOLDMAN SACHS &amp; CO. LLC</w:t>
      </w:r>
    </w:p>
    <w:p>
      <w:pPr>
        <w:spacing w:after="0"/>
        <w:rPr>
          <w:sz w:val="20"/>
          <w:szCs w:val="20"/>
          <w:color w:val="auto"/>
        </w:rPr>
      </w:pPr>
      <w:r>
        <w:rPr>
          <w:rFonts w:ascii="Arial" w:cs="Arial" w:eastAsia="Arial" w:hAnsi="Arial"/>
          <w:sz w:val="20"/>
          <w:szCs w:val="20"/>
          <w:color w:val="auto"/>
        </w:rPr>
        <w:t>JEFFERIES LLC</w:t>
      </w:r>
    </w:p>
    <w:p>
      <w:pPr>
        <w:spacing w:after="0" w:line="200" w:lineRule="exact"/>
        <w:rPr>
          <w:sz w:val="20"/>
          <w:szCs w:val="20"/>
          <w:color w:val="auto"/>
        </w:rPr>
      </w:pPr>
    </w:p>
    <w:p>
      <w:pPr>
        <w:spacing w:after="0" w:line="232" w:lineRule="exact"/>
        <w:rPr>
          <w:sz w:val="20"/>
          <w:szCs w:val="20"/>
          <w:color w:val="auto"/>
        </w:rPr>
      </w:pPr>
    </w:p>
    <w:p>
      <w:pPr>
        <w:ind w:left="180"/>
        <w:spacing w:after="0"/>
        <w:rPr>
          <w:sz w:val="20"/>
          <w:szCs w:val="20"/>
          <w:color w:val="auto"/>
        </w:rPr>
      </w:pPr>
      <w:r>
        <w:rPr>
          <w:rFonts w:ascii="Arial" w:cs="Arial" w:eastAsia="Arial" w:hAnsi="Arial"/>
          <w:sz w:val="20"/>
          <w:szCs w:val="20"/>
          <w:color w:val="auto"/>
        </w:rPr>
        <w:t>As representatives of the Underwriters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20" w:type="dxa"/>
            <w:vAlign w:val="bottom"/>
          </w:tcPr>
          <w:p>
            <w:pPr>
              <w:spacing w:after="0"/>
              <w:rPr>
                <w:sz w:val="20"/>
                <w:szCs w:val="20"/>
                <w:color w:val="auto"/>
              </w:rPr>
            </w:pPr>
            <w:r>
              <w:rPr>
                <w:rFonts w:ascii="Arial" w:cs="Arial" w:eastAsia="Arial" w:hAnsi="Arial"/>
                <w:sz w:val="20"/>
                <w:szCs w:val="20"/>
                <w:color w:val="auto"/>
              </w:rPr>
              <w:t>By:</w:t>
            </w:r>
          </w:p>
        </w:tc>
        <w:tc>
          <w:tcPr>
            <w:tcW w:w="4600" w:type="dxa"/>
            <w:vAlign w:val="bottom"/>
            <w:gridSpan w:val="2"/>
          </w:tcPr>
          <w:p>
            <w:pPr>
              <w:spacing w:after="0"/>
              <w:rPr>
                <w:sz w:val="20"/>
                <w:szCs w:val="20"/>
                <w:color w:val="auto"/>
              </w:rPr>
            </w:pPr>
            <w:r>
              <w:rPr>
                <w:rFonts w:ascii="Arial" w:cs="Arial" w:eastAsia="Arial" w:hAnsi="Arial"/>
                <w:sz w:val="20"/>
                <w:szCs w:val="20"/>
                <w:color w:val="auto"/>
              </w:rPr>
              <w:t>Goldman Sachs &amp; Co. LLC</w:t>
            </w:r>
          </w:p>
        </w:tc>
      </w:tr>
      <w:tr>
        <w:trPr>
          <w:trHeight w:val="847"/>
        </w:trPr>
        <w:tc>
          <w:tcPr>
            <w:tcW w:w="720" w:type="dxa"/>
            <w:vAlign w:val="bottom"/>
          </w:tcPr>
          <w:p>
            <w:pPr>
              <w:spacing w:after="0"/>
              <w:rPr>
                <w:sz w:val="20"/>
                <w:szCs w:val="20"/>
                <w:color w:val="auto"/>
              </w:rPr>
            </w:pPr>
            <w:r>
              <w:rPr>
                <w:rFonts w:ascii="Arial" w:cs="Arial" w:eastAsia="Arial" w:hAnsi="Arial"/>
                <w:sz w:val="20"/>
                <w:szCs w:val="20"/>
                <w:color w:val="auto"/>
              </w:rPr>
              <w:t>By:</w:t>
            </w:r>
          </w:p>
        </w:tc>
        <w:tc>
          <w:tcPr>
            <w:tcW w:w="46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Elizabeth Wood</w:t>
            </w:r>
          </w:p>
        </w:tc>
      </w:tr>
      <w:tr>
        <w:trPr>
          <w:trHeight w:val="219"/>
        </w:trPr>
        <w:tc>
          <w:tcPr>
            <w:tcW w:w="720" w:type="dxa"/>
            <w:vAlign w:val="bottom"/>
          </w:tcPr>
          <w:p>
            <w:pPr>
              <w:spacing w:after="0"/>
              <w:rPr>
                <w:sz w:val="19"/>
                <w:szCs w:val="19"/>
                <w:color w:val="auto"/>
              </w:rPr>
            </w:pPr>
          </w:p>
        </w:tc>
        <w:tc>
          <w:tcPr>
            <w:tcW w:w="860" w:type="dxa"/>
            <w:vAlign w:val="bottom"/>
          </w:tcPr>
          <w:p>
            <w:pPr>
              <w:spacing w:after="0" w:line="219" w:lineRule="exact"/>
              <w:rPr>
                <w:sz w:val="20"/>
                <w:szCs w:val="20"/>
                <w:color w:val="auto"/>
              </w:rPr>
            </w:pPr>
            <w:r>
              <w:rPr>
                <w:rFonts w:ascii="Arial" w:cs="Arial" w:eastAsia="Arial" w:hAnsi="Arial"/>
                <w:sz w:val="20"/>
                <w:szCs w:val="20"/>
                <w:color w:val="auto"/>
              </w:rPr>
              <w:t>Name:</w:t>
            </w:r>
          </w:p>
        </w:tc>
        <w:tc>
          <w:tcPr>
            <w:tcW w:w="3740" w:type="dxa"/>
            <w:vAlign w:val="bottom"/>
          </w:tcPr>
          <w:p>
            <w:pPr>
              <w:ind w:left="260"/>
              <w:spacing w:after="0" w:line="219" w:lineRule="exact"/>
              <w:rPr>
                <w:sz w:val="20"/>
                <w:szCs w:val="20"/>
                <w:color w:val="auto"/>
              </w:rPr>
            </w:pPr>
            <w:r>
              <w:rPr>
                <w:rFonts w:ascii="Arial" w:cs="Arial" w:eastAsia="Arial" w:hAnsi="Arial"/>
                <w:sz w:val="20"/>
                <w:szCs w:val="20"/>
                <w:color w:val="auto"/>
              </w:rPr>
              <w:t>Elizabeth Wood</w:t>
            </w:r>
          </w:p>
        </w:tc>
      </w:tr>
      <w:tr>
        <w:trPr>
          <w:trHeight w:val="237"/>
        </w:trPr>
        <w:tc>
          <w:tcPr>
            <w:tcW w:w="72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Arial" w:cs="Arial" w:eastAsia="Arial" w:hAnsi="Arial"/>
                <w:sz w:val="20"/>
                <w:szCs w:val="20"/>
                <w:color w:val="auto"/>
              </w:rPr>
              <w:t>Title:</w:t>
            </w:r>
          </w:p>
        </w:tc>
        <w:tc>
          <w:tcPr>
            <w:tcW w:w="3740" w:type="dxa"/>
            <w:vAlign w:val="bottom"/>
          </w:tcPr>
          <w:p>
            <w:pPr>
              <w:ind w:left="260"/>
              <w:spacing w:after="0"/>
              <w:rPr>
                <w:sz w:val="20"/>
                <w:szCs w:val="20"/>
                <w:color w:val="auto"/>
              </w:rPr>
            </w:pPr>
            <w:r>
              <w:rPr>
                <w:rFonts w:ascii="Arial" w:cs="Arial" w:eastAsia="Arial" w:hAnsi="Arial"/>
                <w:sz w:val="20"/>
                <w:szCs w:val="20"/>
                <w:color w:val="auto"/>
              </w:rPr>
              <w:t>Managing Director</w:t>
            </w:r>
          </w:p>
        </w:tc>
      </w:tr>
      <w:tr>
        <w:trPr>
          <w:trHeight w:val="688"/>
        </w:trPr>
        <w:tc>
          <w:tcPr>
            <w:tcW w:w="720" w:type="dxa"/>
            <w:vAlign w:val="bottom"/>
          </w:tcPr>
          <w:p>
            <w:pPr>
              <w:spacing w:after="0"/>
              <w:rPr>
                <w:sz w:val="20"/>
                <w:szCs w:val="20"/>
                <w:color w:val="auto"/>
              </w:rPr>
            </w:pPr>
            <w:r>
              <w:rPr>
                <w:rFonts w:ascii="Arial" w:cs="Arial" w:eastAsia="Arial" w:hAnsi="Arial"/>
                <w:sz w:val="20"/>
                <w:szCs w:val="20"/>
                <w:color w:val="auto"/>
              </w:rPr>
              <w:t>By:</w:t>
            </w:r>
          </w:p>
        </w:tc>
        <w:tc>
          <w:tcPr>
            <w:tcW w:w="4600" w:type="dxa"/>
            <w:vAlign w:val="bottom"/>
            <w:gridSpan w:val="2"/>
          </w:tcPr>
          <w:p>
            <w:pPr>
              <w:spacing w:after="0"/>
              <w:rPr>
                <w:sz w:val="20"/>
                <w:szCs w:val="20"/>
                <w:color w:val="auto"/>
              </w:rPr>
            </w:pPr>
            <w:r>
              <w:rPr>
                <w:rFonts w:ascii="Arial" w:cs="Arial" w:eastAsia="Arial" w:hAnsi="Arial"/>
                <w:sz w:val="20"/>
                <w:szCs w:val="20"/>
                <w:color w:val="auto"/>
              </w:rPr>
              <w:t>Jefferies LLC</w:t>
            </w:r>
          </w:p>
        </w:tc>
      </w:tr>
      <w:tr>
        <w:trPr>
          <w:trHeight w:val="846"/>
        </w:trPr>
        <w:tc>
          <w:tcPr>
            <w:tcW w:w="720" w:type="dxa"/>
            <w:vAlign w:val="bottom"/>
          </w:tcPr>
          <w:p>
            <w:pPr>
              <w:spacing w:after="0"/>
              <w:rPr>
                <w:sz w:val="20"/>
                <w:szCs w:val="20"/>
                <w:color w:val="auto"/>
              </w:rPr>
            </w:pPr>
            <w:r>
              <w:rPr>
                <w:rFonts w:ascii="Arial" w:cs="Arial" w:eastAsia="Arial" w:hAnsi="Arial"/>
                <w:sz w:val="20"/>
                <w:szCs w:val="20"/>
                <w:color w:val="auto"/>
              </w:rPr>
              <w:t>By:</w:t>
            </w:r>
          </w:p>
        </w:tc>
        <w:tc>
          <w:tcPr>
            <w:tcW w:w="460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rPr>
              <w:t>/s/ Michael Brinkman</w:t>
            </w:r>
          </w:p>
        </w:tc>
      </w:tr>
      <w:tr>
        <w:trPr>
          <w:trHeight w:val="219"/>
        </w:trPr>
        <w:tc>
          <w:tcPr>
            <w:tcW w:w="720" w:type="dxa"/>
            <w:vAlign w:val="bottom"/>
          </w:tcPr>
          <w:p>
            <w:pPr>
              <w:spacing w:after="0"/>
              <w:rPr>
                <w:sz w:val="19"/>
                <w:szCs w:val="19"/>
                <w:color w:val="auto"/>
              </w:rPr>
            </w:pPr>
          </w:p>
        </w:tc>
        <w:tc>
          <w:tcPr>
            <w:tcW w:w="860" w:type="dxa"/>
            <w:vAlign w:val="bottom"/>
          </w:tcPr>
          <w:p>
            <w:pPr>
              <w:spacing w:after="0" w:line="219" w:lineRule="exact"/>
              <w:rPr>
                <w:sz w:val="20"/>
                <w:szCs w:val="20"/>
                <w:color w:val="auto"/>
              </w:rPr>
            </w:pPr>
            <w:r>
              <w:rPr>
                <w:rFonts w:ascii="Arial" w:cs="Arial" w:eastAsia="Arial" w:hAnsi="Arial"/>
                <w:sz w:val="20"/>
                <w:szCs w:val="20"/>
                <w:color w:val="auto"/>
              </w:rPr>
              <w:t>Name:</w:t>
            </w:r>
          </w:p>
        </w:tc>
        <w:tc>
          <w:tcPr>
            <w:tcW w:w="3740" w:type="dxa"/>
            <w:vAlign w:val="bottom"/>
          </w:tcPr>
          <w:p>
            <w:pPr>
              <w:ind w:left="260"/>
              <w:spacing w:after="0" w:line="219" w:lineRule="exact"/>
              <w:rPr>
                <w:sz w:val="20"/>
                <w:szCs w:val="20"/>
                <w:color w:val="auto"/>
              </w:rPr>
            </w:pPr>
            <w:r>
              <w:rPr>
                <w:rFonts w:ascii="Arial" w:cs="Arial" w:eastAsia="Arial" w:hAnsi="Arial"/>
                <w:sz w:val="20"/>
                <w:szCs w:val="20"/>
                <w:color w:val="auto"/>
              </w:rPr>
              <w:t>Michael Brinkman</w:t>
            </w:r>
          </w:p>
        </w:tc>
      </w:tr>
      <w:tr>
        <w:trPr>
          <w:trHeight w:val="237"/>
        </w:trPr>
        <w:tc>
          <w:tcPr>
            <w:tcW w:w="72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Arial" w:cs="Arial" w:eastAsia="Arial" w:hAnsi="Arial"/>
                <w:sz w:val="20"/>
                <w:szCs w:val="20"/>
                <w:color w:val="auto"/>
              </w:rPr>
              <w:t>Title:</w:t>
            </w:r>
          </w:p>
        </w:tc>
        <w:tc>
          <w:tcPr>
            <w:tcW w:w="3740" w:type="dxa"/>
            <w:vAlign w:val="bottom"/>
          </w:tcPr>
          <w:p>
            <w:pPr>
              <w:ind w:left="260"/>
              <w:spacing w:after="0"/>
              <w:rPr>
                <w:sz w:val="20"/>
                <w:szCs w:val="20"/>
                <w:color w:val="auto"/>
              </w:rPr>
            </w:pPr>
            <w:r>
              <w:rPr>
                <w:rFonts w:ascii="Arial" w:cs="Arial" w:eastAsia="Arial" w:hAnsi="Arial"/>
                <w:sz w:val="20"/>
                <w:szCs w:val="20"/>
                <w:color w:val="auto"/>
              </w:rPr>
              <w:t>Managing Director</w:t>
            </w:r>
          </w:p>
        </w:tc>
      </w:tr>
    </w:tbl>
    <w:p>
      <w:pPr>
        <w:spacing w:after="0" w:line="1" w:lineRule="exact"/>
        <w:rPr>
          <w:sz w:val="20"/>
          <w:szCs w:val="20"/>
          <w:color w:val="auto"/>
        </w:rPr>
      </w:pPr>
    </w:p>
    <w:sectPr>
      <w:pgSz w:w="11900" w:h="16838" w:orient="portrait"/>
      <w:cols w:equalWidth="0" w:num="1">
        <w:col w:w="10139"/>
      </w:cols>
      <w:pgMar w:left="320" w:top="35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2021-08-15T19:54:54Z</dcterms:created>
  <dcterms:modified xsi:type="dcterms:W3CDTF">2021-08-15T19:54:54Z</dcterms:modified>
</cp:coreProperties>
</file>