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jpeg" ContentType="image/jpeg"/>
  <Override PartName="/word/media/image10.gif" ContentType="image/gif"/>
  <Override PartName="/word/media/image9.gif" ContentType="image/gif"/>
  <Override PartName="/word/media/image15.gif" ContentType="image/gif"/>
  <Override PartName="/word/media/image3.jpeg" ContentType="image/jpeg"/>
  <Override PartName="/word/media/image1.gif" ContentType="image/gif"/>
  <Override PartName="/word/media/image2.jpeg" ContentType="image/jpeg"/>
  <Override PartName="/word/media/image4.gif" ContentType="image/gif"/>
  <Override PartName="/word/media/image14.jpeg" ContentType="image/jpeg"/>
  <Override PartName="/word/media/image5.gif" ContentType="image/gif"/>
  <Override PartName="/word/media/image6.gif" ContentType="image/gif"/>
  <Override PartName="/word/media/image11.gif" ContentType="image/gif"/>
  <Override PartName="/word/media/image7.gif" ContentType="image/gif"/>
  <Override PartName="/word/media/image8.gif" ContentType="image/gif"/>
  <Override PartName="/word/media/image16.jpeg" ContentType="image/jpeg"/>
  <Override PartName="/word/media/image1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both"/>
        <w:rPr/>
      </w:pPr>
      <w:bookmarkStart w:id="0" w:name="lona-20251231.htm"/>
      <w:bookmarkStart w:id="1" w:name="kslona20251231"/>
      <w:bookmarkEnd w:id="0"/>
      <w:bookmarkEnd w:id="1"/>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sz w:val="20"/>
        </w:rPr>
      </w:pPr>
      <w:r>
        <w:rPr>
          <w:rFonts w:ascii="Arial" w:hAnsi="Arial"/>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32"/>
        </w:rPr>
        <w:t>FORM 10-K</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b/>
          <w:color w:val="000000"/>
          <w:sz w:val="16"/>
        </w:rPr>
        <w:t>(Mark One)</w:t>
      </w:r>
      <w:r>
        <w:rPr>
          <w:rFonts w:ascii="Times New Roman" w:hAnsi="Times New Roman"/>
          <w:color w:val="000000"/>
          <w:sz w:val="20"/>
        </w:rPr>
        <w:t xml:space="preserve"> </w:t>
      </w:r>
    </w:p>
    <w:tbl>
      <w:tblPr>
        <w:tblW w:w="9407" w:type="dxa"/>
        <w:jc w:val="left"/>
        <w:tblInd w:w="0" w:type="dxa"/>
        <w:tblLayout w:type="fixed"/>
        <w:tblCellMar>
          <w:top w:w="28" w:type="dxa"/>
          <w:left w:w="28" w:type="dxa"/>
          <w:bottom w:w="28" w:type="dxa"/>
          <w:right w:w="28" w:type="dxa"/>
        </w:tblCellMar>
      </w:tblPr>
      <w:tblGrid>
        <w:gridCol w:w="331"/>
        <w:gridCol w:w="9076"/>
      </w:tblGrid>
      <w:tr>
        <w:trPr/>
        <w:tc>
          <w:tcPr>
            <w:tcW w:w="331" w:type="dxa"/>
            <w:tcBorders/>
            <w:vAlign w:val="center"/>
          </w:tcPr>
          <w:p>
            <w:pPr>
              <w:pStyle w:val="TableContents"/>
              <w:bidi w:val="0"/>
              <w:spacing w:before="0" w:after="283"/>
              <w:jc w:val="left"/>
              <w:rPr>
                <w:sz w:val="4"/>
                <w:szCs w:val="4"/>
              </w:rPr>
            </w:pPr>
            <w:r>
              <w:rPr>
                <w:sz w:val="4"/>
                <w:szCs w:val="4"/>
              </w:rPr>
            </w:r>
          </w:p>
        </w:tc>
        <w:tc>
          <w:tcPr>
            <w:tcW w:w="907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Arial" w:hAnsi="Arial"/>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Arial" w:hAnsi="Arial"/>
          <w:b/>
          <w:color w:val="000000"/>
          <w:sz w:val="18"/>
        </w:rPr>
      </w:pPr>
      <w:r>
        <w:rPr>
          <w:rFonts w:ascii="Arial" w:hAnsi="Arial"/>
          <w:b/>
          <w:color w:val="000000"/>
          <w:sz w:val="18"/>
        </w:rPr>
        <w:t>For the fiscal year ended December 31, 2025</w:t>
      </w:r>
    </w:p>
    <w:p>
      <w:pPr>
        <w:pStyle w:val="TextBody"/>
        <w:bidi w:val="0"/>
        <w:spacing w:before="4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sz w:val="18"/>
              </w:rPr>
            </w:pPr>
            <w:r>
              <w:rPr>
                <w:rFonts w:ascii="Arial" w:hAnsi="Arial"/>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sz w:val="20"/>
        </w:rPr>
      </w:pPr>
      <w:r>
        <w:rPr>
          <w:rFonts w:ascii="Arial" w:hAnsi="Arial"/>
          <w:b/>
          <w:color w:val="000000"/>
          <w:sz w:val="18"/>
        </w:rPr>
        <w:t>Commission File Number 001-39503</w:t>
      </w:r>
      <w:r>
        <w:rPr>
          <w:rFonts w:ascii="Times New Roman" w:hAnsi="Times New Roman"/>
          <w:color w:val="000000"/>
          <w:sz w:val="20"/>
        </w:rPr>
        <w:t xml:space="preserve"> </w:t>
      </w:r>
    </w:p>
    <w:p>
      <w:pPr>
        <w:pStyle w:val="TextBody"/>
        <w:bidi w:val="0"/>
        <w:spacing w:before="40" w:after="283"/>
        <w:jc w:val="center"/>
        <w:rPr>
          <w:rFonts w:ascii="Arial" w:hAnsi="Arial"/>
          <w:b/>
          <w:color w:val="000000"/>
          <w:sz w:val="36"/>
        </w:rPr>
      </w:pPr>
      <w:r>
        <w:rPr>
          <w:rFonts w:ascii="Arial" w:hAnsi="Arial"/>
          <w:b/>
          <w:color w:val="000000"/>
          <w:sz w:val="36"/>
        </w:rPr>
        <w:t>LeonaBio, Inc.</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p>
      <w:pPr>
        <w:pStyle w:val="TextBody"/>
        <w:bidi w:val="0"/>
        <w:jc w:val="both"/>
        <w:rPr/>
      </w:pPr>
      <w:r>
        <w:rPr/>
        <w:t> </w:t>
      </w:r>
    </w:p>
    <w:tbl>
      <w:tblPr>
        <w:tblW w:w="3332" w:type="dxa"/>
        <w:jc w:val="left"/>
        <w:tblInd w:w="0" w:type="dxa"/>
        <w:tblLayout w:type="fixed"/>
        <w:tblCellMar>
          <w:top w:w="28" w:type="dxa"/>
          <w:left w:w="28" w:type="dxa"/>
          <w:bottom w:w="28" w:type="dxa"/>
          <w:right w:w="28" w:type="dxa"/>
        </w:tblCellMar>
      </w:tblPr>
      <w:tblGrid>
        <w:gridCol w:w="2041"/>
        <w:gridCol w:w="1291"/>
      </w:tblGrid>
      <w:tr>
        <w:trPr/>
        <w:tc>
          <w:tcPr>
            <w:tcW w:w="204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45-3368487</w:t>
            </w:r>
          </w:p>
        </w:tc>
      </w:tr>
      <w:tr>
        <w:trPr/>
        <w:tc>
          <w:tcPr>
            <w:tcW w:w="204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(I.R.S. Employer</w:t>
            </w:r>
          </w:p>
          <w:p>
            <w:pPr>
              <w:pStyle w:val="TableContents"/>
              <w:bidi w:val="0"/>
              <w:spacing w:before="0" w:after="283"/>
              <w:jc w:val="center"/>
              <w:rPr>
                <w:rFonts w:ascii="Arial" w:hAnsi="Arial"/>
                <w:b/>
                <w:color w:val="000000"/>
                <w:sz w:val="14"/>
              </w:rPr>
            </w:pPr>
            <w:r>
              <w:rPr>
                <w:rFonts w:ascii="Arial" w:hAnsi="Arial"/>
                <w:b/>
                <w:color w:val="000000"/>
                <w:sz w:val="14"/>
              </w:rPr>
              <w:t>Identification No.)</w:t>
            </w:r>
          </w:p>
        </w:tc>
      </w:tr>
    </w:tbl>
    <w:p>
      <w:pPr>
        <w:pStyle w:val="TextBody"/>
        <w:bidi w:val="0"/>
        <w:spacing w:before="40" w:after="283"/>
        <w:jc w:val="center"/>
        <w:rPr>
          <w:rFonts w:ascii="Times New Roman" w:hAnsi="Times New Roman"/>
          <w:sz w:val="20"/>
        </w:rPr>
      </w:pPr>
      <w:r>
        <w:rPr>
          <w:rFonts w:ascii="Arial" w:hAnsi="Arial"/>
          <w:b/>
          <w:color w:val="000000"/>
          <w:sz w:val="16"/>
        </w:rPr>
        <w:t>18706 North Creek Parkway,</w:t>
      </w:r>
      <w:r>
        <w:rPr>
          <w:rFonts w:ascii="Times New Roman" w:hAnsi="Times New Roman"/>
          <w:color w:val="000000"/>
          <w:sz w:val="20"/>
        </w:rPr>
        <w:t xml:space="preserve"> </w:t>
      </w:r>
      <w:r>
        <w:rPr>
          <w:rFonts w:ascii="Arial" w:hAnsi="Arial"/>
          <w:b/>
          <w:color w:val="000000"/>
          <w:sz w:val="16"/>
        </w:rPr>
        <w:t>Suite 104</w:t>
      </w:r>
    </w:p>
    <w:p>
      <w:pPr>
        <w:pStyle w:val="TextBody"/>
        <w:bidi w:val="0"/>
        <w:spacing w:before="20" w:after="283"/>
        <w:jc w:val="center"/>
        <w:rPr>
          <w:rFonts w:ascii="Times New Roman" w:hAnsi="Times New Roman"/>
          <w:sz w:val="20"/>
        </w:rPr>
      </w:pPr>
      <w:r>
        <w:rPr>
          <w:rFonts w:ascii="Arial" w:hAnsi="Arial"/>
          <w:b/>
          <w:color w:val="000000"/>
          <w:sz w:val="16"/>
        </w:rPr>
        <w:t>Bothell,</w:t>
      </w:r>
      <w:r>
        <w:rPr>
          <w:rFonts w:ascii="Times New Roman" w:hAnsi="Times New Roman"/>
          <w:color w:val="000000"/>
          <w:sz w:val="20"/>
        </w:rPr>
        <w:t xml:space="preserve"> </w:t>
      </w:r>
      <w:r>
        <w:rPr>
          <w:rFonts w:ascii="Arial" w:hAnsi="Arial"/>
          <w:b/>
          <w:color w:val="000000"/>
          <w:sz w:val="16"/>
        </w:rPr>
        <w:t>Washington</w:t>
      </w:r>
      <w:r>
        <w:rPr>
          <w:rFonts w:ascii="Times New Roman" w:hAnsi="Times New Roman"/>
          <w:color w:val="000000"/>
          <w:sz w:val="20"/>
        </w:rPr>
        <w:t xml:space="preserve"> </w:t>
      </w:r>
      <w:r>
        <w:rPr>
          <w:rFonts w:ascii="Arial" w:hAnsi="Arial"/>
          <w:b/>
          <w:color w:val="000000"/>
          <w:sz w:val="16"/>
        </w:rPr>
        <w:t>98011</w:t>
      </w:r>
    </w:p>
    <w:p>
      <w:pPr>
        <w:pStyle w:val="TextBody"/>
        <w:bidi w:val="0"/>
        <w:spacing w:before="20" w:after="283"/>
        <w:jc w:val="center"/>
        <w:rPr>
          <w:rFonts w:ascii="Arial" w:hAnsi="Arial"/>
          <w:b/>
          <w:color w:val="000000"/>
          <w:sz w:val="16"/>
        </w:rPr>
      </w:pPr>
      <w:r>
        <w:rPr>
          <w:rFonts w:ascii="Arial" w:hAnsi="Arial"/>
          <w:b/>
          <w:color w:val="000000"/>
          <w:sz w:val="16"/>
        </w:rPr>
        <w:t>(Address of principal executive officer)</w:t>
      </w:r>
    </w:p>
    <w:p>
      <w:pPr>
        <w:pStyle w:val="TextBody"/>
        <w:bidi w:val="0"/>
        <w:spacing w:before="20" w:after="283"/>
        <w:jc w:val="center"/>
        <w:rPr>
          <w:rFonts w:ascii="Arial" w:hAnsi="Arial"/>
          <w:b/>
          <w:color w:val="000000"/>
          <w:sz w:val="16"/>
        </w:rPr>
      </w:pPr>
      <w:r>
        <w:rPr>
          <w:rFonts w:ascii="Arial" w:hAnsi="Arial"/>
          <w:b/>
          <w:color w:val="000000"/>
          <w:sz w:val="16"/>
        </w:rPr>
        <w:t>(425) 620-8501</w:t>
      </w:r>
    </w:p>
    <w:p>
      <w:pPr>
        <w:pStyle w:val="TextBody"/>
        <w:bidi w:val="0"/>
        <w:spacing w:before="40" w:after="283"/>
        <w:jc w:val="center"/>
        <w:rPr>
          <w:rFonts w:ascii="Arial" w:hAnsi="Arial"/>
          <w:b/>
          <w:color w:val="000000"/>
          <w:sz w:val="16"/>
        </w:rPr>
      </w:pPr>
      <w:r>
        <w:rPr>
          <w:rFonts w:ascii="Arial" w:hAnsi="Arial"/>
          <w:b/>
          <w:color w:val="000000"/>
          <w:sz w:val="16"/>
        </w:rPr>
        <w:t>(Registrant’s telephone number, including area code)</w:t>
      </w:r>
    </w:p>
    <w:p>
      <w:pPr>
        <w:pStyle w:val="TextBody"/>
        <w:bidi w:val="0"/>
        <w:spacing w:before="40" w:after="283"/>
        <w:jc w:val="center"/>
        <w:rPr>
          <w:rFonts w:ascii="Arial" w:hAnsi="Arial"/>
          <w:color w:val="000000"/>
          <w:sz w:val="17"/>
        </w:rPr>
      </w:pPr>
      <w:r>
        <w:rPr>
          <w:rFonts w:ascii="Arial" w:hAnsi="Arial"/>
          <w:color w:val="000000"/>
          <w:sz w:val="17"/>
        </w:rPr>
        <w:t>Securities registered pursuant to Section 12(b) of the Act:</w:t>
      </w:r>
    </w:p>
    <w:p>
      <w:pPr>
        <w:pStyle w:val="TextBody"/>
        <w:bidi w:val="0"/>
        <w:jc w:val="both"/>
        <w:rPr/>
      </w:pPr>
      <w:r>
        <w:rPr/>
        <w:t> </w:t>
      </w:r>
    </w:p>
    <w:tbl>
      <w:tblPr>
        <w:tblW w:w="7795" w:type="dxa"/>
        <w:jc w:val="left"/>
        <w:tblInd w:w="0" w:type="dxa"/>
        <w:tblLayout w:type="fixed"/>
        <w:tblCellMar>
          <w:top w:w="28" w:type="dxa"/>
          <w:left w:w="28" w:type="dxa"/>
          <w:bottom w:w="28" w:type="dxa"/>
          <w:right w:w="28" w:type="dxa"/>
        </w:tblCellMar>
      </w:tblPr>
      <w:tblGrid>
        <w:gridCol w:w="3241"/>
        <w:gridCol w:w="146"/>
        <w:gridCol w:w="841"/>
        <w:gridCol w:w="146"/>
        <w:gridCol w:w="342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Trading</w:t>
            </w:r>
          </w:p>
          <w:p>
            <w:pPr>
              <w:pStyle w:val="TableContents"/>
              <w:bidi w:val="0"/>
              <w:spacing w:before="0" w:after="283"/>
              <w:jc w:val="center"/>
              <w:rPr>
                <w:rFonts w:ascii="Arial" w:hAnsi="Arial"/>
                <w:b/>
                <w:color w:val="000000"/>
                <w:sz w:val="15"/>
              </w:rPr>
            </w:pPr>
            <w:r>
              <w:rPr>
                <w:rFonts w:ascii="Arial" w:hAnsi="Arial"/>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LONA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21" w:type="dxa"/>
            <w:tcBorders/>
            <w:tcMar>
              <w:top w:w="0" w:type="dxa"/>
              <w:left w:w="0" w:type="dxa"/>
              <w:bottom w:w="0" w:type="dxa"/>
              <w:right w:w="0" w:type="dxa"/>
            </w:tcMar>
            <w:vAlign w:val="center"/>
          </w:tcPr>
          <w:p>
            <w:pPr>
              <w:pStyle w:val="TableContents"/>
              <w:bidi w:val="0"/>
              <w:jc w:val="center"/>
              <w:rPr>
                <w:rFonts w:ascii="Arial" w:hAnsi="Arial"/>
                <w:color w:val="000000"/>
                <w:sz w:val="15"/>
              </w:rPr>
            </w:pPr>
            <w:r>
              <w:rPr>
                <w:rFonts w:ascii="Arial" w:hAnsi="Arial"/>
                <w:color w:val="000000"/>
                <w:sz w:val="15"/>
              </w:rPr>
              <w:t>The Nasdaq Stock Market LLC</w:t>
            </w:r>
          </w:p>
          <w:p>
            <w:pPr>
              <w:pStyle w:val="TableContents"/>
              <w:bidi w:val="0"/>
              <w:spacing w:before="0" w:after="283"/>
              <w:jc w:val="center"/>
              <w:rPr>
                <w:rFonts w:ascii="Arial" w:hAnsi="Arial"/>
                <w:color w:val="000000"/>
                <w:sz w:val="15"/>
              </w:rPr>
            </w:pPr>
            <w:r>
              <w:rPr>
                <w:rFonts w:ascii="Arial" w:hAnsi="Arial"/>
                <w:color w:val="000000"/>
                <w:sz w:val="15"/>
              </w:rPr>
              <w:t>(The Nasdaq Capital Market)</w:t>
            </w:r>
          </w:p>
        </w:tc>
      </w:tr>
    </w:tbl>
    <w:p>
      <w:pPr>
        <w:pStyle w:val="TextBody"/>
        <w:bidi w:val="0"/>
        <w:spacing w:before="80" w:after="283"/>
        <w:jc w:val="both"/>
        <w:rPr>
          <w:rFonts w:ascii="Times New Roman" w:hAnsi="Times New Roman"/>
          <w:sz w:val="20"/>
        </w:rPr>
      </w:pPr>
      <w:r>
        <w:rPr>
          <w:rFonts w:ascii="Arial" w:hAnsi="Arial"/>
          <w:color w:val="000000"/>
          <w:sz w:val="15"/>
        </w:rPr>
        <w:t>Securities registered pursuant to Section 12(g) of the Act: None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Arial" w:hAnsi="Arial"/>
          <w:caps/>
          <w:color w:val="000000"/>
          <w:sz w:val="15"/>
        </w:rPr>
        <w:t>No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5"/>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Arial" w:hAnsi="Arial"/>
          <w:color w:val="000000"/>
          <w:sz w:val="15"/>
        </w:rPr>
        <w:t>N</w:t>
      </w:r>
      <w:r>
        <w:rPr>
          <w:rFonts w:ascii="Arial" w:hAnsi="Arial"/>
          <w:caps/>
          <w:color w:val="000000"/>
          <w:sz w:val="15"/>
        </w:rPr>
        <w:t>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hAnsi="Arial"/>
          <w:caps/>
          <w:color w:val="000000"/>
          <w:sz w:val="15"/>
        </w:rPr>
        <w:t>es</w:t>
      </w:r>
      <w:r>
        <w:rPr>
          <w:rFonts w:ascii="Times New Roman" w:hAnsi="Times New Roman"/>
          <w:color w:val="000000"/>
          <w:sz w:val="20"/>
        </w:rPr>
        <w:t xml:space="preserve"> ☒ </w:t>
      </w:r>
      <w:r>
        <w:rPr>
          <w:rFonts w:ascii="Arial" w:hAnsi="Arial"/>
          <w:color w:val="000000"/>
          <w:sz w:val="15"/>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Arial" w:hAnsi="Arial"/>
          <w:caps/>
          <w:color w:val="000000"/>
          <w:sz w:val="15"/>
        </w:rPr>
        <w:t>es</w:t>
      </w:r>
      <w:r>
        <w:rPr>
          <w:rFonts w:ascii="Times New Roman" w:hAnsi="Times New Roman"/>
          <w:color w:val="000000"/>
          <w:sz w:val="20"/>
        </w:rPr>
        <w:t xml:space="preserve"> ☒ </w:t>
      </w:r>
      <w:r>
        <w:rPr>
          <w:rFonts w:ascii="Arial" w:hAnsi="Arial"/>
          <w:color w:val="000000"/>
          <w:sz w:val="15"/>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5"/>
        </w:rPr>
      </w:pPr>
      <w:r>
        <w:rPr>
          <w:rFonts w:ascii="Arial" w:hAnsi="Arial"/>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032" w:type="dxa"/>
        <w:jc w:val="left"/>
        <w:tblInd w:w="0" w:type="dxa"/>
        <w:tblLayout w:type="fixed"/>
        <w:tblCellMar>
          <w:top w:w="28" w:type="dxa"/>
          <w:left w:w="28" w:type="dxa"/>
          <w:bottom w:w="28" w:type="dxa"/>
          <w:right w:w="28" w:type="dxa"/>
        </w:tblCellMar>
      </w:tblPr>
      <w:tblGrid>
        <w:gridCol w:w="1966"/>
        <w:gridCol w:w="146"/>
        <w:gridCol w:w="316"/>
        <w:gridCol w:w="146"/>
        <w:gridCol w:w="1951"/>
        <w:gridCol w:w="146"/>
        <w:gridCol w:w="36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5"/>
              </w:rPr>
            </w:pPr>
            <w:r>
              <w:rPr>
                <w:rFonts w:ascii="Arial" w:hAnsi="Arial"/>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5"/>
              </w:rPr>
            </w:pPr>
            <w:r>
              <w:rPr>
                <w:rFonts w:ascii="Arial" w:hAnsi="Arial"/>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both"/>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209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5"/>
              </w:rPr>
            </w:pPr>
            <w:r>
              <w:rPr>
                <w:rFonts w:ascii="Arial" w:hAnsi="Arial"/>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5"/>
              </w:rPr>
            </w:pPr>
            <w:r>
              <w:rPr>
                <w:rFonts w:ascii="Arial" w:hAnsi="Arial"/>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9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5"/>
              </w:rPr>
            </w:pPr>
            <w:r>
              <w:rPr>
                <w:rFonts w:ascii="Arial" w:hAnsi="Arial"/>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jc w:val="both"/>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both"/>
        <w:rPr>
          <w:rFonts w:ascii="Arial" w:hAnsi="Arial"/>
          <w:color w:val="000000"/>
          <w:sz w:val="15"/>
        </w:rPr>
      </w:pPr>
      <w:r>
        <w:rPr>
          <w:rFonts w:ascii="Arial" w:hAnsi="Arial"/>
          <w:color w:val="000000"/>
          <w:sz w:val="15"/>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80" w:after="283"/>
        <w:jc w:val="both"/>
        <w:rPr>
          <w:rFonts w:ascii="Times New Roman" w:hAnsi="Times New Roman"/>
          <w:sz w:val="20"/>
        </w:rPr>
      </w:pPr>
      <w:r>
        <w:rPr>
          <w:rFonts w:ascii="Arial" w:hAnsi="Arial"/>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5"/>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5"/>
        </w:rPr>
        <w:t>The aggregate market value of the common stock held by non-affiliates of the registrant, based on the closing price of the shares of common stock on June 30, 2025 (the last business day of the registrant’s most recently completed second fiscal quarter) as reported by The Nasdaq Stock Market LLC on such date was approximately $9.9</w:t>
      </w:r>
      <w:r>
        <w:rPr>
          <w:rFonts w:ascii="Times New Roman" w:hAnsi="Times New Roman"/>
          <w:color w:val="000000"/>
          <w:sz w:val="20"/>
        </w:rPr>
        <w:t xml:space="preserve"> </w:t>
      </w:r>
      <w:r>
        <w:rPr>
          <w:rFonts w:ascii="Arial" w:hAnsi="Arial"/>
          <w:color w:val="000000"/>
          <w:sz w:val="15"/>
        </w:rPr>
        <w:t>million. Shares of the registrant’s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5"/>
        </w:rPr>
        <w:t>The number of shares of Registrant’s common stock outstanding as of March 27, 2026 was 9,393,514.</w:t>
      </w:r>
      <w:r>
        <w:rPr>
          <w:rFonts w:ascii="Times New Roman" w:hAnsi="Times New Roman"/>
          <w:color w:val="000000"/>
          <w:sz w:val="20"/>
        </w:rPr>
        <w:t xml:space="preserve"> </w:t>
      </w:r>
    </w:p>
    <w:p>
      <w:pPr>
        <w:pStyle w:val="TextBody"/>
        <w:bidi w:val="0"/>
        <w:spacing w:before="120" w:after="283"/>
        <w:jc w:val="center"/>
        <w:rPr>
          <w:rFonts w:ascii="Arial" w:hAnsi="Arial"/>
          <w:color w:val="000000"/>
          <w:sz w:val="16"/>
        </w:rPr>
      </w:pPr>
      <w:r>
        <w:rPr>
          <w:rFonts w:ascii="Arial" w:hAnsi="Arial"/>
          <w:color w:val="000000"/>
          <w:sz w:val="16"/>
        </w:rPr>
        <w:t>DOCUMENTS INCORPORATED BY REFERENCE</w:t>
      </w:r>
    </w:p>
    <w:p>
      <w:pPr>
        <w:pStyle w:val="TextBody"/>
        <w:bidi w:val="0"/>
        <w:spacing w:before="40" w:after="283"/>
        <w:jc w:val="both"/>
        <w:rPr>
          <w:rFonts w:ascii="Arial" w:hAnsi="Arial"/>
          <w:color w:val="000000"/>
          <w:sz w:val="15"/>
        </w:rPr>
      </w:pPr>
      <w:r>
        <w:rPr>
          <w:rFonts w:ascii="Arial" w:hAnsi="Arial"/>
          <w:color w:val="000000"/>
          <w:sz w:val="15"/>
        </w:rPr>
        <w:t>None.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5"/>
        <w:gridCol w:w="8646"/>
        <w:gridCol w:w="604"/>
      </w:tblGrid>
      <w:tr>
        <w:trPr/>
        <w:tc>
          <w:tcPr>
            <w:tcW w:w="955" w:type="dxa"/>
            <w:tcBorders/>
            <w:vAlign w:val="center"/>
          </w:tcPr>
          <w:p>
            <w:pPr>
              <w:pStyle w:val="TableContents"/>
              <w:bidi w:val="0"/>
              <w:spacing w:before="0" w:after="283"/>
              <w:jc w:val="left"/>
              <w:rPr>
                <w:sz w:val="4"/>
                <w:szCs w:val="4"/>
              </w:rPr>
            </w:pPr>
            <w:r>
              <w:rPr>
                <w:sz w:val="4"/>
                <w:szCs w:val="4"/>
              </w:rPr>
            </w:r>
          </w:p>
        </w:tc>
        <w:tc>
          <w:tcPr>
            <w:tcW w:w="86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Arial" w:hAnsi="Arial"/>
                  <w:b/>
                  <w:color w:val="0000FF"/>
                  <w:sz w:val="20"/>
                </w:rPr>
                <w:t>PART I</w:t>
              </w:r>
            </w:hyperlink>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Arial" w:hAnsi="Arial"/>
                  <w:color w:val="0000FF"/>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Arial" w:hAnsi="Arial"/>
                  <w:color w:val="0000FF"/>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1B.</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Arial" w:hAnsi="Arial"/>
                  <w:color w:val="0000FF"/>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117</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1C.</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Arial" w:hAnsi="Arial"/>
                  <w:color w:val="0000FF"/>
                  <w:sz w:val="20"/>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117</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2.</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FF"/>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3.</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FF"/>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4.</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b/>
                  <w:color w:val="0000FF"/>
                  <w:sz w:val="20"/>
                </w:rPr>
                <w:t>PART II</w:t>
              </w:r>
            </w:hyperlink>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5.</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Arial" w:hAnsi="Arial"/>
                  <w:color w:val="0000FF"/>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119</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6.</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Arial" w:hAnsi="Arial"/>
                  <w:color w:val="0000FF"/>
                  <w:sz w:val="20"/>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119</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Arial" w:hAnsi="Arial"/>
                  <w:color w:val="0000FF"/>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120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7A.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Arial" w:hAnsi="Arial"/>
                  <w:color w:val="0000FF"/>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135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8.</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Arial" w:hAnsi="Arial"/>
                  <w:color w:val="0000FF"/>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135</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Arial" w:hAnsi="Arial"/>
                  <w:color w:val="0000FF"/>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171</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9A.</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Arial" w:hAnsi="Arial"/>
                  <w:color w:val="0000FF"/>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171</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9B.</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Arial" w:hAnsi="Arial"/>
                  <w:color w:val="0000FF"/>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172</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9C.</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Arial" w:hAnsi="Arial"/>
                  <w:color w:val="0000FF"/>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Arial" w:hAnsi="Arial"/>
                  <w:b/>
                  <w:color w:val="0000FF"/>
                  <w:sz w:val="20"/>
                </w:rPr>
                <w:t>PART III</w:t>
              </w:r>
            </w:hyperlink>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10.</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
              <w:r>
                <w:rPr>
                  <w:rStyle w:val="InternetLink"/>
                  <w:rFonts w:ascii="Arial" w:hAnsi="Arial"/>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11.</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Arial" w:hAnsi="Arial"/>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180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12.</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Arial" w:hAnsi="Arial"/>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193</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13.</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and_relate">
              <w:r>
                <w:rPr>
                  <w:rStyle w:val="InternetLink"/>
                  <w:rFonts w:ascii="Arial" w:hAnsi="Arial"/>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196</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14.</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Arial" w:hAnsi="Arial"/>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Arial" w:hAnsi="Arial"/>
                  <w:b/>
                  <w:color w:val="0000FF"/>
                  <w:sz w:val="20"/>
                </w:rPr>
                <w:t>PART IV</w:t>
              </w:r>
            </w:hyperlink>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15.</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Arial" w:hAnsi="Arial"/>
                  <w:color w:val="0000FF"/>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202</w:t>
            </w:r>
          </w:p>
        </w:tc>
      </w:tr>
      <w:tr>
        <w:trPr/>
        <w:tc>
          <w:tcPr>
            <w:tcW w:w="95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Item 16</w:t>
            </w:r>
          </w:p>
        </w:tc>
        <w:tc>
          <w:tcPr>
            <w:tcW w:w="8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Arial" w:hAnsi="Arial"/>
                  <w:color w:val="0000FF"/>
                  <w:sz w:val="20"/>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2" w:name="summary_risk_factors"/>
      <w:bookmarkEnd w:id="2"/>
      <w:r>
        <w:rPr>
          <w:rFonts w:ascii="Arial" w:hAnsi="Arial"/>
          <w:b/>
          <w:color w:val="000000"/>
          <w:sz w:val="20"/>
        </w:rPr>
        <w:t>Summary Risk Factors</w:t>
      </w:r>
    </w:p>
    <w:p>
      <w:pPr>
        <w:pStyle w:val="TextBody"/>
        <w:bidi w:val="0"/>
        <w:spacing w:before="12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lasofoxifene or ATH-1105 may never lead to marketable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Treatment of central and peripheral nervous system degenerative disorders is a field that has seen very limited success in product development and our research and development efforts may be unsuccessful.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integrating lasofoxifene into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 a result of our failure to timely file a Current Report on Form 8-K, we are currently ineligible to file or use registration statements on Form S-3, which may impair our ability to raise capital on terms favorable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Future sales, or the perception of future sales, of a substantial amount of our common stock could depress the trading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previously been, and may in the future be, named as defendants in lawsuits that could result in substantial costs and divert management’s attention.</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24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w:t>
      </w:r>
    </w:p>
    <w:p>
      <w:pPr>
        <w:pStyle w:val="TextBody"/>
        <w:bidi w:val="0"/>
        <w:spacing w:before="24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Annual Report on Form 10-K contains forward-looking statements that are based on our management’s beliefs and assumptions and on information currently available to our management. This section should be read in conjunction with our audited consolidated financial statements and related notes included in Part II, Item 8 of this report. The statements contained in this report that are not purely historical are forward-looking statements within the meaning of Section 27A of the Securities Act of 1933, as amended (the "Securities Act"), and Section 21E of the Securities Exchange Act of 1934, as amended (the "Exchange Act").</w:t>
      </w:r>
    </w:p>
    <w:p>
      <w:pPr>
        <w:pStyle w:val="TextBody"/>
        <w:bidi w:val="0"/>
        <w:spacing w:before="24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sufficiency of our existing cash, cash equivalents and investments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funding for our operations, including funding necessary to develop and commercialize our drug candidates and funding necessary for the payment of future milestone and other payments that may be earned by our collaboration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potential to complete the Phase 3 ELAINE-3 clinical trial for lasofoxifene and any subsequent clinical trials to show the clinical benefits of lasofoxifene;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of our Phase 2 ATH-1105 clinical trial and any subsequent clinical trials to show the beneficial characteristics, safety and efficacy of ATH-1105;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learnings from our ongoing clinical trials and their ability to inform and improve future clinical development plans;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attract and retain key managerial, scientific and clinical personnel and the expected contributions of such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potential for lasofoxifene to be a new standard of care in the genetically defined patient group;</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outcome of legal proceedings which may in the future be instituted against us and certain of our directors and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size and growth potential of the markets for our drug candidates, if approved for commercial use, and our ability to serve those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benefits of any strategic collaborations, partnerships, or other transactions we may enter into. </w:t>
      </w:r>
    </w:p>
    <w:p>
      <w:pPr>
        <w:pStyle w:val="TextBody"/>
        <w:bidi w:val="0"/>
        <w:spacing w:before="240" w:after="283"/>
        <w:jc w:val="both"/>
        <w:rPr>
          <w:rFonts w:ascii="Times New Roman" w:hAnsi="Times New Roman"/>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These statements, like all statements in this report, speak only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Arial" w:hAnsi="Arial"/>
          <w:color w:val="000000"/>
          <w:sz w:val="20"/>
        </w:rPr>
      </w:pPr>
      <w:r>
        <w:rPr>
          <w:rFonts w:ascii="Arial" w:hAnsi="Arial"/>
          <w:color w:val="000000"/>
          <w:sz w:val="20"/>
        </w:rPr>
        <w:t>This report includes our trademarks and registered trademarks, including LeonaBio, the LeonaBio logo, and other trademarks, trade names, or service marks of LeonaBio.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or the rights of the applicable licensors to these trademarks, trade names, and service marks.</w:t>
      </w:r>
    </w:p>
    <w:p>
      <w:pPr>
        <w:pStyle w:val="TextBody"/>
        <w:bidi w:val="0"/>
        <w:spacing w:before="240" w:after="283"/>
        <w:jc w:val="both"/>
        <w:rPr>
          <w:rFonts w:ascii="Arial" w:hAnsi="Arial"/>
          <w:color w:val="000000"/>
          <w:sz w:val="20"/>
        </w:rPr>
      </w:pPr>
      <w:r>
        <w:rPr>
          <w:rFonts w:ascii="Arial" w:hAnsi="Arial"/>
          <w:color w:val="000000"/>
          <w:sz w:val="20"/>
        </w:rPr>
        <w:t>In this report, “we,” “our,” “us,” “LeonaBio,” and “the Company” refer to LeonaBio, Inc. and its wholly-owned subsidiary.</w:t>
      </w:r>
    </w:p>
    <w:p>
      <w:pPr>
        <w:pStyle w:val="TextBody"/>
        <w:bidi w:val="0"/>
        <w:spacing w:before="360" w:after="283"/>
        <w:jc w:val="both"/>
        <w:rPr>
          <w:rFonts w:ascii="Times New Roman" w:hAnsi="Times New Roman"/>
          <w:sz w:val="20"/>
        </w:rPr>
      </w:pPr>
      <w:bookmarkStart w:id="4" w:name="item_1_business"/>
      <w:bookmarkEnd w:id="4"/>
      <w:r>
        <w:rPr>
          <w:rFonts w:ascii="Arial" w:hAnsi="Arial"/>
          <w:b/>
          <w:color w:val="000000"/>
          <w:sz w:val="20"/>
        </w:rPr>
        <w:t>Item 1. Business.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clinical-stage biopharmaceutical company dedicated to the development of novel therapeutics for high unmet medical needs, including treatment-resistant metastatic breast cancer and amyotrophic lateral sclerosis (“ALS”), with the goal of improving patients’ lives.</w:t>
      </w:r>
    </w:p>
    <w:p>
      <w:pPr>
        <w:pStyle w:val="TextBody"/>
        <w:bidi w:val="0"/>
        <w:spacing w:before="240" w:after="283"/>
        <w:jc w:val="both"/>
        <w:rPr>
          <w:rFonts w:ascii="Arial" w:hAnsi="Arial"/>
          <w:color w:val="000000"/>
          <w:sz w:val="20"/>
        </w:rPr>
      </w:pPr>
      <w:r>
        <w:rPr>
          <w:rFonts w:ascii="Arial" w:hAnsi="Arial"/>
          <w:color w:val="000000"/>
          <w:sz w:val="20"/>
        </w:rPr>
        <w:t>Following a review of potential therapeutic and business opportunities, we acquired rights to a promising late-stage asset, lasofoxifene, for the potential treatment of ESR1-mutated (“mESR1”) metastatic breast cancer in December 2025. This late-stage program has generated promising clinical data and we believe it represents a unique and exciting opportunity to diversify our pipeline. We believe this program fits well with our later-stage clinical development experience, and complements our in-house asset, ATH-1105, a Phase-2 ready program for the potential treatment of ALS.</w:t>
      </w:r>
    </w:p>
    <w:p>
      <w:pPr>
        <w:pStyle w:val="TextBody"/>
        <w:bidi w:val="0"/>
        <w:spacing w:before="240" w:after="283"/>
        <w:jc w:val="both"/>
        <w:rPr>
          <w:rFonts w:ascii="Arial" w:hAnsi="Arial"/>
          <w:color w:val="000000"/>
          <w:sz w:val="20"/>
        </w:rPr>
      </w:pPr>
      <w:r>
        <w:rPr>
          <w:rFonts w:ascii="Arial" w:hAnsi="Arial"/>
          <w:color w:val="000000"/>
          <w:sz w:val="20"/>
        </w:rPr>
        <w:t>The drug development landscape in both oncology and neuroscience is evolving rapidly, driven by breakthroughs in genetics, disease biology, and molecular pathway research. We are leveraging this scientific momentum to advance a pipeline of innovative, late-stage assets both internally developed and strategically in-licensed with the goal of accelerating their path to market and maximizing their clinical and commercial impact.</w:t>
      </w:r>
    </w:p>
    <w:p>
      <w:pPr>
        <w:pStyle w:val="TextBody"/>
        <w:bidi w:val="0"/>
        <w:spacing w:before="240" w:after="283"/>
        <w:jc w:val="both"/>
        <w:rPr>
          <w:rFonts w:ascii="Arial" w:hAnsi="Arial"/>
          <w:color w:val="000000"/>
          <w:sz w:val="20"/>
        </w:rPr>
      </w:pPr>
      <w:r>
        <w:rPr>
          <w:rFonts w:ascii="Arial" w:hAnsi="Arial"/>
          <w:color w:val="000000"/>
          <w:sz w:val="20"/>
        </w:rPr>
        <w:t>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w:t>
      </w:r>
    </w:p>
    <w:p>
      <w:pPr>
        <w:pStyle w:val="TextBody"/>
        <w:bidi w:val="0"/>
        <w:spacing w:before="360" w:after="283"/>
        <w:jc w:val="left"/>
        <w:rPr>
          <w:rFonts w:ascii="Arial" w:hAnsi="Arial"/>
          <w:b/>
          <w:color w:val="000000"/>
          <w:sz w:val="20"/>
        </w:rPr>
      </w:pPr>
      <w:r>
        <w:rPr>
          <w:rFonts w:ascii="Arial" w:hAnsi="Arial"/>
          <w:b/>
          <w:color w:val="000000"/>
          <w:sz w:val="20"/>
        </w:rPr>
        <w:t>Our Pipeline</w:t>
      </w:r>
    </w:p>
    <w:p>
      <w:pPr>
        <w:pStyle w:val="TextBody"/>
        <w:bidi w:val="0"/>
        <w:spacing w:before="120" w:after="283"/>
        <w:jc w:val="both"/>
        <w:rPr>
          <w:rFonts w:ascii="Times New Roman" w:hAnsi="Times New Roman"/>
          <w:sz w:val="20"/>
        </w:rPr>
      </w:pPr>
      <w:r>
        <w:rPr>
          <w:rFonts w:ascii="Arial" w:hAnsi="Arial"/>
          <w:color w:val="000000"/>
          <w:sz w:val="20"/>
        </w:rPr>
        <w:t>Figure 1 below illustrates the current development stage of our proprietary drug candidates and early discovery and development programs, of which only lasofoxifene and ATH-1105 are currently in clinical development. Each program targets unmet needs in either oncology or neurology, leveraging differentiated mechanisms of action supported by preclinical and clinical evidence. Lasofoxifene, a selective estrogen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receptor modulator (“SERM”), is currently being evaluated in an ongoing registrational Phase 3 trial for metastatic breast cancer with ESR1 mutations. ATH-1105, a small-molecule positive modulator of the neurotrophic HGF system, has completed a first-in-human Phase 1 trial, and planning for a Phase 2 clinical trial for the treatment of ALS is underway. We aim to advance these programs with a focus on disciplined clinical strategy and execution, data-driven decision making, and potential commercialization following receipt of applicable regulatory approvals. We are exploring the use of our drug candidates that enhance the neurotrophic HGF system, including ATH-1020, with the goal of improving neuronal health and function in multiple neurological diseases. In addition, our drug discovery efforts have focused on designing and testing new early compounds directed towards novel targets for a variety of clinical applications.</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Figure 1. Summary of Our Preclinical and Clinical Programs.</w:t>
      </w:r>
    </w:p>
    <w:p>
      <w:pPr>
        <w:pStyle w:val="TextBody"/>
        <w:bidi w:val="0"/>
        <w:jc w:val="left"/>
        <w:rPr/>
      </w:pPr>
      <w:r>
        <w:rPr/>
        <w:t> </w:t>
      </w:r>
    </w:p>
    <w:p>
      <w:pPr>
        <w:pStyle w:val="TextBody"/>
        <w:bidi w:val="0"/>
        <w:jc w:val="center"/>
        <w:rPr/>
      </w:pPr>
      <w:r>
        <w:rPr/>
        <w:drawing>
          <wp:inline distT="0" distB="0" distL="0" distR="0">
            <wp:extent cx="5943600"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13360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Arial" w:hAnsi="Arial"/>
          <w:b/>
          <w:i/>
          <w:color w:val="000000"/>
          <w:sz w:val="20"/>
        </w:rPr>
      </w:pPr>
      <w:r>
        <w:rPr>
          <w:rFonts w:ascii="Arial" w:hAnsi="Arial"/>
          <w:b/>
          <w:i/>
          <w:color w:val="000000"/>
          <w:sz w:val="20"/>
        </w:rPr>
        <w:t>Lasofoxifene</w:t>
      </w:r>
    </w:p>
    <w:p>
      <w:pPr>
        <w:pStyle w:val="TextBody"/>
        <w:bidi w:val="0"/>
        <w:spacing w:before="120" w:after="283"/>
        <w:jc w:val="both"/>
        <w:rPr>
          <w:rFonts w:ascii="Times New Roman" w:hAnsi="Times New Roman"/>
          <w:sz w:val="20"/>
        </w:rPr>
      </w:pPr>
      <w:r>
        <w:rPr>
          <w:rFonts w:ascii="Arial" w:hAnsi="Arial"/>
          <w:color w:val="000000"/>
          <w:sz w:val="20"/>
        </w:rPr>
        <w:t>Lasofoxifene is a highly potent, orally bioavailable, small molecule, selective estrogen receptor modulator that inhibits estrogen receptor signaling in both wild-type ("WT") and mESR1 breast cancer.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Lasofoxifene was discovered through a research collaboration between Pfizer Inc. (“Pfizer”) and Ligand Pharmaceuticals (“Ligand”). Pfizer continued development of the drug in osteoporosis, female sexual dysfunction, and vaginal atrophy. In 2009, lasofoxifene was approved by the European Medicines Agency ("EMA") in Europe for the treatment of osteoporosis, under the drug name Fablyn. Multiple NDAs were submitted by Pfizer for the prevention of osteoporosis, and vulvar and vaginal atrophy, but no approvals were granted in the United States for these indications. Pfizer determined not to launch Fablyn in Europe and marketing authorization was withdrawn automatically under the Sunset Provision in 2012. Currently, lasofoxifene is not authorized for marketing anywhere in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2011, Pfizer returned global rights of lasofoxifene to Ligand. In 2015, Sermonix Pharmaceuticals, Inc. (“Sermonix”) subsequently in-licensed exclusive rights to oral lasofoxifene from Ligand, and in 2016, in-licensed intellectual property in ESR1 mutations from Duke University. In 2018, patents were issued for lasofoxifene in ER+ breast and ovarian cancers with an ESR1 mutation. Sermonix initiated a Phase 2/3 development program of lasofoxifene for the treatment of men or women with locally advanced or metastatic estrogen receptor-positive (ER+) breast cancer with an ESR1 mutation (ELAINE-1 and ELAINE-2 studies). In May 2019, the FDA granted lasofoxifene Fast Track Designation. A pivotal Phase 3 trial (ELAINE-3) is underway with topline data expected in the second half of 2027. The primary analysis will be performed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after 285 progression-free survival ("PFS") events per RECIST 1.1 criteria are observed by blinded independent central review.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December 2025, we in-licensed lasofoxifene globally, excluding Asia and certain countries in the Middle East. We plan to complete the ELAINE-3 trial to position lasofoxifene for potential approval in the United States and Europe, if successful.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are amending the ELAINE-3 trial protocol to increase the sample size from 500 participants to up to 600 participants. The primary goal of the amendment is to help ensure that the trial will have the appropriate number of disease progression events.</w:t>
      </w:r>
    </w:p>
    <w:p>
      <w:pPr>
        <w:pStyle w:val="TextBody"/>
        <w:bidi w:val="0"/>
        <w:spacing w:before="360" w:after="283"/>
        <w:jc w:val="both"/>
        <w:rPr>
          <w:rFonts w:ascii="Arial" w:hAnsi="Arial"/>
          <w:i/>
          <w:color w:val="000000"/>
          <w:sz w:val="20"/>
        </w:rPr>
      </w:pPr>
      <w:r>
        <w:rPr>
          <w:rFonts w:ascii="Arial" w:hAnsi="Arial"/>
          <w:i/>
          <w:color w:val="000000"/>
          <w:sz w:val="20"/>
        </w:rPr>
        <w:t>Mechanism of Disease</w:t>
      </w:r>
    </w:p>
    <w:p>
      <w:pPr>
        <w:pStyle w:val="TextBody"/>
        <w:bidi w:val="0"/>
        <w:spacing w:before="120" w:after="283"/>
        <w:jc w:val="both"/>
        <w:rPr>
          <w:rFonts w:ascii="Times New Roman" w:hAnsi="Times New Roman"/>
          <w:sz w:val="20"/>
        </w:rPr>
      </w:pPr>
      <w:r>
        <w:rPr>
          <w:rFonts w:ascii="Arial" w:hAnsi="Arial"/>
          <w:color w:val="000000"/>
          <w:sz w:val="20"/>
        </w:rPr>
        <w:t>Estrogen receptor–positive (“ER⁺”) breast cancer accounts for roughly 70% of all breast cancer cases and relies on estrogen-mediated signaling for tumor growth and survival. Endocrine therapy, through aromatase inhibitors (“AIs”), selective estrogen receptor modulators, or selective estrogen receptor degraders (“SERDs”), remains the standard of care, but a majority of patients with metastatic disease eventually develop resistance. A key mechanism underlying this acquired resistance is mutation of the ESR1 gene, which encodes the estrogen receptor alpha (ERα). ESR1 mutation arise primarily due to the selective pressure from endocrine therapies. While endocrine therapies are initially effective, over time, a portion of tumor cells enter a quiet state where they rewire survival pathways, often in the form of ESR1 mutations that are resistant to therapies. The result is persistent estrogen-mediated activation, uncontrolled cell proliferation, and metastatic potential despite ongoing endocrine therapy. Tumors harboring these mutations exhibit diminished sensitivity to standard agents such as fulvestrant, leading to relapse after CDK4/6 inhibitor–based combinations and limited PFS in the post-CDK4/6 setting, highlighting a critical unmet need.</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Mechanism of Action</w:t>
      </w:r>
    </w:p>
    <w:p>
      <w:pPr>
        <w:pStyle w:val="TextBody"/>
        <w:bidi w:val="0"/>
        <w:spacing w:before="120" w:after="283"/>
        <w:jc w:val="both"/>
        <w:rPr>
          <w:rFonts w:ascii="Arial" w:hAnsi="Arial"/>
          <w:color w:val="000000"/>
          <w:sz w:val="20"/>
        </w:rPr>
      </w:pPr>
      <w:r>
        <w:rPr>
          <w:rFonts w:ascii="Arial" w:hAnsi="Arial"/>
          <w:color w:val="000000"/>
          <w:sz w:val="20"/>
        </w:rPr>
        <w:t>Lasofoxifene is a next-generation selective estrogen receptor modulator that inhibits estrogen receptor signaling in both WT and mESR1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disrupts the activation helix within the ER ligand-binding domain, preventing downstream estrogen signaling. This mechanism effectively shuts down the constitutive signaling that drives proliferation and metastasis in mESR1 tumors.</w:t>
      </w:r>
    </w:p>
    <w:p>
      <w:pPr>
        <w:pStyle w:val="TextBody"/>
        <w:bidi w:val="0"/>
        <w:spacing w:before="240" w:after="283"/>
        <w:jc w:val="both"/>
        <w:rPr>
          <w:rFonts w:ascii="Arial" w:hAnsi="Arial"/>
          <w:color w:val="000000"/>
          <w:sz w:val="20"/>
        </w:rPr>
      </w:pPr>
      <w:r>
        <w:rPr>
          <w:rFonts w:ascii="Arial" w:hAnsi="Arial"/>
          <w:color w:val="000000"/>
          <w:sz w:val="20"/>
        </w:rPr>
        <w:t>In preclinical models, lasofoxifene demonstrated superior antitumor activity compared with fulvestrant, both as a single agent and in combination with CDK4/6 inhibitors, achieving robust tumor responses. Clinically, lasofoxifene acts as a tissue-selective ER modulator – antagonistic in breast tissue while maintaining beneficial estrogenic activity in bone tissues, supporting an improved tolerability and quality-of-life profile compared to SERDs. Lasofoxifene has also demonstrated excellent combinability with targeted agents such as CDK4/6 or PI3K inhibitors.</w:t>
      </w:r>
    </w:p>
    <w:p>
      <w:pPr>
        <w:pStyle w:val="TextBody"/>
        <w:bidi w:val="0"/>
        <w:spacing w:before="240" w:after="283"/>
        <w:jc w:val="both"/>
        <w:rPr>
          <w:rFonts w:ascii="Arial" w:hAnsi="Arial"/>
          <w:color w:val="000000"/>
          <w:sz w:val="20"/>
        </w:rPr>
      </w:pPr>
      <w:r>
        <w:rPr>
          <w:rFonts w:ascii="Arial" w:hAnsi="Arial"/>
          <w:color w:val="000000"/>
          <w:sz w:val="20"/>
        </w:rPr>
        <w:t>Through this unique receptor-stabilizing mechanism, lasofoxifene represents a mechanistically distinct and potent strategy to overcome ESR1-driven endocrine resistance and re-establish durable ER pathway control in metastatic ER⁺/HER2⁻ breast cancer.</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rPr>
      </w:pPr>
      <w:r>
        <w:rPr>
          <w:rFonts w:ascii="Arial" w:hAnsi="Arial"/>
          <w:i/>
          <w:color w:val="000000"/>
          <w:sz w:val="20"/>
        </w:rPr>
        <w:t>Clinical Evidence for Treatment of mESR1 Metastatic Breast Cancer</w:t>
      </w:r>
    </w:p>
    <w:p>
      <w:pPr>
        <w:pStyle w:val="TextBody"/>
        <w:bidi w:val="0"/>
        <w:spacing w:before="120" w:after="283"/>
        <w:jc w:val="both"/>
        <w:rPr>
          <w:rFonts w:ascii="Times New Roman" w:hAnsi="Times New Roman"/>
          <w:sz w:val="20"/>
        </w:rPr>
      </w:pPr>
      <w:r>
        <w:rPr>
          <w:rFonts w:ascii="Arial" w:hAnsi="Arial"/>
          <w:color w:val="000000"/>
          <w:sz w:val="20"/>
        </w:rPr>
        <w:t>A robust clinical efficacy and safety database was generated by Pfizer during their development of lasofoxifene, including 23 Phase 1 trials, 11 Phase 2 trials, and 6 Phase 3 trials. These data position lasofoxifene as one of the more well-characterized and novel endocrine therapies under development for advanced mBC. We are leveraging the existing data to advance the development of lasofoxifene. Of note, over 5,000 patients were treated with lasofoxifene in Pfizer’s Phase 3 (PEARL; NCT00141323) osteoporosis trial for up to 5 years, which demonstrated reduction in bone fractures and a reduction in new-onset breast cancer. After 5 years, women treated with 0.5 mg lasofoxifene had an 81% (p&lt;0.001) decrease in risk of ER+ breast cancer.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ELAINE-1 (NCT03781063) was an open-label, randomized, multicenter, Phase 2 trial, designed as a proof-of-concept of lasofoxifene compared to fulvestrant for the treatment of pre- and postmenopausal women with locally advanced or metastatic ER+/HER2− breast cancer with an acquired ESR1 mutation and who have disease progression on an AI in combination with a cyclin dependent kinase (CDK) 4/6 inhibitor. The primary outcome measure was PFS and the median PFS was 5.6 and 3.7 months for lasofoxifene treated participants and fulvestrant treated participants, respectively (Figure 12). Lasofoxifene and fulvestrant were both safe and well tolerated, with no significant differences between groups. While the trial was not powered, it sufficiently demonstrated the potential benefit of monotherapy lasofoxifene.</w:t>
      </w:r>
    </w:p>
    <w:p>
      <w:pPr>
        <w:pStyle w:val="TextBody"/>
        <w:bidi w:val="0"/>
        <w:spacing w:before="360" w:after="283"/>
        <w:jc w:val="both"/>
        <w:rPr>
          <w:rFonts w:ascii="Arial" w:hAnsi="Arial"/>
          <w:i/>
          <w:color w:val="000000"/>
          <w:sz w:val="20"/>
        </w:rPr>
      </w:pPr>
      <w:r>
        <w:rPr>
          <w:rFonts w:ascii="Arial" w:hAnsi="Arial"/>
          <w:i/>
          <w:color w:val="000000"/>
          <w:sz w:val="20"/>
        </w:rPr>
        <w:t>Figure 2. Kaplan-Meier estimates of PFS for lasofoxifene versus fulvestrant.</w:t>
      </w:r>
    </w:p>
    <w:p>
      <w:pPr>
        <w:pStyle w:val="TextBody"/>
        <w:bidi w:val="0"/>
        <w:jc w:val="left"/>
        <w:rPr/>
      </w:pPr>
      <w:r>
        <w:rPr/>
        <w:t> </w:t>
      </w:r>
    </w:p>
    <w:p>
      <w:pPr>
        <w:pStyle w:val="TextBody"/>
        <w:bidi w:val="0"/>
        <w:jc w:val="center"/>
        <w:rPr/>
      </w:pPr>
      <w:r>
        <w:rPr/>
        <w:drawing>
          <wp:inline distT="0" distB="0" distL="0" distR="0">
            <wp:extent cx="4533900" cy="228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533900" cy="2286000"/>
                    </a:xfrm>
                    <a:prstGeom prst="rect">
                      <a:avLst/>
                    </a:prstGeom>
                  </pic:spPr>
                </pic:pic>
              </a:graphicData>
            </a:graphic>
          </wp:inline>
        </w:drawing>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Crosses indicate censored patients. CI, confidence interval; Fulv, fulvestrant; HR, hazard ratio; LAS, lasofoxifene.</w:t>
      </w:r>
    </w:p>
    <w:p>
      <w:pPr>
        <w:pStyle w:val="TextBody"/>
        <w:bidi w:val="0"/>
        <w:spacing w:before="120" w:after="283"/>
        <w:jc w:val="both"/>
        <w:rPr>
          <w:rFonts w:ascii="Times New Roman" w:hAnsi="Times New Roman"/>
          <w:sz w:val="20"/>
        </w:rPr>
      </w:pPr>
      <w:r>
        <w:rPr>
          <w:rFonts w:ascii="Arial" w:hAnsi="Arial"/>
          <w:color w:val="000000"/>
          <w:sz w:val="20"/>
        </w:rPr>
        <w:t>ELAINE-2 (NCT04432454) was an open-label, multicenter, single-arm Phase 2 trial, designed to evaluate the safety and tolerability of the lasofoxifene and abemaciclib (a subsequently approved treatment) combination for the treatment of pre- and postmenopausal women with locally advanced or metastatic ER+/HER2− breast cancer with an acquired ESR1 mutation who have disease progression while on first and/or second lines of hormonal treatment. The combination treatment of lasofoxifene with abemaciclib demonstrated a 13-month (56 weeks) median PFS, which we believe is the longest duration observed in 2L/3L post-CDK4/6i patients (Figure 13). The combined treatment delivered a high tumor response (56% ORR) and durable disease control (65.5% CBR). The deep ctDNA and ESR1 clearance correlated with PFS, which is suggestive of target engagement and clinical benefits for patients with co-mutations. Safety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outcomes of participants treated with abemaciclib and lasofoxifene resembled the established safety profile of abemaciclib and lasofoxifene, separately, with no notable increases in adverse event frequency.</w:t>
      </w:r>
    </w:p>
    <w:p>
      <w:pPr>
        <w:pStyle w:val="TextBody"/>
        <w:bidi w:val="0"/>
        <w:spacing w:before="360" w:after="283"/>
        <w:jc w:val="both"/>
        <w:rPr>
          <w:rFonts w:ascii="Times New Roman" w:hAnsi="Times New Roman"/>
          <w:sz w:val="20"/>
        </w:rPr>
      </w:pPr>
      <w:r>
        <w:rPr>
          <w:rFonts w:ascii="Arial" w:hAnsi="Arial"/>
          <w:i/>
          <w:color w:val="000000"/>
          <w:sz w:val="20"/>
        </w:rPr>
        <w:t xml:space="preserve">Figure 3: </w:t>
      </w:r>
      <w:r>
        <w:rPr>
          <w:rFonts w:ascii="Arial" w:hAnsi="Arial"/>
          <w:color w:val="000000"/>
          <w:sz w:val="20"/>
        </w:rPr>
        <w:t>Kaplan-Meier analysis of PFS.</w:t>
      </w:r>
    </w:p>
    <w:p>
      <w:pPr>
        <w:pStyle w:val="TextBody"/>
        <w:bidi w:val="0"/>
        <w:jc w:val="left"/>
        <w:rPr/>
      </w:pPr>
      <w:r>
        <w:rPr/>
        <w:t> </w:t>
      </w:r>
    </w:p>
    <w:p>
      <w:pPr>
        <w:pStyle w:val="TextBody"/>
        <w:bidi w:val="0"/>
        <w:jc w:val="center"/>
        <w:rPr/>
      </w:pPr>
      <w:r>
        <w:rPr/>
        <w:drawing>
          <wp:inline distT="0" distB="0" distL="0" distR="0">
            <wp:extent cx="4219575" cy="2219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19575" cy="2219325"/>
                    </a:xfrm>
                    <a:prstGeom prst="rect">
                      <a:avLst/>
                    </a:prstGeom>
                  </pic:spPr>
                </pic:pic>
              </a:graphicData>
            </a:graphic>
          </wp:inline>
        </w:drawing>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CI, confidence interval; NE, not estimable; PFS, progression-free survival.</w:t>
      </w:r>
    </w:p>
    <w:p>
      <w:pPr>
        <w:pStyle w:val="TextBody"/>
        <w:bidi w:val="0"/>
        <w:spacing w:before="120" w:after="283"/>
        <w:jc w:val="both"/>
        <w:rPr>
          <w:rFonts w:ascii="Arial" w:hAnsi="Arial"/>
          <w:i/>
          <w:color w:val="000000"/>
          <w:sz w:val="20"/>
        </w:rPr>
      </w:pPr>
      <w:r>
        <w:rPr>
          <w:rFonts w:ascii="Arial" w:hAnsi="Arial"/>
          <w:i/>
          <w:color w:val="000000"/>
          <w:sz w:val="20"/>
        </w:rPr>
        <w:t>Clinical Development Plan for Lasofoxifene in mESR1 Metastatic Breast Cancer</w:t>
      </w:r>
    </w:p>
    <w:p>
      <w:pPr>
        <w:pStyle w:val="TextBody"/>
        <w:bidi w:val="0"/>
        <w:spacing w:before="120" w:after="283"/>
        <w:jc w:val="both"/>
        <w:rPr>
          <w:rFonts w:ascii="Arial" w:hAnsi="Arial"/>
          <w:color w:val="000000"/>
          <w:sz w:val="20"/>
        </w:rPr>
      </w:pPr>
      <w:r>
        <w:rPr>
          <w:rFonts w:ascii="Arial" w:hAnsi="Arial"/>
          <w:color w:val="000000"/>
          <w:sz w:val="20"/>
        </w:rPr>
        <w:t>In September 2022, an End of Phase 2 (EOP2) meeting was held with the FDA. Following the completion of ELAINE-2, these data were discussed with FDA and a pivotal, global Phase 3 trial protocol (ELAINE-3; NCT05696626) to evaluate lasofoxifene with abemaciclib was agreed upon. ELAINE-3 aims to demonstrate the potential superiority of lasofoxifene with abemaciclib, as a new standard-of-care versus fulvestrant with abemaciclib for ESR1-driven post-CDK4/6i metastatic breast cancer (Figure 4). The primary endpoint is determined by a blinded independent review of centralized scans using industry standard RECIST criteria. The primary readout will be conducted when 285 participants have been determined to meet the RECIST criteria for progression.</w:t>
      </w:r>
    </w:p>
    <w:p>
      <w:pPr>
        <w:pStyle w:val="TextBody"/>
        <w:bidi w:val="0"/>
        <w:spacing w:before="240" w:after="283"/>
        <w:jc w:val="both"/>
        <w:rPr>
          <w:rFonts w:ascii="Times New Roman" w:hAnsi="Times New Roman"/>
          <w:sz w:val="20"/>
        </w:rPr>
      </w:pPr>
      <w:r>
        <w:rPr>
          <w:rFonts w:ascii="Arial" w:hAnsi="Arial"/>
          <w:color w:val="000000"/>
          <w:sz w:val="20"/>
        </w:rPr>
        <w:t>ELAINE-3 was initiated in 2024. As of December 2025, over 50% of recruitment was completed and we anticipate completion of recruitment in 2026.</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Figure 4: ELAINE-3 Trial Design</w:t>
      </w:r>
    </w:p>
    <w:p>
      <w:pPr>
        <w:pStyle w:val="TextBody"/>
        <w:bidi w:val="0"/>
        <w:jc w:val="left"/>
        <w:rPr/>
      </w:pPr>
      <w:r>
        <w:rPr/>
        <w:t> </w:t>
      </w:r>
    </w:p>
    <w:p>
      <w:pPr>
        <w:pStyle w:val="TextBody"/>
        <w:bidi w:val="0"/>
        <w:jc w:val="center"/>
        <w:rPr/>
      </w:pPr>
      <w:r>
        <w:rPr/>
        <w:drawing>
          <wp:inline distT="0" distB="0" distL="0" distR="0">
            <wp:extent cx="5943600" cy="1657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165735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Arial" w:hAnsi="Arial"/>
          <w:i/>
          <w:color w:val="000000"/>
          <w:sz w:val="20"/>
        </w:rPr>
      </w:pPr>
      <w:r>
        <w:rPr>
          <w:rFonts w:ascii="Arial" w:hAnsi="Arial"/>
          <w:i/>
          <w:color w:val="000000"/>
          <w:sz w:val="20"/>
        </w:rPr>
        <w:t>Market Opportunity</w:t>
      </w:r>
    </w:p>
    <w:p>
      <w:pPr>
        <w:pStyle w:val="TextBody"/>
        <w:bidi w:val="0"/>
        <w:spacing w:before="120" w:after="283"/>
        <w:jc w:val="both"/>
        <w:rPr>
          <w:rFonts w:ascii="Times New Roman" w:hAnsi="Times New Roman"/>
          <w:sz w:val="20"/>
        </w:rPr>
      </w:pPr>
      <w:r>
        <w:rPr>
          <w:rFonts w:ascii="Arial" w:hAnsi="Arial"/>
          <w:color w:val="000000"/>
          <w:sz w:val="20"/>
        </w:rPr>
        <w:t>Current effective treatment options for ER+/HER2-, ESR1 mutated breast cancer remain limited, particularly after progression on AIs and CDK4/6 inhibitor therapy.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believe that if lasofoxifene, in combination treatment with abemaciclib (Verzenio), demonstrates a competitive PFS, a substantial objective response rate, and a favorable tolerability and quality of life profile, it will represent a compelling profile for approval and commercialization. In a quantitative survey of 50 physicians, Sermonix reported that 86% of physicians indicated that they definitely would or probably would prescribe a lasofoxifene combination regimen to treat patients with ER+/HER2- advanced breast cancer with an ESR1 mutation. We believe lasofoxifene, if approved, will represent a desirable commercial option for patients with ER+/HER2-, ESR1 mutated breast cancer. Based on the prevalence of ER+/HER2- mBC cases in 2L+ therapy and rate of ESR1 mutations, our market research suggests that the U.S. market opportunity for lasofoxifene may exceed $1.0 billion in peak annual sales.</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Potential Commercialization Plan</w:t>
      </w:r>
    </w:p>
    <w:p>
      <w:pPr>
        <w:pStyle w:val="TextBody"/>
        <w:bidi w:val="0"/>
        <w:spacing w:before="120" w:after="283"/>
        <w:jc w:val="both"/>
        <w:rPr>
          <w:rFonts w:ascii="Arial" w:hAnsi="Arial"/>
          <w:color w:val="000000"/>
          <w:sz w:val="20"/>
        </w:rPr>
      </w:pPr>
      <w:r>
        <w:rPr>
          <w:rFonts w:ascii="Arial" w:hAnsi="Arial"/>
          <w:color w:val="000000"/>
          <w:sz w:val="20"/>
        </w:rPr>
        <w:t>Lasofoxifene is currently in development for the potential treatment of ER+/HER2-, ESR1 mutated metastatic breast cancer, a genetically defined, high-value market segment with limited effective options following AI and CDK4/6 inhibitor therapy. The potential commercialization strategy is centered around lasofoxifene as a 2L/3L+ therapy in combination with abemaciclib (CDK4/6i) after progression on endocrine therapy + CDK4/6i. We aim to demonstrate that lasofoxifene provides compelling combination efficacy while offering quality-of-life advantages unmatched by current endocrine therapies. If successful, we may evaluate lasofoxifene in earlier-line use and in combinations with other targeted therapies such as mTOR or PI3K pathway inhibitors.</w:t>
      </w:r>
    </w:p>
    <w:p>
      <w:pPr>
        <w:pStyle w:val="TextBody"/>
        <w:bidi w:val="0"/>
        <w:spacing w:before="360" w:after="283"/>
        <w:jc w:val="both"/>
        <w:rPr>
          <w:rFonts w:ascii="Arial" w:hAnsi="Arial"/>
          <w:b/>
          <w:i/>
          <w:color w:val="000000"/>
          <w:sz w:val="20"/>
        </w:rPr>
      </w:pPr>
      <w:r>
        <w:rPr>
          <w:rFonts w:ascii="Arial" w:hAnsi="Arial"/>
          <w:b/>
          <w:i/>
          <w:color w:val="000000"/>
          <w:sz w:val="20"/>
        </w:rPr>
        <w:t>ATH-1105</w:t>
      </w:r>
    </w:p>
    <w:p>
      <w:pPr>
        <w:pStyle w:val="TextBody"/>
        <w:bidi w:val="0"/>
        <w:spacing w:before="120" w:after="283"/>
        <w:jc w:val="both"/>
        <w:rPr>
          <w:rFonts w:ascii="Arial" w:hAnsi="Arial"/>
          <w:color w:val="000000"/>
          <w:sz w:val="20"/>
        </w:rPr>
      </w:pPr>
      <w:r>
        <w:rPr>
          <w:rFonts w:ascii="Arial" w:hAnsi="Arial"/>
          <w:color w:val="000000"/>
          <w:sz w:val="20"/>
        </w:rPr>
        <w:t>ATH-1105 is a novel, orally available, brain-penetrant, next generation, small-molecule drug candidate designed to positively modulate the neurotrophic HGF system. We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pStyle w:val="TextBody"/>
        <w:bidi w:val="0"/>
        <w:spacing w:before="240" w:after="283"/>
        <w:jc w:val="both"/>
        <w:rPr>
          <w:rFonts w:ascii="Times New Roman" w:hAnsi="Times New Roman"/>
          <w:sz w:val="20"/>
        </w:rPr>
      </w:pPr>
      <w:r>
        <w:rPr>
          <w:rFonts w:ascii="Arial" w:hAnsi="Arial"/>
          <w:color w:val="000000"/>
          <w:sz w:val="20"/>
        </w:rPr>
        <w:t xml:space="preserve">In preclinical models of ALS, treatment with ATH-1105 resulted in improvements in motor neuron survival and function. In vitro, ATH-1105 treatment protected primary spinal motor neurons from glutamate toxicity and prevented accumulation of toxic protein aggregates. Additionally, ATH-1105 induced target activation in cultures of ALS patient-derived motor neurons. In a preclinical mouse model of ALS, treatment with ATH-1105 significantly prevented loss of body weight, and improved motor function including balance, coordination and muscle strength. We additionally reported that treatment with ATH-1105 significantly improved electrophysiological measures of functional nerve signaling and protected against motor neuron axon degeneration and demyelination. ATH-1105 treatment also significantly reduced biomarkers of inflammation and neurodegeneration and prolonged survival. Study results were presented at the Motor Neurone Disease Association International Symposium in December 2022 and 2023, and published in </w:t>
      </w:r>
      <w:r>
        <w:rPr>
          <w:rFonts w:ascii="Arial" w:hAnsi="Arial"/>
          <w:i/>
          <w:color w:val="000000"/>
          <w:sz w:val="20"/>
        </w:rPr>
        <w:t>Frontiers in Neuroscience</w:t>
      </w:r>
      <w:r>
        <w:rPr>
          <w:rFonts w:ascii="Arial" w:hAnsi="Arial"/>
          <w:color w:val="000000"/>
          <w:sz w:val="20"/>
        </w:rPr>
        <w:t>, 2024. Weight loss, motor deficits, inflammation, loss of functional nerve signaling, and motor neurodegeneration and demyelination are all hallmarks of ALS disease; treatment with ATH-1105 significantly improved all of these aspects in the preclinical models tested.</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ATH-1020</w:t>
      </w:r>
    </w:p>
    <w:p>
      <w:pPr>
        <w:pStyle w:val="TextBody"/>
        <w:bidi w:val="0"/>
        <w:spacing w:before="120" w:after="283"/>
        <w:jc w:val="both"/>
        <w:rPr>
          <w:rFonts w:ascii="Arial" w:hAnsi="Arial"/>
          <w:color w:val="000000"/>
          <w:sz w:val="20"/>
        </w:rPr>
      </w:pPr>
      <w:r>
        <w:rPr>
          <w:rFonts w:ascii="Arial" w:hAnsi="Arial"/>
          <w:color w:val="000000"/>
          <w:sz w:val="20"/>
        </w:rPr>
        <w:t>ATH-1020 is a novel, orally available, next generation, small molecule drug candidate designed to positively modulate the neurotrophic HGF system. This compound was originally assessed for neuropsychiatric indications in preclinical models as presented at the American Society for Experimental Therapeutics Annual Conference in February 2022.</w:t>
      </w:r>
    </w:p>
    <w:p>
      <w:pPr>
        <w:pStyle w:val="TextBody"/>
        <w:bidi w:val="0"/>
        <w:spacing w:before="240" w:after="283"/>
        <w:jc w:val="both"/>
        <w:rPr>
          <w:rFonts w:ascii="Arial" w:hAnsi="Arial"/>
          <w:color w:val="000000"/>
          <w:sz w:val="20"/>
        </w:rPr>
      </w:pPr>
      <w:r>
        <w:rPr>
          <w:rFonts w:ascii="Arial" w:hAnsi="Arial"/>
          <w:color w:val="000000"/>
          <w:sz w:val="20"/>
        </w:rPr>
        <w:t>In preclinical models of diabetic neuropathic pain, ATH-1020 demonstrated significant improvements in two aspects of disease that are prominent symptoms in people suffering from neuropathic pain: increased sensitivity to mechanical and thermal stimulation. The significant improvements in neuropathic pain were partially sustained after seven days of not receiving ATH-1020, suggesting persistent and potentially disease-modifying effects. Data from these studies were presented at the Society for Neuroscience Annual Conference in November 2022 and the American Society for Experimental Neurotherapeutics in March 2023. We have completed the SAD escalation portion of the Phase 1 trial, in which ATH-1020 demonstrated a favorable safety profile and was well-tolerated in healthy volunteers.</w:t>
      </w:r>
    </w:p>
    <w:p>
      <w:pPr>
        <w:pStyle w:val="TextBody"/>
        <w:bidi w:val="0"/>
        <w:spacing w:before="360" w:after="283"/>
        <w:jc w:val="both"/>
        <w:rPr>
          <w:rFonts w:ascii="Arial" w:hAnsi="Arial"/>
          <w:b/>
          <w:i/>
          <w:color w:val="000000"/>
          <w:sz w:val="20"/>
        </w:rPr>
      </w:pPr>
      <w:r>
        <w:rPr>
          <w:rFonts w:ascii="Arial" w:hAnsi="Arial"/>
          <w:b/>
          <w:i/>
          <w:color w:val="000000"/>
          <w:sz w:val="20"/>
        </w:rPr>
        <w:t>Early Compounds</w:t>
      </w:r>
    </w:p>
    <w:p>
      <w:pPr>
        <w:pStyle w:val="TextBody"/>
        <w:bidi w:val="0"/>
        <w:spacing w:before="120" w:after="283"/>
        <w:jc w:val="both"/>
        <w:rPr>
          <w:rFonts w:ascii="Times New Roman" w:hAnsi="Times New Roman"/>
          <w:sz w:val="20"/>
        </w:rPr>
      </w:pPr>
      <w:r>
        <w:rPr>
          <w:rFonts w:ascii="Arial" w:hAnsi="Arial"/>
          <w:color w:val="000000"/>
          <w:sz w:val="20"/>
        </w:rPr>
        <w:t>In addition to the compounds described above, we have evaluated several other compounds in preclinical discovery and development for neurological diseases and other indications where we believe positive modulation of the neurotrophic HGF system may have therapeutic potential and we currently have novel compounds in early development for several molecular targets relevant to various clinical applications.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Positive Modulators of the Neurotrophic HGF System</w:t>
      </w:r>
    </w:p>
    <w:p>
      <w:pPr>
        <w:pStyle w:val="TextBody"/>
        <w:bidi w:val="0"/>
        <w:spacing w:before="120" w:after="283"/>
        <w:jc w:val="both"/>
        <w:rPr>
          <w:rFonts w:ascii="Arial" w:hAnsi="Arial"/>
          <w:i/>
          <w:color w:val="000000"/>
          <w:sz w:val="20"/>
        </w:rPr>
      </w:pPr>
      <w:r>
        <w:rPr>
          <w:rFonts w:ascii="Arial" w:hAnsi="Arial"/>
          <w:i/>
          <w:color w:val="000000"/>
          <w:sz w:val="20"/>
        </w:rPr>
        <w:t>Mechanism of Disease</w:t>
      </w:r>
    </w:p>
    <w:p>
      <w:pPr>
        <w:pStyle w:val="TextBody"/>
        <w:bidi w:val="0"/>
        <w:spacing w:before="120" w:after="283"/>
        <w:jc w:val="both"/>
        <w:rPr>
          <w:rFonts w:ascii="Arial" w:hAnsi="Arial"/>
          <w:color w:val="000000"/>
          <w:sz w:val="20"/>
        </w:rPr>
      </w:pPr>
      <w:r>
        <w:rPr>
          <w:rFonts w:ascii="Arial" w:hAnsi="Arial"/>
          <w:color w:val="000000"/>
          <w:sz w:val="20"/>
        </w:rPr>
        <w:t>Causes of neurodegenerative diseases are not fully understood as they are complex with several contributing factors including inflammation, oxidative stress, neurotoxicity, excitotoxicity, synaptic dysfunction, and protein pathologies that ultimately lead to neuronal damage, neuronal network degeneration and a decline in function. Intrinsic to these diseases is the disruption of a healthy neuronal network that can be overcome and repaired or maintained when the body’s natural repair mechanisms are intact. However, a loss of or reduction in ability of the body to repair itself can lead to dysregulation that then manifests as symptoms and overall functional decline. One such naturally occurring repair mechanism is the neurotrophic HGF system.</w:t>
      </w:r>
    </w:p>
    <w:p>
      <w:pPr>
        <w:pStyle w:val="TextBody"/>
        <w:bidi w:val="0"/>
        <w:spacing w:before="240" w:after="283"/>
        <w:jc w:val="both"/>
        <w:rPr>
          <w:rFonts w:ascii="Times New Roman" w:hAnsi="Times New Roman"/>
          <w:sz w:val="20"/>
        </w:rPr>
      </w:pPr>
      <w:r>
        <w:rPr>
          <w:rFonts w:ascii="Arial" w:hAnsi="Arial"/>
          <w:color w:val="000000"/>
          <w:sz w:val="20"/>
        </w:rPr>
        <w:t>Scientific evidence supporting the neurotrophic HGF system as a naturally occurring repair mechanism is backed by over 30 years of research. MET is one of the most stably expressed genes in the adult human brain and is essential to a healthy, functional nervous system. HGF/MET signaling plays a critical role in both the development and maintenance of nervous system tissue. In ALS, studies have highlighted the importance of HGF in key processes affected by the disease. HGF functions as a potent survival factor for motor neurons, and impaired HGF/MET signaling has detrimental effects on neuromuscular junction integrity. Preclinical studies in ALS animal models show that HGF delivery reduces motor neuron degeneration, improves motor function, and prolongs lifespan. Additionally, HGF signaling has been linked to muscle function, the loss of which is a key feature of ALS. And although evidence supports the neurotrophic HGF system as an attractive target for combating neurodegenerative diseases, such as ALS, with its multimodal mechanism of action, it has proven a difficult drug target. There are approved and in-development gene therapy approaches to increase HGF expression beyond normal physiological levels, but these are limited as potentially viable treatment options for neurological disorders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due to limited distribution and more invasive delivery requirements, such as intrathecal or intravenous, or locally restricted to the periphery, such as via intramuscular routes of administration.</w:t>
      </w:r>
    </w:p>
    <w:p>
      <w:pPr>
        <w:pStyle w:val="TextBody"/>
        <w:bidi w:val="0"/>
        <w:spacing w:before="240" w:after="283"/>
        <w:jc w:val="both"/>
        <w:rPr>
          <w:rFonts w:ascii="Arial" w:hAnsi="Arial"/>
          <w:color w:val="000000"/>
          <w:sz w:val="20"/>
        </w:rPr>
      </w:pPr>
      <w:r>
        <w:rPr>
          <w:rFonts w:ascii="Arial" w:hAnsi="Arial"/>
          <w:color w:val="000000"/>
          <w:sz w:val="20"/>
        </w:rPr>
        <w:t>To date, drug developers have been deploying approaches that typically address only a single factor of the cascade of pathologies that lead to neurodegeneration, and translating early successful results to meaningful clinical benefit has been mixed. We believe that addressing such complex and multifactorial diseases requires a novel multimodal approach, such as targeting the neurotrophic HGF system through non-invasive small molecules that enhance levels of HGF system activation to protect and repair neuronal networks.</w:t>
      </w:r>
    </w:p>
    <w:p>
      <w:pPr>
        <w:pStyle w:val="TextBody"/>
        <w:bidi w:val="0"/>
        <w:spacing w:before="360" w:after="283"/>
        <w:jc w:val="both"/>
        <w:rPr>
          <w:rFonts w:ascii="Arial" w:hAnsi="Arial"/>
          <w:i/>
          <w:color w:val="000000"/>
          <w:sz w:val="20"/>
        </w:rPr>
      </w:pPr>
      <w:r>
        <w:rPr>
          <w:rFonts w:ascii="Arial" w:hAnsi="Arial"/>
          <w:i/>
          <w:color w:val="000000"/>
          <w:sz w:val="20"/>
        </w:rPr>
        <w:t>Mechanism of Action</w:t>
      </w:r>
    </w:p>
    <w:p>
      <w:pPr>
        <w:pStyle w:val="TextBody"/>
        <w:bidi w:val="0"/>
        <w:spacing w:before="120" w:after="283"/>
        <w:jc w:val="both"/>
        <w:rPr>
          <w:rFonts w:ascii="Arial" w:hAnsi="Arial"/>
          <w:color w:val="000000"/>
          <w:sz w:val="20"/>
        </w:rPr>
      </w:pPr>
      <w:r>
        <w:rPr>
          <w:rFonts w:ascii="Arial" w:hAnsi="Arial"/>
          <w:color w:val="000000"/>
          <w:sz w:val="20"/>
        </w:rPr>
        <w:t>We have developed a pipeline of proprietary small molecule compounds ("ATH positive modulators") designed to enhance the neurotrophic HGF system and promote its neuroprotective, neurotrophic and anti-inflammatory effects, including protection of neurons from a variety of insults. These novel small molecules are designed to cross the blood-brain barrier for CNS disorders or remain in the periphery for PNS and other indications, and mechanistically produce a series of multimodal effects that support their therapeutic promise to: reduce inflammation, promote regeneration, provide neuroprotection, and, ultimately, slow disease progression.</w:t>
      </w:r>
    </w:p>
    <w:p>
      <w:pPr>
        <w:pStyle w:val="TextBody"/>
        <w:bidi w:val="0"/>
        <w:spacing w:before="240" w:after="283"/>
        <w:jc w:val="both"/>
        <w:rPr>
          <w:rFonts w:ascii="Arial" w:hAnsi="Arial"/>
          <w:color w:val="000000"/>
          <w:sz w:val="20"/>
        </w:rPr>
      </w:pPr>
      <w:r>
        <w:rPr>
          <w:rFonts w:ascii="Arial" w:hAnsi="Arial"/>
          <w:color w:val="000000"/>
          <w:sz w:val="20"/>
        </w:rPr>
        <w:t>Figure 5 below illustrates the hypothesized mechanism of action of ATH positive modulators and the cellular disease state where diseased neurons generate a biomarker of neurodegeneration, NfL, as well as other signature markers of neuronal damage. Contributing to a diseased neuron are also proinflammatory cytokines produced by activated microglia. In the treated neuron state where ATH positive modulators are designed to enhance HGF/MET signaling to promote neuroprotective and neurotrophic pathways, reduced neuron degeneration and NfL production occur while the treated glia show reduced activation and production of proinflammatory cytokines, illustrating the potential reduction in neurodegeneration and inhibition of neuroinflammation through the enhancement of the neurotrophic HGF system.</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rPr>
      </w:pPr>
      <w:r>
        <w:rPr>
          <w:rFonts w:ascii="Arial" w:hAnsi="Arial"/>
          <w:i/>
          <w:color w:val="000000"/>
          <w:sz w:val="20"/>
        </w:rPr>
        <w:t>Figure 5. Hypothesized Mechanism of Action of ATH Positive Modulators.</w:t>
      </w:r>
    </w:p>
    <w:p>
      <w:pPr>
        <w:pStyle w:val="TextBody"/>
        <w:bidi w:val="0"/>
        <w:jc w:val="left"/>
        <w:rPr/>
      </w:pPr>
      <w:r>
        <w:rPr/>
        <w:t> </w:t>
      </w:r>
    </w:p>
    <w:p>
      <w:pPr>
        <w:pStyle w:val="TextBody"/>
        <w:bidi w:val="0"/>
        <w:jc w:val="center"/>
        <w:rPr/>
      </w:pPr>
      <w:r>
        <w:rPr/>
        <w:drawing>
          <wp:inline distT="0" distB="0" distL="0" distR="0">
            <wp:extent cx="5943600" cy="3448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344805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As ATH positive modulators interact with the HGF system, neurotrophic and neuroprotective pathways are activated downstream, including the activation of the extracellular-signal regulated kinase (“ERK”) and protein kinase B ("AKT pathways") which play critical roles in protecting neurons from damage and death, including from oxidative stress, excitotoxicity, and apoptosis. Figure 6 below shows cell culture data demonstrating that one of the key mechanisms of action of ATH positive modulators is through activation of AKT and ERK via MET activation.</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rPr>
      </w:pPr>
      <w:r>
        <w:rPr>
          <w:rFonts w:ascii="Arial" w:hAnsi="Arial"/>
          <w:i/>
          <w:color w:val="000000"/>
          <w:sz w:val="20"/>
        </w:rPr>
        <w:t>Figure 6. ATH-1105 enhances HGF signaling and promotes neurotrophic and neuroprotective pathways.</w:t>
      </w:r>
    </w:p>
    <w:p>
      <w:pPr>
        <w:pStyle w:val="TextBody"/>
        <w:bidi w:val="0"/>
        <w:jc w:val="left"/>
        <w:rPr/>
      </w:pPr>
      <w:r>
        <w:rPr/>
        <w:t> </w:t>
      </w:r>
    </w:p>
    <w:p>
      <w:pPr>
        <w:pStyle w:val="TextBody"/>
        <w:bidi w:val="0"/>
        <w:jc w:val="center"/>
        <w:rPr/>
      </w:pPr>
      <w:r>
        <w:rPr/>
        <w:drawing>
          <wp:inline distT="0" distB="0" distL="0" distR="0">
            <wp:extent cx="5943600" cy="2505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250507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Positively modulating the neurotrophic HGF system promotes its multimodal effects, which we believe can potentially address the complex pathology in neurodegenerative diseases. These positive multimodal effects taken together may lead to improvement in function.</w:t>
      </w:r>
    </w:p>
    <w:p>
      <w:pPr>
        <w:pStyle w:val="TextBody"/>
        <w:bidi w:val="0"/>
        <w:spacing w:before="360" w:after="283"/>
        <w:jc w:val="both"/>
        <w:rPr>
          <w:rFonts w:ascii="Arial" w:hAnsi="Arial"/>
          <w:b/>
          <w:color w:val="000000"/>
          <w:sz w:val="20"/>
        </w:rPr>
      </w:pPr>
      <w:r>
        <w:rPr>
          <w:rFonts w:ascii="Arial" w:hAnsi="Arial"/>
          <w:b/>
          <w:color w:val="000000"/>
          <w:sz w:val="20"/>
        </w:rPr>
        <w:t>ATH-1105</w:t>
      </w:r>
    </w:p>
    <w:p>
      <w:pPr>
        <w:pStyle w:val="TextBody"/>
        <w:bidi w:val="0"/>
        <w:spacing w:before="120" w:after="283"/>
        <w:jc w:val="both"/>
        <w:rPr>
          <w:rFonts w:ascii="Arial" w:hAnsi="Arial"/>
          <w:b/>
          <w:i/>
          <w:color w:val="000000"/>
          <w:sz w:val="20"/>
        </w:rPr>
      </w:pPr>
      <w:r>
        <w:rPr>
          <w:rFonts w:ascii="Arial" w:hAnsi="Arial"/>
          <w:b/>
          <w:i/>
          <w:color w:val="000000"/>
          <w:sz w:val="20"/>
        </w:rPr>
        <w:t>ATH-1105 Preclinical Evidence for ALS</w:t>
      </w:r>
    </w:p>
    <w:p>
      <w:pPr>
        <w:pStyle w:val="TextBody"/>
        <w:bidi w:val="0"/>
        <w:spacing w:before="120" w:after="283"/>
        <w:jc w:val="both"/>
        <w:rPr>
          <w:rFonts w:ascii="Arial" w:hAnsi="Arial"/>
          <w:color w:val="000000"/>
          <w:sz w:val="20"/>
        </w:rPr>
      </w:pPr>
      <w:r>
        <w:rPr>
          <w:rFonts w:ascii="Arial" w:hAnsi="Arial"/>
          <w:color w:val="000000"/>
          <w:sz w:val="20"/>
        </w:rPr>
        <w:t>ATH-1105 is a novel oral small molecule drug candidate being assessed as a potential treatment for ALS. In a spinal motor neuron model, ATH-1105 significantly protected against neuron death by glutamate-induced excitotoxicity, while reducing pathological aggregation of Transactive response (“TAR”) DNA-binding protein 43 (“TDP-43”). Figure 7 summarizes the data with images of microtubule-associated protein-2 (“MAP-2”)-labeled spinal motor neurons in green, and extranuclear TDP-43 in red. In the control image on the left with no excitotoxic insult (glutamate), there is minimal overlap of MAP-2 neurons with extranuclear TDP-43. When glutamate is applied to the motor neuron cultures, there is an overall reduction in the number of neurons and increased extranuclear TDP-43 as shown by overlapping red-green staining in the middle image. When cell cultures were treated with ATH-1105, the effect of glutamate-induced excitotoxicity on the overall number of motor neurons and extranuclear TDP-43 protein aggregation was significantly reduced, as seen in the rightmost image and as quantified in the bar graphs.</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rPr>
      </w:pPr>
      <w:r>
        <w:rPr>
          <w:rFonts w:ascii="Arial" w:hAnsi="Arial"/>
          <w:i/>
          <w:color w:val="000000"/>
          <w:sz w:val="20"/>
        </w:rPr>
        <w:t>Figure 7. ATH-1105 is Neuroprotective Against Excitotoxic Insult and Reduces Extranuclear TDP-43 Levels in Spinal Motor Neurons.</w:t>
      </w:r>
    </w:p>
    <w:p>
      <w:pPr>
        <w:pStyle w:val="TextBody"/>
        <w:bidi w:val="0"/>
        <w:jc w:val="left"/>
        <w:rPr/>
      </w:pPr>
      <w:r>
        <w:rPr/>
        <w:t> </w:t>
      </w:r>
    </w:p>
    <w:p>
      <w:pPr>
        <w:pStyle w:val="TextBody"/>
        <w:bidi w:val="0"/>
        <w:jc w:val="center"/>
        <w:rPr/>
      </w:pPr>
      <w:r>
        <w:rPr/>
        <w:drawing>
          <wp:inline distT="0" distB="0" distL="0" distR="0">
            <wp:extent cx="5943600" cy="2390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39077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Data presented as mean + SEM. Statistics applied: 1-way ANOVA with Fisher least significant difference test. *p&lt;0.05; **p&lt;0.01; ***p&lt;0.001 versus Glutamate Control. Scale bar: 100 µm. n=5-6 per group.</w:t>
      </w:r>
    </w:p>
    <w:p>
      <w:pPr>
        <w:pStyle w:val="TextBody"/>
        <w:bidi w:val="0"/>
        <w:spacing w:before="240" w:after="283"/>
        <w:jc w:val="left"/>
        <w:rPr>
          <w:rFonts w:ascii="Arial" w:hAnsi="Arial"/>
          <w:i/>
          <w:color w:val="000000"/>
          <w:sz w:val="20"/>
        </w:rPr>
      </w:pPr>
      <w:r>
        <w:rPr>
          <w:rFonts w:ascii="Arial" w:hAnsi="Arial"/>
          <w:i/>
          <w:color w:val="000000"/>
          <w:sz w:val="20"/>
        </w:rPr>
        <w:t>MAP-2, microtubule-associated protein-2; TDP-43, TAR DNA-binding protein 43.</w:t>
      </w:r>
    </w:p>
    <w:p>
      <w:pPr>
        <w:pStyle w:val="TextBody"/>
        <w:bidi w:val="0"/>
        <w:spacing w:before="240" w:after="283"/>
        <w:jc w:val="both"/>
        <w:rPr>
          <w:rFonts w:ascii="Times New Roman" w:hAnsi="Times New Roman"/>
          <w:sz w:val="20"/>
        </w:rPr>
      </w:pPr>
      <w:r>
        <w:rPr>
          <w:rFonts w:ascii="Arial" w:hAnsi="Arial"/>
          <w:color w:val="000000"/>
          <w:sz w:val="20"/>
        </w:rPr>
        <w:t>ATH-1105 has also demonstrated target engagement in ALS patient-derived induced pluripotent stem cells (iPSCs) that were differentiated into motor neurons. In this model, as summarized in Figure 8, ALS patient-derived motor neurons treated with ATH-1105 10 nM exhibited a significant increase in MET activation (pMET) demonstrating engagement of HGF signaling, when compared to motor neurons treated with vehicle. Furthermore, treatment with ATH-1105 led to enhanced neuronal survival of ALS patient-derived motor neurons.</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Figure 8. ATH-1105 enhances MET activation and survival in ALS patient-derived motor neurons.</w:t>
      </w:r>
    </w:p>
    <w:p>
      <w:pPr>
        <w:pStyle w:val="TextBody"/>
        <w:bidi w:val="0"/>
        <w:jc w:val="left"/>
        <w:rPr/>
      </w:pPr>
      <w:r>
        <w:rPr/>
        <w:t> </w:t>
      </w:r>
    </w:p>
    <w:p>
      <w:pPr>
        <w:pStyle w:val="TextBody"/>
        <w:bidi w:val="0"/>
        <w:jc w:val="center"/>
        <w:rPr/>
      </w:pPr>
      <w:r>
        <w:rPr/>
        <w:drawing>
          <wp:inline distT="0" distB="0" distL="0" distR="0">
            <wp:extent cx="5943600" cy="2219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2193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 xml:space="preserve">Human iPSC-derived motor neurons derived from four people with sporadic ALS were sourced from Cedar Sinai via AnswerALS consortium. Motor neurons were cultured in growth factor deprived media and treated with vehicle or ATH-1105 every 48h for six days. MET activation: Data presented as mean ± SEM. Statistical significance was determined via paired </w:t>
      </w:r>
      <w:r>
        <w:rPr>
          <w:rFonts w:ascii="Arial" w:hAnsi="Arial"/>
          <w:i/>
          <w:color w:val="000000"/>
          <w:sz w:val="20"/>
        </w:rPr>
        <w:t>t</w:t>
      </w:r>
      <w:r>
        <w:rPr>
          <w:rFonts w:ascii="Arial" w:hAnsi="Arial"/>
          <w:color w:val="000000"/>
          <w:sz w:val="20"/>
        </w:rPr>
        <w:t xml:space="preserve">-test comparing MET activation (pMET/Total MET) in motor neurons treated with vehicle or ATH-1105 [10] nM for 24 hours; n = 2-3 technical replicates from each donor. Neuronal survival: Representative image highlighting effect of ATH-1105 on ALS patient-derived motor neurons (ALS 1) in culture. Neuronal survival (number of Tuji1+ neurons) was measured as surviving neurons on Day 6 divided by number of neurons on Day 1 (control expressed as 100%). Scale bar = 100 µm. Data expressed as fold-change between vehicle and ATH-1105 and presented as mean ± SEM. Statistical significance was determined via paired </w:t>
      </w:r>
      <w:r>
        <w:rPr>
          <w:rFonts w:ascii="Arial" w:hAnsi="Arial"/>
          <w:i/>
          <w:color w:val="000000"/>
          <w:sz w:val="20"/>
        </w:rPr>
        <w:t>t</w:t>
      </w:r>
      <w:r>
        <w:rPr>
          <w:rFonts w:ascii="Arial" w:hAnsi="Arial"/>
          <w:color w:val="000000"/>
          <w:sz w:val="20"/>
        </w:rPr>
        <w:t>-test comparing vehicle (containing HGF 0.05 ng/ml) with ATH-1105 [10] nM; n = 3-6 technical replicates from each donor. Select doses shown.</w:t>
      </w:r>
    </w:p>
    <w:p>
      <w:pPr>
        <w:pStyle w:val="TextBody"/>
        <w:bidi w:val="0"/>
        <w:spacing w:before="240" w:after="283"/>
        <w:jc w:val="both"/>
        <w:rPr>
          <w:rFonts w:ascii="Arial" w:hAnsi="Arial"/>
          <w:color w:val="000000"/>
          <w:sz w:val="20"/>
        </w:rPr>
      </w:pPr>
      <w:r>
        <w:rPr>
          <w:rFonts w:ascii="Arial" w:hAnsi="Arial"/>
          <w:color w:val="000000"/>
          <w:sz w:val="20"/>
        </w:rPr>
        <w:t>Plasma biomarkers of inflammation and neurodegeneration were significantly reduced following treatment with ATH-1105 in a transgenic TDP-43-driven mouse model of ALS (Figure 9). These results support the anti-inflammatory and neuroprotective effects of ATH-1105 through enhancement of neurotrophic HGF system signaling. In the TDP-43-driven ALS model, significant increases in the proinflammatory cytokines tumor necrosis factor alpha (“TNF-alpha”) and interleukin 6 (“IL-6”) were observed compared to healthy WT control animals. When ALS-model mice ("ALS mice") were treated with ATH-1105, significant reductions in both TNF-alpha and IL-6 were observed, demonstrating anti-inflammatory activity. Consistent with the neuroprotective effects demonstrated in cell-based models, a significant reduction in plasma levels of the neurodegeneration biomarker, NfL, was observed in ALS mice treated with ATH-1105, which is indicative of neuroprotection.</w:t>
      </w:r>
    </w:p>
    <w:p>
      <w:pPr>
        <w:pStyle w:val="TextBody"/>
        <w:bidi w:val="0"/>
        <w:spacing w:before="360" w:after="283"/>
        <w:jc w:val="left"/>
        <w:rPr>
          <w:rFonts w:ascii="Arial" w:hAnsi="Arial"/>
          <w:i/>
          <w:color w:val="000000"/>
          <w:sz w:val="20"/>
        </w:rPr>
      </w:pPr>
      <w:r>
        <w:rPr>
          <w:rFonts w:ascii="Arial" w:hAnsi="Arial"/>
          <w:i/>
          <w:color w:val="000000"/>
          <w:sz w:val="20"/>
        </w:rPr>
        <w:t>Figure 9. ATH-1105 Improves Biomarkers of Inflammation and Neurodegeneration in a Mouse Model of ALS.</w:t>
      </w:r>
    </w:p>
    <w:p>
      <w:pPr>
        <w:pStyle w:val="TextBody"/>
        <w:bidi w:val="0"/>
        <w:jc w:val="left"/>
        <w:rPr/>
      </w:pPr>
      <w:r>
        <w:rPr/>
        <w:t> </w:t>
      </w:r>
    </w:p>
    <w:p>
      <w:pPr>
        <w:pStyle w:val="TextBody"/>
        <w:bidi w:val="0"/>
        <w:jc w:val="center"/>
        <w:rPr/>
      </w:pPr>
      <w:r>
        <w:rPr/>
        <w:drawing>
          <wp:inline distT="0" distB="0" distL="0" distR="0">
            <wp:extent cx="5010150" cy="1666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10150" cy="166687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i/>
          <w:color w:val="000000"/>
          <w:sz w:val="20"/>
        </w:rPr>
        <w:t>Graphical representation of plasma IL-6, TNF-α in fold-difference over the WT + vehicle group, and NfL levels in ng/ml at two months of treatment. N=10 per group. Data presented as mean ± SEM. Statistical significance was determined by 1-way ANOVA with the Dunnett’s test versus ALS + vehicle. ****p&lt;0.0001.</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ALS, amyotrophic lateral sclerosis; IL-6, interleukin 6; NfL, neurofilament light chain; TNF-α, tumor necrosis factor alpha; WT, wild-type.</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Treatment with ATH-1105 in a mouse model of ALS protected against axon degeneration and demyelination as observed from histological examination of cross-sections of the sciatic nerve. Figure 10 below includes an image of the sciatic nerve from a WT healthy control animal, on the left, featuring a large number of large diameter axons surrounded by a consistent and highly regular coating of myelin sheath. In the middle, a sciatic nerve image from an ALS disease control animal is shown, where a marked reduction in the number of axons, a decrease in average axon diameter, and irregular myelination is observed. On the right, when ALS animals are treated with ATH-1105, sciatic nerve integrity is preserved with a greater population of large diameter axons and preservation of regular myelination. Graphs below the images are quantified data showing these effects of ATH-1105 in a mouse model of ALS.</w:t>
      </w:r>
    </w:p>
    <w:p>
      <w:pPr>
        <w:pStyle w:val="TextBody"/>
        <w:bidi w:val="0"/>
        <w:spacing w:before="360" w:after="283"/>
        <w:jc w:val="both"/>
        <w:rPr>
          <w:rFonts w:ascii="Arial" w:hAnsi="Arial"/>
          <w:i/>
          <w:color w:val="000000"/>
          <w:sz w:val="20"/>
        </w:rPr>
      </w:pPr>
      <w:r>
        <w:rPr>
          <w:rFonts w:ascii="Arial" w:hAnsi="Arial"/>
          <w:i/>
          <w:color w:val="000000"/>
          <w:sz w:val="20"/>
        </w:rPr>
        <w:t>Figure 10. Treatment with ATH-1105 Protected Against Axon Degeneration and Demyelination in a Mouse Model of ALS.</w:t>
      </w:r>
    </w:p>
    <w:p>
      <w:pPr>
        <w:pStyle w:val="TextBody"/>
        <w:bidi w:val="0"/>
        <w:jc w:val="left"/>
        <w:rPr/>
      </w:pPr>
      <w:r>
        <w:rPr/>
        <w:t> </w:t>
      </w:r>
    </w:p>
    <w:p>
      <w:pPr>
        <w:pStyle w:val="TextBody"/>
        <w:bidi w:val="0"/>
        <w:jc w:val="center"/>
        <w:rPr/>
      </w:pPr>
      <w:r>
        <w:rPr/>
        <w:drawing>
          <wp:inline distT="0" distB="0" distL="0" distR="0">
            <wp:extent cx="4962525" cy="3162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962525" cy="316230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Histology images of sciatic nerve cross-sections stained with toluidine blue to label myelin. Scale is 10 μm (all panels). Graphical representation of the number of axons (per 100 µm2), axonal diameter (in micrometers), and mean of myelin g-ratio, defined as the ratio of the inner axonal diameter to the total axonal diameter, following two months of treatment. Data presented as mean + SEM. Statistical significance was determined by 1-way ANOVA with the Dunnett’s test versus ALS + vehicle. ****p&lt;0.0001.</w:t>
      </w:r>
    </w:p>
    <w:p>
      <w:pPr>
        <w:pStyle w:val="TextBody"/>
        <w:bidi w:val="0"/>
        <w:spacing w:before="240" w:after="283"/>
        <w:jc w:val="both"/>
        <w:rPr>
          <w:rFonts w:ascii="Arial" w:hAnsi="Arial"/>
          <w:i/>
          <w:color w:val="000000"/>
          <w:sz w:val="20"/>
        </w:rPr>
      </w:pPr>
      <w:r>
        <w:rPr>
          <w:rFonts w:ascii="Arial" w:hAnsi="Arial"/>
          <w:i/>
          <w:color w:val="000000"/>
          <w:sz w:val="20"/>
        </w:rPr>
        <w:t>ALS, amyotrophic lateral sclerosis; WT, wild-type.</w:t>
      </w:r>
    </w:p>
    <w:p>
      <w:pPr>
        <w:pStyle w:val="TextBody"/>
        <w:bidi w:val="0"/>
        <w:spacing w:before="240" w:after="283"/>
        <w:jc w:val="both"/>
        <w:rPr>
          <w:rFonts w:ascii="Arial" w:hAnsi="Arial"/>
          <w:color w:val="000000"/>
          <w:sz w:val="20"/>
        </w:rPr>
      </w:pPr>
      <w:r>
        <w:rPr>
          <w:rFonts w:ascii="Arial" w:hAnsi="Arial"/>
          <w:color w:val="000000"/>
          <w:sz w:val="20"/>
        </w:rPr>
        <w:t>Further analyses of electrophysiological and behavioral assessments indicated the protection of the motor neurons with ATH-1105 translated to improved nerve and motor function (Figure 11). Compound muscle action potential (“CMAP”) and nerve conduction velocity (“NCV”) are two electrophysiological measures of functional nerve signaling. Treatment with ATH-1105 in a mouse model of ALS demonstrated consistent and significant improvements of nerve function compared to ALS disease control animals.</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Two examples of motor function improvements are shown by the rotarod, an assessment of balance and coordination, and the grip test, an assessment of strength. ALS disease control animals showed significant motor impairments compared to WT healthy control animals. ATH-1105 treatment in this mouse model of ALS led to significant improvements in both the rotarod and grip tests compared to the vehicle treated ALS disease control animals, demonstrating preservation of motor function. Other motor behavior tests assessing balance, coordination and muscle strength were the balance beam and Kondziela screen tests. Across all motor function measures, significant improvements were seen in ALS animals treated with ATH-1105 compared to ALS animals treated with vehicle.</w:t>
      </w:r>
    </w:p>
    <w:p>
      <w:pPr>
        <w:pStyle w:val="TextBody"/>
        <w:bidi w:val="0"/>
        <w:spacing w:before="360" w:after="283"/>
        <w:jc w:val="both"/>
        <w:rPr>
          <w:rFonts w:ascii="Arial" w:hAnsi="Arial"/>
          <w:i/>
          <w:color w:val="000000"/>
          <w:sz w:val="20"/>
        </w:rPr>
      </w:pPr>
      <w:r>
        <w:rPr>
          <w:rFonts w:ascii="Arial" w:hAnsi="Arial"/>
          <w:i/>
          <w:color w:val="000000"/>
          <w:sz w:val="20"/>
        </w:rPr>
        <w:t>Figure 11. Treatment with ATH-1105 Improves Nerve and Motor Function in a Mouse Model of ALS.</w:t>
      </w:r>
    </w:p>
    <w:p>
      <w:pPr>
        <w:pStyle w:val="TextBody"/>
        <w:bidi w:val="0"/>
        <w:jc w:val="left"/>
        <w:rPr/>
      </w:pPr>
      <w:r>
        <w:rPr/>
        <w:t> </w:t>
      </w:r>
    </w:p>
    <w:p>
      <w:pPr>
        <w:pStyle w:val="TextBody"/>
        <w:bidi w:val="0"/>
        <w:spacing w:before="0" w:after="120"/>
        <w:jc w:val="center"/>
        <w:rPr/>
      </w:pPr>
      <w:r>
        <w:rPr/>
        <w:drawing>
          <wp:inline distT="0" distB="0" distL="0" distR="0">
            <wp:extent cx="4457700" cy="4476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457700" cy="447675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Graphical representation of CMAP amplitude, NCV, rotarod latency, and grip strength at baseline and after one and two months of treatment. Data presented as mean ± SEM. Statistical significance was determined by 2-way ANOVA with the Dunnett’s test versus ALS + vehicle. **p&lt;0.01; ***p&lt;0.001; ****p&lt;0.0001. N=10 per group.</w:t>
      </w:r>
    </w:p>
    <w:p>
      <w:pPr>
        <w:pStyle w:val="TextBody"/>
        <w:bidi w:val="0"/>
        <w:spacing w:before="240" w:after="283"/>
        <w:jc w:val="both"/>
        <w:rPr>
          <w:rFonts w:ascii="Arial" w:hAnsi="Arial"/>
          <w:i/>
          <w:color w:val="000000"/>
          <w:sz w:val="20"/>
        </w:rPr>
      </w:pPr>
      <w:r>
        <w:rPr>
          <w:rFonts w:ascii="Arial" w:hAnsi="Arial"/>
          <w:i/>
          <w:color w:val="000000"/>
          <w:sz w:val="20"/>
        </w:rPr>
        <w:t>ALS, amyotrophic lateral sclerosis; CMAP, compound muscle action potential; NCV, nerve conduction velocity; WT, wild-type.</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above study results, depicted in Figure 11, were presented at the American Academy of Neurology (“AAN”) in April 2023, and the ALS Drug Development Summit in May 2023.</w:t>
      </w:r>
    </w:p>
    <w:p>
      <w:pPr>
        <w:pStyle w:val="TextBody"/>
        <w:bidi w:val="0"/>
        <w:spacing w:before="240" w:after="283"/>
        <w:jc w:val="both"/>
        <w:rPr>
          <w:rFonts w:ascii="Arial" w:hAnsi="Arial"/>
          <w:color w:val="000000"/>
          <w:sz w:val="20"/>
        </w:rPr>
      </w:pPr>
      <w:r>
        <w:rPr>
          <w:rFonts w:ascii="Arial" w:hAnsi="Arial"/>
          <w:color w:val="000000"/>
          <w:sz w:val="20"/>
        </w:rPr>
        <w:t>Treatment with ATH-1105 in a mouse model of ALS extends survival and improves other disease-related measures. Figure 12 below compares ALS mice treated with oral ATH-1105 20 mg/kg once daily in blue with oral vehicle once daily treated ALS mice in red. Mice were treated from one month of age to a humane endpoint maximum of five months of age, for a total of up to four months of treatment. ATH-1105 increased time to first mortality and significantly prolonged survival compared to ALS disease control animals (p=0.0035). ATH-1105 also significantly protected against body weight reduction (p&lt;0.01). These findings were reported at the AAN 2023 Annual Meeting in April 2023.</w:t>
      </w:r>
    </w:p>
    <w:p>
      <w:pPr>
        <w:pStyle w:val="TextBody"/>
        <w:bidi w:val="0"/>
        <w:spacing w:before="360" w:after="283"/>
        <w:jc w:val="both"/>
        <w:rPr>
          <w:rFonts w:ascii="Arial" w:hAnsi="Arial"/>
          <w:i/>
          <w:color w:val="000000"/>
          <w:sz w:val="20"/>
        </w:rPr>
      </w:pPr>
      <w:r>
        <w:rPr>
          <w:rFonts w:ascii="Arial" w:hAnsi="Arial"/>
          <w:i/>
          <w:color w:val="000000"/>
          <w:sz w:val="20"/>
        </w:rPr>
        <w:t>Figure 12. ATH-1105 Significantly Improved Survival in a Mouse Model of ALS.</w:t>
      </w:r>
    </w:p>
    <w:p>
      <w:pPr>
        <w:pStyle w:val="TextBody"/>
        <w:bidi w:val="0"/>
        <w:jc w:val="left"/>
        <w:rPr/>
      </w:pPr>
      <w:r>
        <w:rPr/>
        <w:t> </w:t>
      </w:r>
    </w:p>
    <w:p>
      <w:pPr>
        <w:pStyle w:val="TextBody"/>
        <w:bidi w:val="0"/>
        <w:jc w:val="center"/>
        <w:rPr/>
      </w:pPr>
      <w:r>
        <w:rPr/>
        <w:drawing>
          <wp:inline distT="0" distB="0" distL="0" distR="0">
            <wp:extent cx="4105275" cy="2790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105275" cy="279082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Data presented as Kaplan-Meier curve</w:t>
      </w:r>
    </w:p>
    <w:p>
      <w:pPr>
        <w:pStyle w:val="TextBody"/>
        <w:bidi w:val="0"/>
        <w:spacing w:before="120" w:after="283"/>
        <w:jc w:val="both"/>
        <w:rPr>
          <w:rFonts w:ascii="Arial" w:hAnsi="Arial"/>
          <w:i/>
          <w:color w:val="000000"/>
          <w:sz w:val="20"/>
        </w:rPr>
      </w:pPr>
      <w:r>
        <w:rPr>
          <w:rFonts w:ascii="Arial" w:hAnsi="Arial"/>
          <w:i/>
          <w:color w:val="000000"/>
          <w:sz w:val="20"/>
        </w:rPr>
        <w:t>Statistics applied: Log-rank (Mantel-Cox) test for survival curve comparison, **p&lt;0.01. n=20 mice per group at start</w:t>
      </w:r>
    </w:p>
    <w:p>
      <w:pPr>
        <w:pStyle w:val="TextBody"/>
        <w:bidi w:val="0"/>
        <w:spacing w:before="240" w:after="283"/>
        <w:jc w:val="both"/>
        <w:rPr>
          <w:rFonts w:ascii="Times New Roman" w:hAnsi="Times New Roman"/>
          <w:sz w:val="20"/>
        </w:rPr>
      </w:pPr>
      <w:r>
        <w:rPr>
          <w:rFonts w:ascii="Arial" w:hAnsi="Arial"/>
          <w:color w:val="000000"/>
          <w:sz w:val="20"/>
        </w:rPr>
        <w:t>Treatment with ATH-1105 in a mouse model of ALS outperforms treatment with riluzole under the conditions tested in assessments of motor function, nerve function, and in reducing disease-related plasma biomarkers. Figure 13 below compares performance in the grip test of WT mice (grey) and transgenic ALS mice treated daily with vehicle (red), intraperitoneal riluzole 5 mg/kg (green), oral ATH-1105 20 mg/kg (blue), or both ATH-1105 and riluzole (purple). Mice treated with ATH-1105 alone and co-administration of riluzole and ATH-1105 consistently outperformed the vehicle-treated ALS disease control group. In both the ATH-1105 and the co-administration of ATH-1105 and riluzole groups, performance on the test approached that of the WT healthy control group. ATH-1105 treatment outperformed riluzole treatment in tests of motor function including the grip, rotarod, Kondziela screen, and balance beam tests. ATH-1105 also outperformed riluzole in tests of nerve function preservation including CMAP amplitude and NCV. ATH-1105 treatment further reduced plasma levels of IL-6 and TNF-alpha compared to riluzole, which are biomarkers of inflammation. ATH-1105 treatment also more greatly reduced plasma levels of NfL compared to riluzole, which is a biomarker of neurodegeneration. Furthermore, ATH-1105 significantly reduced levels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pTDP-43 in the sciatic nerve, whereas riluzole did not. These findings were reported at the Northeast ALS Consortium meeting in October 2023, and the Motor Neurone Disease Association conference in December 2023.</w:t>
      </w:r>
    </w:p>
    <w:p>
      <w:pPr>
        <w:pStyle w:val="TextBody"/>
        <w:bidi w:val="0"/>
        <w:spacing w:before="360" w:after="283"/>
        <w:jc w:val="both"/>
        <w:rPr>
          <w:rFonts w:ascii="Arial" w:hAnsi="Arial"/>
          <w:i/>
          <w:color w:val="000000"/>
          <w:sz w:val="20"/>
        </w:rPr>
      </w:pPr>
      <w:r>
        <w:rPr>
          <w:rFonts w:ascii="Arial" w:hAnsi="Arial"/>
          <w:i/>
          <w:color w:val="000000"/>
          <w:sz w:val="20"/>
        </w:rPr>
        <w:t>Figure 13. ATH-1105 Preserves Motor and Nerve Function and Reduces Plasma NfL Compared with Riluzole in a Mouse Model of ALS.</w:t>
      </w:r>
    </w:p>
    <w:p>
      <w:pPr>
        <w:pStyle w:val="TextBody"/>
        <w:bidi w:val="0"/>
        <w:jc w:val="left"/>
        <w:rPr/>
      </w:pPr>
      <w:r>
        <w:rPr/>
        <w:t> </w:t>
      </w:r>
    </w:p>
    <w:p>
      <w:pPr>
        <w:pStyle w:val="TextBody"/>
        <w:bidi w:val="0"/>
        <w:spacing w:before="0" w:after="240"/>
        <w:jc w:val="center"/>
        <w:rPr/>
      </w:pPr>
      <w:r>
        <w:rPr/>
        <w:drawing>
          <wp:inline distT="0" distB="0" distL="0" distR="0">
            <wp:extent cx="5943600" cy="2828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282892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Graphical representation of change from baseline following two months of treatment in grip test, CMAP amplitude, and Plasma Nfl. Data presented as mean ± SEM, or box-and-whisker plots</w:t>
      </w:r>
    </w:p>
    <w:p>
      <w:pPr>
        <w:pStyle w:val="TextBody"/>
        <w:bidi w:val="0"/>
        <w:spacing w:before="240" w:after="283"/>
        <w:jc w:val="both"/>
        <w:rPr>
          <w:rFonts w:ascii="Times New Roman" w:hAnsi="Times New Roman"/>
          <w:sz w:val="20"/>
        </w:rPr>
      </w:pPr>
      <w:r>
        <w:rPr>
          <w:rFonts w:ascii="Arial" w:hAnsi="Arial"/>
          <w:i/>
          <w:color w:val="000000"/>
          <w:sz w:val="20"/>
        </w:rPr>
        <w:t>Statistics applied: One-way ANOVA with Dunnett’s test. *p&lt;0.05; **p&lt;0.01; *** p&lt;0.001; **** p&lt;0.0001. n=10 mice per group; Abbreviations: CFB, change from baseline, CMAP, compound muscle action potential, NfL, neurofilament light chain</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Clinical Evidence for ATH-1105 in ALS</w:t>
      </w:r>
    </w:p>
    <w:p>
      <w:pPr>
        <w:pStyle w:val="TextBody"/>
        <w:bidi w:val="0"/>
        <w:spacing w:before="120" w:after="283"/>
        <w:jc w:val="both"/>
        <w:rPr>
          <w:rFonts w:ascii="Arial" w:hAnsi="Arial"/>
          <w:color w:val="000000"/>
          <w:sz w:val="20"/>
        </w:rPr>
      </w:pPr>
      <w:r>
        <w:rPr>
          <w:rFonts w:ascii="Arial" w:hAnsi="Arial"/>
          <w:color w:val="000000"/>
          <w:sz w:val="20"/>
        </w:rPr>
        <w:t>We conducted a first-in-human Phase 1 double-blind, placebo-controlled trial that enrolled 80 healthy volunteers to evaluate single and multiple oral ascending doses of ATH-1105. The trial was completed in November 2024 and evaluated the safety and tolerability of ATH-1105 and included measurements of pharmacokinetic outcomes. The results of the Phase 1 trial showed that ATH-1105 exhibited a favorable safety and tolerability profile, dose-proportional PK, and CNS penetration. In an exploratory target engagement study, analysis of neuron-derived extracellular vesicles from human plasma showed a treatment-associated increase in phospho-GSK3β(Ser9), supporting its potential use as a biomarker for future clinical development.</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i/>
          <w:color w:val="000000"/>
          <w:sz w:val="20"/>
        </w:rPr>
      </w:pPr>
      <w:r>
        <w:rPr>
          <w:rFonts w:ascii="Arial" w:hAnsi="Arial"/>
          <w:i/>
          <w:color w:val="000000"/>
          <w:sz w:val="20"/>
        </w:rPr>
        <w:t>Clinical Development Plan for ATH-1105 in ALS</w:t>
      </w:r>
    </w:p>
    <w:p>
      <w:pPr>
        <w:pStyle w:val="TextBody"/>
        <w:bidi w:val="0"/>
        <w:spacing w:before="120" w:after="283"/>
        <w:jc w:val="both"/>
        <w:rPr>
          <w:rFonts w:ascii="Times New Roman" w:hAnsi="Times New Roman"/>
          <w:sz w:val="20"/>
        </w:rPr>
      </w:pPr>
      <w:r>
        <w:rPr>
          <w:rFonts w:ascii="Arial" w:hAnsi="Arial"/>
          <w:color w:val="000000"/>
          <w:sz w:val="20"/>
        </w:rPr>
        <w:t>We are planning for a Phase 2, proof-of-concept trial designed to assess plasma NfL levels, safety, pharmacokinetics, and exploratory outcomes for a once daily single-dose treatment of ATH-1105 in people living with ALS. NfL is a well-established biomarker of axonal injury and is elevated in people living with ALS, reflecting rate of neurodegeneration. In our proposed Phase 2 study, demonstrating a reduction or stabilization of NfL would deliver proof-of-concept for neuroprotection, indicating that ATH-1105 may slow the biological drivers of ALS progression. Exploratory outcome measures may include ALSFRS-R, Slow Vital Capacity, and other ALS-related biomarkers. The trial population is expected to include males and females between ≥18 and 80 years of age, inclusive with sporadic or familial ALS who are diagnosed with definite ALS, probable ALS, probable ALS laboratory results supported or possible ALS according to the El Escorial revised criteria for the diagnosis of ALS. This trial is anticipated to provide clinical evidence to support the design and conduct of a larger pivotal clinical trial. The Phase 2 trial in people living with ALS has an anticipated start in 2026.</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Market Opportunity</w:t>
      </w:r>
    </w:p>
    <w:p>
      <w:pPr>
        <w:pStyle w:val="TextBody"/>
        <w:bidi w:val="0"/>
        <w:spacing w:before="120" w:after="283"/>
        <w:jc w:val="both"/>
        <w:rPr>
          <w:rFonts w:ascii="Arial" w:hAnsi="Arial"/>
          <w:color w:val="000000"/>
          <w:sz w:val="20"/>
        </w:rPr>
      </w:pPr>
      <w:r>
        <w:rPr>
          <w:rFonts w:ascii="Arial" w:hAnsi="Arial"/>
          <w:color w:val="000000"/>
          <w:sz w:val="20"/>
        </w:rPr>
        <w:t>The potential target indications for ATH-1105, our small molecule positive modulator, include ALS and other neurodegenerative diseases. ALS is a progressive and fatal neurodegenerative disease with a typical life expectancy of only 2-5 years after diagnosis. Given its severity, persistent unmet medical need, and lack of any effective therapies, any treatment that demonstrates meaningful clinical benefit has the potential for rapid adoption. A recent study estimated that approximately 33,000 persons in the United States are affected with ALS. This number was projected to increase to approximately 36,000 by 2030. Prevalence at the global level varies geographically. Cases worldwide have been projected to increase from approximately 223,000 in 2015 to approximately 377,000 in 2040.</w:t>
      </w:r>
    </w:p>
    <w:p>
      <w:pPr>
        <w:pStyle w:val="TextBody"/>
        <w:bidi w:val="0"/>
        <w:spacing w:before="240" w:after="283"/>
        <w:jc w:val="both"/>
        <w:rPr>
          <w:rFonts w:ascii="Arial" w:hAnsi="Arial"/>
          <w:color w:val="000000"/>
          <w:sz w:val="20"/>
        </w:rPr>
      </w:pPr>
      <w:r>
        <w:rPr>
          <w:rFonts w:ascii="Arial" w:hAnsi="Arial"/>
          <w:color w:val="000000"/>
          <w:sz w:val="20"/>
        </w:rPr>
        <w:t>Currently, there are only four approved drugs that are specifically indicated for the treatment of ALS, of which none targets neurotrophic factor systems with a multimodal mechanism of action with the potential to offer neuroprotective, anti-inflammatory and potentially disease modifying effects.</w:t>
      </w:r>
    </w:p>
    <w:p>
      <w:pPr>
        <w:pStyle w:val="TextBody"/>
        <w:bidi w:val="0"/>
        <w:spacing w:before="360" w:after="283"/>
        <w:jc w:val="left"/>
        <w:rPr>
          <w:rFonts w:ascii="Arial" w:hAnsi="Arial"/>
          <w:i/>
          <w:color w:val="000000"/>
          <w:sz w:val="20"/>
        </w:rPr>
      </w:pPr>
      <w:r>
        <w:rPr>
          <w:rFonts w:ascii="Arial" w:hAnsi="Arial"/>
          <w:i/>
          <w:color w:val="000000"/>
          <w:sz w:val="20"/>
        </w:rPr>
        <w:t>Potential Commercialization Plan</w:t>
      </w:r>
    </w:p>
    <w:p>
      <w:pPr>
        <w:pStyle w:val="TextBody"/>
        <w:bidi w:val="0"/>
        <w:spacing w:before="120" w:after="283"/>
        <w:jc w:val="both"/>
        <w:rPr>
          <w:rFonts w:ascii="Arial" w:hAnsi="Arial"/>
          <w:color w:val="000000"/>
          <w:sz w:val="20"/>
        </w:rPr>
      </w:pPr>
      <w:r>
        <w:rPr>
          <w:rFonts w:ascii="Arial" w:hAnsi="Arial"/>
          <w:color w:val="000000"/>
          <w:sz w:val="20"/>
        </w:rPr>
        <w:t>ATH-1105 is currently in development for the potential treatment of ALS. The potential commercialization strategy is expected to consider the following key elements: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potential first-line therapy;</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an add-on therapy for patients on existing therapies; and</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a therapy for patients who have stopped existing therapies.</w:t>
      </w:r>
    </w:p>
    <w:p>
      <w:pPr>
        <w:pStyle w:val="TextBody"/>
        <w:bidi w:val="0"/>
        <w:spacing w:before="240" w:after="283"/>
        <w:jc w:val="both"/>
        <w:rPr>
          <w:rFonts w:ascii="Arial" w:hAnsi="Arial"/>
          <w:color w:val="000000"/>
          <w:sz w:val="20"/>
        </w:rPr>
      </w:pPr>
      <w:r>
        <w:rPr>
          <w:rFonts w:ascii="Arial" w:hAnsi="Arial"/>
          <w:color w:val="000000"/>
          <w:sz w:val="20"/>
        </w:rPr>
        <w:t>We aim to demonstrate the therapeutic potential of ATH-1105 in ALS as an initial indication. Given the unique potential of ATH-1105 to provide broad protection against neurodegeneration, there may be therapeutic application in additional neurodegenerative indications including but not limited to frontal temporal dementia, Parkinson’s disease, Alzheimer’s disease, primary lateral sclerosis, progressive muscle atrophy, polyneuropathies, and others. We expect our commercialization strategies, including distribution plans, will evolve as clinical development progresses.</w:t>
      </w:r>
    </w:p>
    <w:p>
      <w:pPr>
        <w:pStyle w:val="TextBody"/>
        <w:bidi w:val="0"/>
        <w:spacing w:before="240" w:after="283"/>
        <w:jc w:val="both"/>
        <w:rPr>
          <w:rFonts w:ascii="Arial" w:hAnsi="Arial"/>
          <w:color w:val="000000"/>
          <w:sz w:val="20"/>
        </w:rPr>
      </w:pPr>
      <w:r>
        <w:rPr>
          <w:rFonts w:ascii="Arial" w:hAnsi="Arial"/>
          <w:color w:val="000000"/>
          <w:sz w:val="20"/>
        </w:rPr>
        <w:t>We are actively reviewing options for partnerships or other arrangements that will allow us to realize the commercial potential of our drug candidates.</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color w:val="000000"/>
          <w:sz w:val="20"/>
        </w:rPr>
        <w:t>ATH-1020</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ATH-1020 Preclinical Evidence for Neuropathic Pain</w:t>
      </w:r>
    </w:p>
    <w:p>
      <w:pPr>
        <w:pStyle w:val="TextBody"/>
        <w:bidi w:val="0"/>
        <w:spacing w:before="240" w:after="283"/>
        <w:jc w:val="both"/>
        <w:rPr>
          <w:rFonts w:ascii="Arial" w:hAnsi="Arial"/>
          <w:color w:val="000000"/>
          <w:sz w:val="20"/>
        </w:rPr>
      </w:pPr>
      <w:r>
        <w:rPr>
          <w:rFonts w:ascii="Arial" w:hAnsi="Arial"/>
          <w:color w:val="000000"/>
          <w:sz w:val="20"/>
        </w:rPr>
        <w:t>ATH-1020 is a novel, orally available, next generation, small molecule drug candidate designed to positively modulate the neurotrophic HGF system. Enhancing HGF/MET signaling promotes neuroprotective, neurotrophic, and anti-inflammatory effects, and as neuropathic pain disorders, including diabetic neuropathy ("DNP"), have components of oxidative stress, nerve damage, and inflammation, positive modulation of the HGF/MET pathway may provide therapeutic benefit in these disease areas. Data below were presented at the Society for Neuroscience Annual Conference in November 2022.</w:t>
      </w:r>
    </w:p>
    <w:p>
      <w:pPr>
        <w:pStyle w:val="TextBody"/>
        <w:bidi w:val="0"/>
        <w:spacing w:before="240" w:after="283"/>
        <w:jc w:val="both"/>
        <w:rPr>
          <w:rFonts w:ascii="Arial" w:hAnsi="Arial"/>
          <w:color w:val="000000"/>
          <w:sz w:val="20"/>
        </w:rPr>
      </w:pPr>
      <w:r>
        <w:rPr>
          <w:rFonts w:ascii="Arial" w:hAnsi="Arial"/>
          <w:color w:val="000000"/>
          <w:sz w:val="20"/>
        </w:rPr>
        <w:t>This compound was originally assessed for neuropsychiatric indications in preclinical models as presented at the American Society for Experimental Therapeutics Annual Conference in February 2022.</w:t>
      </w:r>
    </w:p>
    <w:p>
      <w:pPr>
        <w:pStyle w:val="TextBody"/>
        <w:bidi w:val="0"/>
        <w:spacing w:before="240" w:after="283"/>
        <w:jc w:val="both"/>
        <w:rPr>
          <w:rFonts w:ascii="Arial" w:hAnsi="Arial"/>
          <w:color w:val="000000"/>
          <w:sz w:val="20"/>
        </w:rPr>
      </w:pPr>
      <w:r>
        <w:rPr>
          <w:rFonts w:ascii="Arial" w:hAnsi="Arial"/>
          <w:color w:val="000000"/>
          <w:sz w:val="20"/>
        </w:rPr>
        <w:t>In animal models of DNP hypersensitivity to mechanical and thermal pain are commonly experienced, which are also representative of symptoms in people with neuropathic pain. Shown in Figure 11 below, treatment with ATH-1020 significantly reduced pain behaviors over the testing period compared to DNP controls alone.</w:t>
      </w:r>
    </w:p>
    <w:p>
      <w:pPr>
        <w:pStyle w:val="TextBody"/>
        <w:bidi w:val="0"/>
        <w:spacing w:before="360" w:after="283"/>
        <w:jc w:val="left"/>
        <w:rPr>
          <w:rFonts w:ascii="Arial" w:hAnsi="Arial"/>
          <w:i/>
          <w:color w:val="000000"/>
          <w:sz w:val="20"/>
        </w:rPr>
      </w:pPr>
      <w:r>
        <w:rPr>
          <w:rFonts w:ascii="Arial" w:hAnsi="Arial"/>
          <w:i/>
          <w:color w:val="000000"/>
          <w:sz w:val="20"/>
        </w:rPr>
        <w:t>Figure 11. Reduced Mechanical and Thermal Pain-Related Behaviors Following ATH-1020 Treatment in a Rat Model of Diabetic Neuropathic Pain.</w:t>
      </w:r>
    </w:p>
    <w:p>
      <w:pPr>
        <w:pStyle w:val="TextBody"/>
        <w:bidi w:val="0"/>
        <w:jc w:val="left"/>
        <w:rPr/>
      </w:pPr>
      <w:r>
        <w:rPr/>
        <w:t> </w:t>
      </w:r>
    </w:p>
    <w:p>
      <w:pPr>
        <w:pStyle w:val="TextBody"/>
        <w:bidi w:val="0"/>
        <w:jc w:val="center"/>
        <w:rPr/>
      </w:pPr>
      <w:r>
        <w:rPr/>
        <w:drawing>
          <wp:inline distT="0" distB="0" distL="0" distR="0">
            <wp:extent cx="5010150" cy="1866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010150" cy="1866900"/>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Data presented as means + SEM. ****p&lt;0.0001 using one-way ANOVA with Dunnett test vs DNP control.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ANOVA, analysis of variance; AUC, area under the curve; DNP, diabetic neuropathic pain; PWL, paw withdrawal latency; PWT, paw withdrawal threshold. Persistence of reduced pain behaviors following ATH-1020 treatment were assessed after a short-term (23-hour) or a long-term (7-day) washout period. Study results demonstrated that even after short- and long-term washout periods, where no drug is present, the effects of ATH-1020 reduction of pain behaviors remained persistent, suggesting a potential disease modifying effect (Figure 12).</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u w:val="single"/>
        </w:rPr>
      </w:pPr>
      <w:r>
        <w:rPr>
          <w:rFonts w:ascii="Arial" w:hAnsi="Arial"/>
          <w:i/>
          <w:color w:val="000000"/>
          <w:sz w:val="20"/>
          <w:u w:val="single"/>
        </w:rPr>
        <w:t>Figure 12. Persistent Pain Reduction after 7-day Washout Following ATH-1020 Treatment.</w:t>
      </w:r>
    </w:p>
    <w:p>
      <w:pPr>
        <w:pStyle w:val="TextBody"/>
        <w:bidi w:val="0"/>
        <w:jc w:val="left"/>
        <w:rPr/>
      </w:pPr>
      <w:r>
        <w:rPr/>
        <w:t> </w:t>
      </w:r>
    </w:p>
    <w:p>
      <w:pPr>
        <w:pStyle w:val="TextBody"/>
        <w:bidi w:val="0"/>
        <w:jc w:val="center"/>
        <w:rPr/>
      </w:pPr>
      <w:r>
        <w:rPr/>
        <w:drawing>
          <wp:inline distT="0" distB="0" distL="0" distR="0">
            <wp:extent cx="5019675" cy="2105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019675" cy="2105025"/>
                    </a:xfrm>
                    <a:prstGeom prst="rect">
                      <a:avLst/>
                    </a:prstGeom>
                  </pic:spPr>
                </pic:pic>
              </a:graphicData>
            </a:graphic>
          </wp:inline>
        </w:drawing>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Data presented as means + SEM. *p&lt;0.05; **p&lt;0.01; ****p&lt;0.0001 using one-way ANOVA with Dunnett test vs DNP control.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ANOVA, analysis of variance; AUC, area under the curve; DNP, diabetic neuropathic pain; PWL, paw withdrawal latency; PWT, paw withdrawal threshold</w:t>
      </w:r>
    </w:p>
    <w:p>
      <w:pPr>
        <w:pStyle w:val="TextBody"/>
        <w:bidi w:val="0"/>
        <w:spacing w:before="360" w:after="283"/>
        <w:jc w:val="left"/>
        <w:rPr>
          <w:rFonts w:ascii="Arial" w:hAnsi="Arial"/>
          <w:b/>
          <w:i/>
          <w:color w:val="000000"/>
          <w:sz w:val="20"/>
        </w:rPr>
      </w:pPr>
      <w:r>
        <w:rPr>
          <w:rFonts w:ascii="Arial" w:hAnsi="Arial"/>
          <w:b/>
          <w:i/>
          <w:color w:val="000000"/>
          <w:sz w:val="20"/>
        </w:rPr>
        <w:t>ATH-1020 Clinical – Phase 1 Trial in Healthy Volunteers</w:t>
      </w:r>
    </w:p>
    <w:p>
      <w:pPr>
        <w:pStyle w:val="TextBody"/>
        <w:bidi w:val="0"/>
        <w:spacing w:before="120" w:after="283"/>
        <w:jc w:val="both"/>
        <w:rPr>
          <w:rFonts w:ascii="Arial" w:hAnsi="Arial"/>
          <w:color w:val="000000"/>
          <w:sz w:val="20"/>
        </w:rPr>
      </w:pPr>
      <w:r>
        <w:rPr>
          <w:rFonts w:ascii="Arial" w:hAnsi="Arial"/>
          <w:color w:val="000000"/>
          <w:sz w:val="20"/>
        </w:rPr>
        <w:t>We filed an IND application with the FDA for ATH-1020 at the end of 2021 and received notice of acceptance in January 2022. In September 2022, we completed the single-ascending dose escalation portion of the Phase 1 trial. ATH-1020 demonstrated a favorable safety profile and was well-tolerated in healthy volunteers.</w:t>
      </w:r>
    </w:p>
    <w:p>
      <w:pPr>
        <w:pStyle w:val="TextBody"/>
        <w:bidi w:val="0"/>
        <w:spacing w:before="360" w:after="283"/>
        <w:jc w:val="left"/>
        <w:rPr>
          <w:rFonts w:ascii="Arial" w:hAnsi="Arial"/>
          <w:b/>
          <w:color w:val="000000"/>
          <w:sz w:val="20"/>
        </w:rPr>
      </w:pPr>
      <w:r>
        <w:rPr>
          <w:rFonts w:ascii="Arial" w:hAnsi="Arial"/>
          <w:b/>
          <w:color w:val="000000"/>
          <w:sz w:val="20"/>
        </w:rPr>
        <w:t>Sermonix Transaction</w:t>
      </w:r>
    </w:p>
    <w:p>
      <w:pPr>
        <w:pStyle w:val="TextBody"/>
        <w:bidi w:val="0"/>
        <w:spacing w:before="120" w:after="283"/>
        <w:jc w:val="both"/>
        <w:rPr>
          <w:rFonts w:ascii="Times New Roman" w:hAnsi="Times New Roman"/>
          <w:sz w:val="20"/>
        </w:rPr>
      </w:pPr>
      <w:r>
        <w:rPr>
          <w:rFonts w:ascii="Arial" w:hAnsi="Arial"/>
          <w:color w:val="000000"/>
          <w:sz w:val="20"/>
        </w:rPr>
        <w:t>On December 18, 2025, we entered into agreements with Sermonix and Ligand granting us exclusive licenses and rights to develop, manufacture and commercialize oral forms of the SERM known as lasofoxifene in all countries and territories of the world except for Asia and certain countries in the Middle East. Under the terms of our license agreement with Sermonix (the “Sermonix License”), we are assuming responsibility, in such countries and territories, for the ongoing ELAINE-3 trial and we are coordinating with Sermonix and Shanghai Henlius Biotech, Inc. (“Henlius”), Sermonix’s exclusive licensee for oral lasofoxifene in Asia and certain countries in the Middle East (the “Retained Territory”), with respect to Henlius’ conduct of the ELAINE-3 trial in the Retained Territory.</w:t>
      </w:r>
      <w:r>
        <w:rPr>
          <w:rFonts w:ascii="Times New Roman" w:hAnsi="Times New Roman"/>
          <w:color w:val="000000"/>
          <w:sz w:val="20"/>
        </w:rPr>
        <w:t xml:space="preserve"> </w:t>
      </w:r>
    </w:p>
    <w:p>
      <w:pPr>
        <w:pStyle w:val="TextBody"/>
        <w:bidi w:val="0"/>
        <w:spacing w:before="360" w:after="283"/>
        <w:jc w:val="left"/>
        <w:rPr>
          <w:rFonts w:ascii="Arial" w:hAnsi="Arial"/>
          <w:b/>
          <w:i/>
          <w:color w:val="000000"/>
          <w:sz w:val="20"/>
        </w:rPr>
      </w:pPr>
      <w:r>
        <w:rPr>
          <w:rFonts w:ascii="Arial" w:hAnsi="Arial"/>
          <w:b/>
          <w:i/>
          <w:color w:val="000000"/>
          <w:sz w:val="20"/>
        </w:rPr>
        <w:t>Sermonix License</w:t>
      </w:r>
    </w:p>
    <w:p>
      <w:pPr>
        <w:pStyle w:val="TextBody"/>
        <w:bidi w:val="0"/>
        <w:spacing w:before="120" w:after="283"/>
        <w:jc w:val="both"/>
        <w:rPr>
          <w:rFonts w:ascii="Times New Roman" w:hAnsi="Times New Roman"/>
          <w:sz w:val="20"/>
        </w:rPr>
      </w:pPr>
      <w:r>
        <w:rPr>
          <w:rFonts w:ascii="Arial" w:hAnsi="Arial"/>
          <w:color w:val="000000"/>
          <w:sz w:val="20"/>
          <w:u w:val="single"/>
        </w:rPr>
        <w:t>Licenses and Exclusivity.</w:t>
      </w:r>
      <w:r>
        <w:rPr>
          <w:rFonts w:ascii="Times New Roman" w:hAnsi="Times New Roman"/>
          <w:color w:val="000000"/>
          <w:sz w:val="20"/>
        </w:rPr>
        <w:t xml:space="preserve"> </w:t>
      </w:r>
      <w:r>
        <w:rPr>
          <w:rFonts w:ascii="Arial" w:hAnsi="Arial"/>
          <w:color w:val="000000"/>
          <w:sz w:val="20"/>
        </w:rPr>
        <w:t>Under the Sermonix License, we received from Sermonix an exclusive (even as to Sermonix), sublicensable license, under relevant patents and know-how owned or in-licensed by Sermonix, to develop, manufacture, commercialize and otherwise exploit products containing lasofoxifene (the “Licensed Products”) in all countries outside the Retained Territory (the “Licensed Territory”). Such license does not include a sublicense under the patents and know-how that Sermonix previously in-licensed from Ligand because we entered into a direct license agreement with Ligand (the “Ligand Agreement”) to replace Sermonix’s license from Ligand with respect to Licensed Products in the Licensed Territory. During the term of the Sermonix License, Sermonix and its affiliates are prohibited from developing, manufacturing,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commercializing or otherwise exploiting products that selectively modulate the estrogen receptor, although Sermonix retains the ability to fulfill its obligations under its license agreement with Henlius (the “Sermonix-Henlius Agreement”) with respect to the Licensed Products in the Retained Territory.</w:t>
      </w:r>
    </w:p>
    <w:p>
      <w:pPr>
        <w:pStyle w:val="TextBody"/>
        <w:bidi w:val="0"/>
        <w:spacing w:before="240" w:after="283"/>
        <w:jc w:val="both"/>
        <w:rPr>
          <w:rFonts w:ascii="Times New Roman" w:hAnsi="Times New Roman"/>
          <w:sz w:val="20"/>
        </w:rPr>
      </w:pPr>
      <w:r>
        <w:rPr>
          <w:rFonts w:ascii="Arial" w:hAnsi="Arial"/>
          <w:color w:val="000000"/>
          <w:sz w:val="20"/>
          <w:u w:val="single"/>
        </w:rPr>
        <w:t>Development, Manufacture and Commercialization Activities.</w:t>
      </w:r>
      <w:r>
        <w:rPr>
          <w:rFonts w:ascii="Times New Roman" w:hAnsi="Times New Roman"/>
          <w:color w:val="000000"/>
          <w:sz w:val="20"/>
        </w:rPr>
        <w:t xml:space="preserve"> </w:t>
      </w:r>
      <w:r>
        <w:rPr>
          <w:rFonts w:ascii="Arial" w:hAnsi="Arial"/>
          <w:color w:val="000000"/>
          <w:sz w:val="20"/>
        </w:rPr>
        <w:t>Under the Sermonix License, we have the sole right to conduct all development (including regulatory activities), manufacturing and commercialization of Licensed Products in the Licensed Territory, at our sole cost and expense. We are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We have assumed certain of Sermonix’s agreements with third parties that are conducting or supporting the ELAINE-3 trial in the Licensed Territory and certain agreements with third-party contract manufacturers that have been supplying drug substance and drug product for the ELAINE-3 trial. All of Sermonix’s existing inventory of Licensed Product drug substance and drug product was transferred to us at no additional cost and we will provide a portion of such inventory to Henlius for use in the ELAINE-3 trial in the Retained Territory.</w:t>
      </w:r>
    </w:p>
    <w:p>
      <w:pPr>
        <w:pStyle w:val="TextBody"/>
        <w:bidi w:val="0"/>
        <w:spacing w:before="240" w:after="283"/>
        <w:jc w:val="both"/>
        <w:rPr>
          <w:rFonts w:ascii="Times New Roman" w:hAnsi="Times New Roman"/>
          <w:sz w:val="20"/>
        </w:rPr>
      </w:pPr>
      <w:r>
        <w:rPr>
          <w:rFonts w:ascii="Arial" w:hAnsi="Arial"/>
          <w:color w:val="000000"/>
          <w:sz w:val="20"/>
          <w:u w:val="single"/>
        </w:rPr>
        <w:t>Financial Terms.</w:t>
      </w:r>
      <w:r>
        <w:rPr>
          <w:rFonts w:ascii="Times New Roman" w:hAnsi="Times New Roman"/>
          <w:color w:val="000000"/>
          <w:sz w:val="20"/>
        </w:rPr>
        <w:t xml:space="preserve"> </w:t>
      </w:r>
      <w:r>
        <w:rPr>
          <w:rFonts w:ascii="Arial" w:hAnsi="Arial"/>
          <w:color w:val="000000"/>
          <w:sz w:val="20"/>
        </w:rPr>
        <w:t>As consideration for the rights granted to us under the Sermonix License, we issued Sermonix a pre-funded warrant to purchase 5,502,402 shares of our common stock pursuant to a securities purchase agreement (the “Sermonix Securities Purchase Agreement”), as further described below, will make payments to certain of Sermonix’s third-party service providers that total approximately $16.8 million, and will make payments to Sermonix of $75,000 per month, subject to adjustment from time to time upon mutual agreement of the parties. We may credit the amount of such monthly payments against all milestone, royalty, and net proceed payments that become due to Sermonix under the Sermonix License, and our obligation to make such monthly payments will end upon Sermonix’s receipt of the first such milestone, royalty or net proceeds payment. If we or our affiliates achieve certain commercialization or annual net sales milestones with respect to the Licensed Products, we will make milestone payments to Sermonix up to a maximum aggregate total of $100.0 million, a portion of which may be payable in cash or shares of our common stock at our discretion, with final terms to be negotiated between the parties. In addition, we are obligated to make royalty payments to Sermonix based on our and our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 (i) the expiration of the last valid claim of a patent licensed to us by Sermonix that covers such Licensed Product in such country, (ii) the expiration of regulatory exclusivity of such Licensed Product in such country; and (iii) 10 years after the first commercial sale of such Licensed Product in such country. If we sublicense or divest our rights to the Licensed Products to a third party, then in lieu of the milestone and royalty payments described above, we will pay to Sermonix a percentage of the net proceeds from such sublicensing or divestiture transaction. The applicable percentage is based on the type of payment received by us from the third party as well as status of development of the Licensed Products at the time that the sublicense or divestiture transaction is entered into, with rates starting in the high-double digit and decreasing to low-double digit percentages. As consideration for our payment and other obligations under the Sermonix License, we will be eligible to receive from Henlius all milestone and royalty payments that Henlius owes to Sermonix under the Sermonix-Henlius Agreement other than royalties that Sermonix owes to Ligand on account of Sermonix’s license agreement with Ligand, and with the further exception that, if Henlius and Sermonix later agree to share the costs of developing the Licensed Products in Japan, then we will not be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entitled to receive Sermonix’s share of income arising from the sublicensing of Japanese rights to the Licensed Product.</w:t>
      </w:r>
    </w:p>
    <w:p>
      <w:pPr>
        <w:pStyle w:val="TextBody"/>
        <w:bidi w:val="0"/>
        <w:spacing w:before="240" w:after="283"/>
        <w:jc w:val="both"/>
        <w:rPr>
          <w:rFonts w:ascii="Times New Roman" w:hAnsi="Times New Roman"/>
          <w:sz w:val="20"/>
        </w:rPr>
      </w:pPr>
      <w:r>
        <w:rPr>
          <w:rFonts w:ascii="Arial" w:hAnsi="Arial"/>
          <w:color w:val="000000"/>
          <w:sz w:val="20"/>
          <w:u w:val="single"/>
        </w:rPr>
        <w:t>Term and Termination.</w:t>
      </w:r>
      <w:r>
        <w:rPr>
          <w:rFonts w:ascii="Times New Roman" w:hAnsi="Times New Roman"/>
          <w:color w:val="000000"/>
          <w:sz w:val="20"/>
        </w:rPr>
        <w:t xml:space="preserve"> </w:t>
      </w:r>
      <w:r>
        <w:rPr>
          <w:rFonts w:ascii="Arial" w:hAnsi="Arial"/>
          <w:color w:val="000000"/>
          <w:sz w:val="20"/>
        </w:rPr>
        <w:t>The Sermonix License will remain in effect until we, our affiliates and our sublicensees are no longer developing or commercializing any Licensed Product in the Licensed Territory. Each party may terminate the Sermonix License in its entirety for the uncured material breach by or insolvency of the other party. We may terminate the Sermonix License in its entirety for safety reasons or for convenience at any time after the topline data readout of the ELAINE-3 trial. Upon termination, all rights and licenses granted to Company will revert to Sermonix.</w:t>
      </w:r>
    </w:p>
    <w:p>
      <w:pPr>
        <w:pStyle w:val="TextBody"/>
        <w:bidi w:val="0"/>
        <w:spacing w:before="240" w:after="283"/>
        <w:jc w:val="both"/>
        <w:rPr>
          <w:rFonts w:ascii="Arial" w:hAnsi="Arial"/>
          <w:color w:val="000000"/>
          <w:sz w:val="20"/>
        </w:rPr>
      </w:pPr>
      <w:r>
        <w:rPr>
          <w:rFonts w:ascii="Arial" w:hAnsi="Arial"/>
          <w:color w:val="000000"/>
          <w:sz w:val="20"/>
        </w:rPr>
        <w:t>The Sermonix License includes certain other customary terms and conditions, including mutual representations and warranties, indemnification, and confidentiality provisions.</w:t>
      </w:r>
    </w:p>
    <w:p>
      <w:pPr>
        <w:pStyle w:val="TextBody"/>
        <w:bidi w:val="0"/>
        <w:spacing w:before="360" w:after="283"/>
        <w:jc w:val="left"/>
        <w:rPr>
          <w:rFonts w:ascii="Times New Roman" w:hAnsi="Times New Roman"/>
          <w:sz w:val="20"/>
        </w:rPr>
      </w:pPr>
      <w:r>
        <w:rPr>
          <w:rFonts w:ascii="Arial" w:hAnsi="Arial"/>
          <w:b/>
          <w:i/>
          <w:color w:val="000000"/>
          <w:sz w:val="20"/>
        </w:rPr>
        <w:t>Ligand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u w:val="single"/>
        </w:rPr>
        <w:t>Licenses and Exclusivity.</w:t>
      </w:r>
      <w:r>
        <w:rPr>
          <w:rFonts w:ascii="Times New Roman" w:hAnsi="Times New Roman"/>
          <w:color w:val="000000"/>
          <w:sz w:val="20"/>
        </w:rPr>
        <w:t xml:space="preserve"> </w:t>
      </w:r>
      <w:r>
        <w:rPr>
          <w:rFonts w:ascii="Arial" w:hAnsi="Arial"/>
          <w:color w:val="000000"/>
          <w:sz w:val="20"/>
        </w:rPr>
        <w:t>Under the Ligand Agreement, we received from Ligand an exclusive (even as to Ligand), sublicensable license, under relevant know-how and certain patents owned or in-licensed by Ligand, to develop, manufacture and sell Licensed Products for oral use in the Licensed Territory. Ligand does not have any restrictions on its ability to develop, manufacture or sell products (other than the Licensed Products) that selectively modulate the estrogen receptor. We granted to Ligand a non-exclusive, sublicensable, worldwide license, under our improvements to Ligand’s licensed technology, to develop, manufacture and sell products containing lasofoxifene for topical and other non-oral uses.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u w:val="single"/>
        </w:rPr>
        <w:t>Development, Manufacture and Commercialization Activities.</w:t>
      </w:r>
      <w:r>
        <w:rPr>
          <w:rFonts w:ascii="Times New Roman" w:hAnsi="Times New Roman"/>
          <w:color w:val="000000"/>
          <w:sz w:val="20"/>
        </w:rPr>
        <w:t xml:space="preserve"> </w:t>
      </w:r>
      <w:r>
        <w:rPr>
          <w:rFonts w:ascii="Arial" w:hAnsi="Arial"/>
          <w:color w:val="000000"/>
          <w:sz w:val="20"/>
        </w:rPr>
        <w:t>Under the Ligand Agreement, we have the sole right to conduct all development (including regulatory activities), manufacturing and commercialization of Licensed Products for oral use in the Licensed Territory, at our sole cost and expense. We are obligated to diligently develop, manufacture and sell oral Licensed Products in the Licensed Territory, to use commercially reasonable efforts to develop oral Licensed Products for treatment of metastatic breast cancer and develop markets for oral Licensed Products in the Licensed Territory, and to obtain all necessary regulatory approvals for our manufacture, use, importation and sale of oral Licensed Products in the Licensed Territory.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u w:val="single"/>
        </w:rPr>
        <w:t>Financial Terms</w:t>
      </w:r>
      <w:r>
        <w:rPr>
          <w:rFonts w:ascii="Arial" w:hAnsi="Arial"/>
          <w:color w:val="000000"/>
          <w:sz w:val="20"/>
        </w:rPr>
        <w:t>. The financial terms of the Ligand Agreement are the same, with respect to the Licensed Territory, as the financial terms of Sermonix’s license agreement with Ligand that was in place immediately prior to the Sermonix transaction (the “Prior Sermonix-Ligand Agreement”) As a result, the following payments, which are owed by us to Ligand, are identical to the amounts that Sermonix would have owed to Ligand if the Prior Sermonix-Ligand Agreement had not been replaced, with respect to the Licensed Territory, by the Ligand Agreement. If we or our affiliate or sublicensee achieves certain regulatory approval and commercialization milestones with respect to any oral Licensed Product in the Licensed Territory, we will make milestone payments to Ligand up to a maximum aggregate total of $4.25 million in regulatory milestones and $10.5 million in commercialization milestones per Licensed Product. In addition, we are obligated to make royalty payments to Ligand based on our and our affiliates’ and sublicensees’ annual net sales of oral Licensed Products in the Licensed Territory, with the applicable royalty rates ranging from mid-single digit to low-double digit percentages, subject to reductions for generic product sales and amounts paid to third parties for certain intellectual property licenses. Such royalty obligation will expire on a Licensed Product-by-Licensed Product and country-by-country basis on the latest of (i) the expiration of the last valid claim of a patent licensed to us by Ligand in such country, (ii) the expiration of regulatory exclusivity of such Licensed Product in such country, and (iii) 15 years after the first commercial sale of such Licensed Product in such country. If we sublicense our rights to the oral Licensed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Products to a third party, then in addition to the milestone and royalty payments described above, we will pay to Ligand a mid-teen percentage of certain amounts received by us from such third-party sublicensee.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u w:val="single"/>
        </w:rPr>
        <w:t>Term and Termination</w:t>
      </w:r>
      <w:r>
        <w:rPr>
          <w:rFonts w:ascii="Arial" w:hAnsi="Arial"/>
          <w:color w:val="000000"/>
          <w:sz w:val="20"/>
        </w:rPr>
        <w:t>. The Ligand Agreement will remain in effect so long as we, our affiliates and our sublicensees are developing, manufacturing, using or commercializing any Licensed Product in the Licensed Territory. Each party may terminate the Ligand Agreement in its entirety for the uncured material breach by or insolvency of the other party. We may terminate the Ligand Agreement in its entirety or on a product-by-product or country-by-country basis, prior to regulatory approval, for safety reasons or failure to achieve the primary efficacy endpoint in any clinical trial of a Licensed Product for oral use. Ligand may terminate the Ligand Agreement if we or our affiliate or sublicensee challenges the validity or enforceability of any patent licensed to us by Ligand. Upon termination, all rights and licenses granted to Company will revert to Ligand and we are obligated to transfer to Ligand our data, regulatory approvals, domain names and trademarks for the oral Licensed Products in the Licensed Territory.</w:t>
      </w:r>
    </w:p>
    <w:p>
      <w:pPr>
        <w:pStyle w:val="TextBody"/>
        <w:bidi w:val="0"/>
        <w:spacing w:before="240" w:after="283"/>
        <w:jc w:val="both"/>
        <w:rPr>
          <w:rFonts w:ascii="Arial" w:hAnsi="Arial"/>
          <w:color w:val="000000"/>
          <w:sz w:val="20"/>
        </w:rPr>
      </w:pPr>
      <w:r>
        <w:rPr>
          <w:rFonts w:ascii="Arial" w:hAnsi="Arial"/>
          <w:color w:val="000000"/>
          <w:sz w:val="20"/>
        </w:rPr>
        <w:t>The Ligand Agreement includes certain other customary terms and conditions, including mutual representations and warranties, indemnification, and confidentiality provisions.</w:t>
      </w:r>
    </w:p>
    <w:p>
      <w:pPr>
        <w:pStyle w:val="TextBody"/>
        <w:bidi w:val="0"/>
        <w:spacing w:before="360" w:after="283"/>
        <w:jc w:val="both"/>
        <w:rPr>
          <w:rFonts w:ascii="Arial" w:hAnsi="Arial"/>
          <w:b/>
          <w:i/>
          <w:color w:val="000000"/>
          <w:sz w:val="20"/>
        </w:rPr>
      </w:pPr>
      <w:r>
        <w:rPr>
          <w:rFonts w:ascii="Arial" w:hAnsi="Arial"/>
          <w:b/>
          <w:i/>
          <w:color w:val="000000"/>
          <w:sz w:val="20"/>
        </w:rPr>
        <w:t>Sermonix Securities Issuance</w:t>
      </w:r>
    </w:p>
    <w:p>
      <w:pPr>
        <w:pStyle w:val="TextBody"/>
        <w:bidi w:val="0"/>
        <w:spacing w:before="120" w:after="283"/>
        <w:jc w:val="both"/>
        <w:rPr>
          <w:rFonts w:ascii="Arial" w:hAnsi="Arial"/>
          <w:color w:val="000000"/>
          <w:sz w:val="20"/>
        </w:rPr>
      </w:pPr>
      <w:r>
        <w:rPr>
          <w:rFonts w:ascii="Arial" w:hAnsi="Arial"/>
          <w:color w:val="000000"/>
          <w:sz w:val="20"/>
        </w:rPr>
        <w:t>In connection with entry into the Sermonix License, on December 18, 2025 we entered into the Sermonix Securities Purchase Agreement, pursuant to which Sermonix was issued a pre-funded warrant (the “Sermonix Pre-Funded Warrant” or the “Sermonix Securities”) to purchase 5,502,402 shares of our common stock (the “Sermonix Pre-Funded Warrant Shares”). The Sermonix Securities were issued as partial consideration for Sermonix’s entry into the Sermonix License. The closing of the purchase and sale of the Sermonix Securities (the “Sermonix Closing”) occurred on December 23, 2025.</w:t>
      </w:r>
    </w:p>
    <w:p>
      <w:pPr>
        <w:pStyle w:val="TextBody"/>
        <w:bidi w:val="0"/>
        <w:spacing w:before="240" w:after="283"/>
        <w:jc w:val="both"/>
        <w:rPr>
          <w:rFonts w:ascii="Arial" w:hAnsi="Arial"/>
          <w:color w:val="000000"/>
          <w:sz w:val="20"/>
        </w:rPr>
      </w:pPr>
      <w:r>
        <w:rPr>
          <w:rFonts w:ascii="Arial" w:hAnsi="Arial"/>
          <w:color w:val="000000"/>
          <w:sz w:val="20"/>
        </w:rPr>
        <w:t>At the Sermonix Closing, we entered into a registration rights agreement with Sermonix pursuant to which we are required to prepare and file a registration statement with the Securities and Exchange Commission (the "SEC") to register the resale of the Sermonix Pre-Funded Warrant Shares within 30 calendar days after the date of the Sermonix Closing, and to use reasonable best efforts to have the registration statement declared effective at the earliest possible date but no later than the earlier of (a) 75 calendar days after the filing date if the SEC notifies us that it will review the registration statement and (b) the fifth business day after we are notified by the SEC that the registration statement will not be reviewed or will not be subject to further review.</w:t>
      </w:r>
    </w:p>
    <w:p>
      <w:pPr>
        <w:pStyle w:val="TextBody"/>
        <w:bidi w:val="0"/>
        <w:spacing w:before="240" w:after="283"/>
        <w:jc w:val="both"/>
        <w:rPr>
          <w:rFonts w:ascii="Times New Roman" w:hAnsi="Times New Roman"/>
          <w:sz w:val="20"/>
        </w:rPr>
      </w:pPr>
      <w:r>
        <w:rPr>
          <w:rFonts w:ascii="Arial" w:hAnsi="Arial"/>
          <w:color w:val="000000"/>
          <w:sz w:val="20"/>
        </w:rPr>
        <w:t>The Sermonix Pre-Funded Warrant has an exercise price of $0.001 per share, subject to customary adjustments under the terms thereof. The Sermonix Pre-Funded Warrant was not exercisable until the Sermonix Stockholder Approval (as defined below) was obtained. Following receipt of the Sermonix Stockholder Approval, the Sermonix Pre-Funded Warrant became exercisable at any time, except that the Sermonix Pre-Funded Warrant cannot be exercised if, immediately prior to or following such exercise, Sermonix, together with its affiliates and any other persons whose beneficial ownership of shares of our common stock would be aggregated with Sermonix for purposes of Section 13(d) of the Exchange Act, would beneficially own more than 4.99% (the “Sermonix Maximum Percentage”) of the total number of issued and outstanding shares of our common stock following such exercise. The Sermonix Maximum Percentage may be increased or decreased by Sermonix with 61 days’ written notice to us; provided,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however, that such percentage may in no event exceed 19.99% prior to receipt of the Sermonix Stockholder Approval.</w:t>
      </w:r>
    </w:p>
    <w:p>
      <w:pPr>
        <w:pStyle w:val="TextBody"/>
        <w:bidi w:val="0"/>
        <w:spacing w:before="240" w:after="240"/>
        <w:jc w:val="left"/>
        <w:rPr>
          <w:rFonts w:ascii="Times New Roman" w:hAnsi="Times New Roman"/>
          <w:sz w:val="20"/>
        </w:rPr>
      </w:pPr>
      <w:r>
        <w:rPr>
          <w:rFonts w:ascii="Arial" w:hAnsi="Arial"/>
          <w:color w:val="000000"/>
          <w:sz w:val="20"/>
        </w:rPr>
        <w:t>In March 2026, we held a special meeting of stockholders seeking approval of various matters, including that the Sermonix Pre-Funded Warrant can be exercised at any time without restriction or additional stockholder approval (the “Sermonix Stockholder Approval”). At the March 2026 special meeting of stockholders, the Sermonix Stockholder Approval was obtained and the Sermonix Redemption Right (described in Note 3 to our consolidated financial statements included elsewhere in this report) terminated.</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Manufacturing</w:t>
      </w:r>
    </w:p>
    <w:p>
      <w:pPr>
        <w:pStyle w:val="TextBody"/>
        <w:bidi w:val="0"/>
        <w:spacing w:before="120" w:after="283"/>
        <w:jc w:val="both"/>
        <w:rPr>
          <w:rFonts w:ascii="Arial" w:hAnsi="Arial"/>
          <w:color w:val="000000"/>
          <w:sz w:val="20"/>
        </w:rPr>
      </w:pPr>
      <w:r>
        <w:rPr>
          <w:rFonts w:ascii="Arial" w:hAnsi="Arial"/>
          <w:color w:val="000000"/>
          <w:sz w:val="20"/>
        </w:rPr>
        <w:t>Our focus on small molecule therapeutics enables us to use well-established and widely available manufacturing processes and infrastructure, formulation compositions, and drug administration technologies or devices. We do not operate our own facilities for manufacturing, storing, or distributing drug candidates. We utilize third-party contract development and manufacturing organizations ("CDMOs") to manufacture and supply preclinical and clinical materials during the development of drug candidates. We and various regulatory bodies have audited the CDMOs we contract with, and such CDMOs have a proven track record of GMP-compliant manufacturing.</w:t>
      </w:r>
    </w:p>
    <w:p>
      <w:pPr>
        <w:pStyle w:val="TextBody"/>
        <w:bidi w:val="0"/>
        <w:spacing w:before="240" w:after="283"/>
        <w:jc w:val="both"/>
        <w:rPr>
          <w:rFonts w:ascii="Arial" w:hAnsi="Arial"/>
          <w:color w:val="000000"/>
          <w:sz w:val="20"/>
        </w:rPr>
      </w:pPr>
      <w:r>
        <w:rPr>
          <w:rFonts w:ascii="Arial" w:hAnsi="Arial"/>
          <w:color w:val="000000"/>
          <w:sz w:val="20"/>
        </w:rPr>
        <w:t>Lasofoxifene is purified as a stable solid and then released to other CDMOs for formulation and packaging into the final tablet drug product for use in clinical testing and commercial supply. The drug chemistry is well established, the highly potent API has been well characterized, and the impurity profile is well controlled. We believe the synthesis of lasofoxifene tablets is reliable and reproducible and the synthetic routes can be further optimized to enable large-scale production, including the manufacturing of API in a high-potent suite. Current manufactured drug product follows the original Pfizer formulation. Clinical supply manufacturing is on track to meet the projected drug supply demand of the ongoing ELAINE-3 trial. Ongoing process optimization is being conducted to establish larger clinical and commercial supplies that meet quality and manufacturing standards for the potential commercial manufacturing of lasofoxifene, with an anticipated 4-year shelf life.</w:t>
      </w:r>
    </w:p>
    <w:p>
      <w:pPr>
        <w:pStyle w:val="TextBody"/>
        <w:bidi w:val="0"/>
        <w:spacing w:before="240" w:after="283"/>
        <w:jc w:val="both"/>
        <w:rPr>
          <w:rFonts w:ascii="Arial" w:hAnsi="Arial"/>
          <w:color w:val="000000"/>
          <w:sz w:val="20"/>
        </w:rPr>
      </w:pPr>
      <w:r>
        <w:rPr>
          <w:rFonts w:ascii="Arial" w:hAnsi="Arial"/>
          <w:color w:val="000000"/>
          <w:sz w:val="20"/>
        </w:rPr>
        <w:t>ATH-1105 is purified as a stable solid and then released to other CDMOs for formulation and packaging into the final drug product for use in clinical testing. We believe the synthesis of ATH-1105 is reliable and reproducible and the synthetic routes can be further optimized to enable large-scale production that continues to avoid use of toxic materials or specialized equipment or handling during the manufacturing process.</w:t>
      </w:r>
    </w:p>
    <w:p>
      <w:pPr>
        <w:pStyle w:val="TextBody"/>
        <w:bidi w:val="0"/>
        <w:spacing w:before="240" w:after="283"/>
        <w:jc w:val="both"/>
        <w:rPr>
          <w:rFonts w:ascii="Arial" w:hAnsi="Arial"/>
          <w:color w:val="000000"/>
          <w:sz w:val="20"/>
        </w:rPr>
      </w:pPr>
      <w:r>
        <w:rPr>
          <w:rFonts w:ascii="Arial" w:hAnsi="Arial"/>
          <w:color w:val="000000"/>
          <w:sz w:val="20"/>
        </w:rPr>
        <w:t>For the potential commercialization of any drug candidates that receive regulatory approval, we expect to rely on partners’ manufacturing capabilities or use similar third-party CDMO contract resources.</w:t>
      </w:r>
    </w:p>
    <w:p>
      <w:pPr>
        <w:pStyle w:val="TextBody"/>
        <w:bidi w:val="0"/>
        <w:spacing w:before="360" w:after="283"/>
        <w:jc w:val="left"/>
        <w:rPr>
          <w:rFonts w:ascii="Arial" w:hAnsi="Arial"/>
          <w:b/>
          <w:color w:val="000000"/>
          <w:sz w:val="20"/>
        </w:rPr>
      </w:pPr>
      <w:r>
        <w:rPr>
          <w:rFonts w:ascii="Arial" w:hAnsi="Arial"/>
          <w:b/>
          <w:color w:val="000000"/>
          <w:sz w:val="20"/>
        </w:rPr>
        <w:t>Competition</w:t>
      </w:r>
    </w:p>
    <w:p>
      <w:pPr>
        <w:pStyle w:val="TextBody"/>
        <w:bidi w:val="0"/>
        <w:spacing w:before="120" w:after="283"/>
        <w:jc w:val="both"/>
        <w:rPr>
          <w:rFonts w:ascii="Times New Roman" w:hAnsi="Times New Roman"/>
          <w:sz w:val="20"/>
        </w:rPr>
      </w:pPr>
      <w:r>
        <w:rPr>
          <w:rFonts w:ascii="Arial" w:hAnsi="Arial"/>
          <w:color w:val="000000"/>
          <w:sz w:val="20"/>
        </w:rPr>
        <w:t>The biotechnology and biopharmaceuticals industries are characterized by rapid technological advancement, significant competition, and an emphasis on intellectual property. The mBC market is active, especially in the 2L+ treatment landscape. As a clinical-stage biopharmaceutical company developing novel therapies for high unmet medical needs, with its principal drug candidate focused on the treatment of metastatic breast cancer, we face, and in the future may face, increased competitive pressures from both large and small pharmaceutical companies and from established and emerging biotechnology companies, as well as academic, government, and public and private research institutions. Any drug candidates that we successfully develop and commercialize will compete with current treatments and new treatments that may become available in the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While lasofoxifene is a novel SERM, several pharmaceutical and biotechnology companies are developing or marketing 1L+ therapies for patients with ESR1 mBC. These include, but are not limited to, The Menarini Group (Orsedu ®), Eli Lilly (Inluriyo ®), AstraZeneca, Arvinas, Olema, and F. Hoffman- La Roche AG. Although SERDs and SERMs may have utility in the 1L setting, we believe that demonstrating a substantial and clinically meaningful improvement from the current standard of care remains challenging. Existing AI and CDK4/6i combinations have demonstrated efficacy, safety, tolerability, and cost effectiveness that are difficult to displace. SERDs have been found to be most effective in patients with low ESR1 mutation rates. Given common clinical practice to sequence therapies with different mechanisms of action upon disease progression, a SERM such as lasofoxifene may be positioned for use following prior exposure to SERDs, AIs, CDK4/6i, or other therapies utilized in earlier stages of the disease.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with the advancement of ATH-1105 as a novel small molecule therapeutic that positively modulates the neurotrophic HGF system, we must consider companies as competitors who are developing other novel approaches, including those that target other neurotrophic systems to address ALS and other neurological diseases. Additionally, because ATH-1105 is orally administered, we must also consider as competitors companies developing ALS therapies as oral therapeutics or with other routes of administration.</w:t>
      </w:r>
    </w:p>
    <w:p>
      <w:pPr>
        <w:pStyle w:val="TextBody"/>
        <w:bidi w:val="0"/>
        <w:spacing w:before="240" w:after="283"/>
        <w:jc w:val="both"/>
        <w:rPr>
          <w:rFonts w:ascii="Arial" w:hAnsi="Arial"/>
          <w:color w:val="000000"/>
          <w:sz w:val="20"/>
        </w:rPr>
      </w:pPr>
      <w:r>
        <w:rPr>
          <w:rFonts w:ascii="Arial" w:hAnsi="Arial"/>
          <w:color w:val="000000"/>
          <w:sz w:val="20"/>
        </w:rPr>
        <w:t>Because of the range of potential competitors, many of our competitors, alone or with strategic partners, have greater access to financial, technical, and human resources, market presence, and deeper experience in drug discovery and development, preclinical and clinical testing, manufacturing, commercialization, the regulatory approval process in the U.S. and abroad, or marketing and sales than we do. They also have extensive expertise in commercializing approved therapies and leveraging established market channels.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our product candidates across all competitors. Merger and acquisition activity in the biotechnology and biopharmaceutical industries may result in even more resources being concentrated among a smaller number of our competitors. As a result, competitors may achieve regulatory approval more rapidly, secure broad market penetration, and gain stronger physician and payer adoption.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drug products. In geographies that are critical to our commercial success, competitors may also obtain regulatory approvals first, resulting in these competitors building a strong market position in advance of the entry of our drug candidates. In addition, our ability to compete may be affected in many cases by insurers or other third-party payors seeking to encourage the use of other treatments.</w:t>
      </w:r>
    </w:p>
    <w:p>
      <w:pPr>
        <w:pStyle w:val="TextBody"/>
        <w:bidi w:val="0"/>
        <w:spacing w:before="240" w:after="283"/>
        <w:jc w:val="both"/>
        <w:rPr>
          <w:rFonts w:ascii="Times New Roman" w:hAnsi="Times New Roman"/>
          <w:sz w:val="20"/>
        </w:rPr>
      </w:pPr>
      <w:r>
        <w:rPr>
          <w:rFonts w:ascii="Arial" w:hAnsi="Arial"/>
          <w:color w:val="000000"/>
          <w:sz w:val="20"/>
        </w:rPr>
        <w:t>We believe that the key competitive factors affecting the success of lasofoxifene will include efficacy, quality of life improvement, safety profile, convenience, cost, and intellectual property protection compared to existing treatments. Compared to its competitors, we believe lasofoxifene has the potential to deliver durable efficacy (13 months PFS in CDK4/6i combo setting), superior tolerability (grade 1/2 AEs such as diarrhea), and combination potential (minimal drug-drug interactions). In addition, we believe that lasofoxifene is the only targeted novel endocrine treatment with potential quality of life benefits (improved urogenital symptoms and potential bone density and lipid health benefits) in precision oncology medicine. Thus, we believe that these advantages may position lasofoxifene as a potential standard in endocrine therapy. Newly approved treatments for ESR1+ mBC will have to compete with existing therapies as well as therapies currently in development and that may be developed in the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Specific to targeting HGF/MET, however, we are not aware of any direct competitors currently developing small molecules targeting the neurotrophic HGF system for ALS. We are aware of two companies developing HGF/MET-directed therapies for ALS, including VM202, a plasmid DNA encoding human HGF developed by Helixmith, and KP-100, a recombinant HGF protein developed by Kringle Pharma. Both assets have been investigated in Phase 2 clinical trials for ALS, where they were shown to be safe and well-tolerated but failed to reach statistical significance on efficacy endpoints.</w:t>
      </w:r>
    </w:p>
    <w:p>
      <w:pPr>
        <w:pStyle w:val="TextBody"/>
        <w:bidi w:val="0"/>
        <w:spacing w:before="240" w:after="283"/>
        <w:jc w:val="both"/>
        <w:rPr>
          <w:rFonts w:ascii="Arial" w:hAnsi="Arial"/>
          <w:color w:val="000000"/>
          <w:sz w:val="20"/>
        </w:rPr>
      </w:pPr>
      <w:r>
        <w:rPr>
          <w:rFonts w:ascii="Arial" w:hAnsi="Arial"/>
          <w:color w:val="000000"/>
          <w:sz w:val="20"/>
        </w:rPr>
        <w:t>ATH-1105 has the potential to offer neuroprotective and anti-inflammatory effects by targeting the HGF/MET system. Our preclinical data have demonstrated this multimodal approach may have positive benefits across several biological and clinical measures. While several potential direct competitors may exist, we have not yet identified any competitive asset that has demonstrated consistent and congruent positive effects offering neuroprotection, anti-inflammation, reduction in disease-specific protein pathologies, and neurotrophic and functional benefits.</w:t>
      </w:r>
    </w:p>
    <w:p>
      <w:pPr>
        <w:pStyle w:val="TextBody"/>
        <w:bidi w:val="0"/>
        <w:spacing w:before="360" w:after="283"/>
        <w:jc w:val="left"/>
        <w:rPr>
          <w:rFonts w:ascii="Arial" w:hAnsi="Arial"/>
          <w:b/>
          <w:color w:val="000000"/>
          <w:sz w:val="20"/>
        </w:rPr>
      </w:pPr>
      <w:r>
        <w:rPr>
          <w:rFonts w:ascii="Arial" w:hAnsi="Arial"/>
          <w:b/>
          <w:color w:val="000000"/>
          <w:sz w:val="20"/>
        </w:rPr>
        <w:t>Intellectual Property</w:t>
      </w:r>
    </w:p>
    <w:p>
      <w:pPr>
        <w:pStyle w:val="TextBody"/>
        <w:bidi w:val="0"/>
        <w:spacing w:before="120" w:after="283"/>
        <w:jc w:val="both"/>
        <w:rPr>
          <w:rFonts w:ascii="Arial" w:hAnsi="Arial"/>
          <w:color w:val="000000"/>
          <w:sz w:val="20"/>
        </w:rPr>
      </w:pPr>
      <w:r>
        <w:rPr>
          <w:rFonts w:ascii="Arial" w:hAnsi="Arial"/>
          <w:color w:val="000000"/>
          <w:sz w:val="20"/>
        </w:rPr>
        <w:t>We own or have in-licensed numerous patents and patent applications and possesses substantial know-how and trade secrets relating to the development and commercialization of our drug candidates, including related manufacturing processes and technologies, as well as their use in the treatment of various diseases. For drug candidates, we generally pursue multilayered patent protection covering compositions of matter, methods of use, and methods of manufacture. We intend to strengthen the patent protection of drug candidates and technologies through additional patent application filings. Patent terms for our owned or in-licensed patents discussed herein may exclude any patent term extension or patent term adjustment that may be awarded. Further, data and/or market exclusivity based on new chemical entity or other categories may be available in various jurisdictions.</w:t>
      </w:r>
    </w:p>
    <w:p>
      <w:pPr>
        <w:pStyle w:val="TextBody"/>
        <w:bidi w:val="0"/>
        <w:spacing w:before="240" w:after="283"/>
        <w:jc w:val="both"/>
        <w:rPr>
          <w:rFonts w:ascii="Times New Roman" w:hAnsi="Times New Roman"/>
          <w:sz w:val="20"/>
        </w:rPr>
      </w:pPr>
      <w:r>
        <w:rPr>
          <w:rFonts w:ascii="Arial" w:hAnsi="Arial"/>
          <w:color w:val="000000"/>
          <w:sz w:val="20"/>
        </w:rPr>
        <w:t>We have in-licensed a portfolio of patents and patent applications from Sermonix and Ligand, centered around lasofoxifene and its method of use in several settings including in (1) combination with abemaciclib for the treatment of ER+/HER2-, locally advanced or metastatic breast cancer with an ESR1 mutation after progression on an AI in combination with the CDK4/6 inhibitor palbociclib or ribociclib, (2) ER+ breast cancer with no ESR1 mutations after progression on an AI, (3) ER+ breast cancer in neoadjuvant setting, and (4) ER+ breast cancer in adjuvant setting. Our in-licensed patent portfolio includes issued patents and pending patent applications in the United States, issued patents and pending patent applications in jurisdictions outside of the United States, and pending international patent applications filed under the Patent Cooperation Treaty. Our in-licensed issued patents expire on dates ranging from 2037 to 2042, absent any patent term adjustment and/or extension. Our in-licensed pending patent applications, if issued, or pending international patent applications, if nationalized and issued, would be expected to expire on dates ranging from 2037 to 2045.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own patents and patent applications directed to ATH-1105 and our other small molecule drug candidates, including ATH-1020, directed to compositions of matter and methods of use thereof. Our owned patent portfolio includes pending patent applications in the United States, issued patents and pending patent applications in jurisdictions outside of the United States, and pending international patent applications filed under the Patent Cooperation Treaty. Our owned and issued patents directed to ATH-1105 and our other small molecule drug candidates, including ATH-1020, directed to compositions of matter and methods of use thereof, will expire on dates ranging from 2041 to 2042. If patents are issued on our owned pending patent applications directed to ATH-1105 and our other small molecule drug candidates, including ATH-1020, directed to compositions of matter and methods of use thereof, the resulting patents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are projected to expire on dates ranging from 2041 to 2045, absent any patent term adjustment and/or extension.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Individual patents are in force for varying periods of time, depending upon the date of filing of the patent application, the date of patent issuance, and the legal term of patents in the countries in which they are obtained. Generally, patents issued for applications filed in the United States are in force for 20 years from the earliest nonprovisional filing date. In addition, in certain instances, a patent term can be adjusted or extended to recapture a portion of the term effectively lost as a result of the United States Patent and Trademark Office (“USPTO”) delay or the FDA regulatory review period (a patent term adjustment or patent term extension, respectively).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When appropriate, we seek to protect aspects of our technology and business not amenable to, or that we do not consider appropriate for, patent protection as trade secrets. we seek to protect this intellectual property, in part, as trade secrets, by entering into confidentiality agreements with those who have access to our confidential information, including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pStyle w:val="TextBody"/>
        <w:bidi w:val="0"/>
        <w:spacing w:before="240" w:after="283"/>
        <w:jc w:val="both"/>
        <w:rPr>
          <w:rFonts w:ascii="Arial" w:hAnsi="Arial"/>
          <w:color w:val="000000"/>
          <w:sz w:val="20"/>
        </w:rPr>
      </w:pPr>
      <w:r>
        <w:rPr>
          <w:rFonts w:ascii="Arial" w:hAnsi="Arial"/>
          <w:color w:val="000000"/>
          <w:sz w:val="20"/>
        </w:rPr>
        <w:t>We seek trademark protection in the United States and in certain other jurisdictions where available and when we deem appropriate. Our trademark portfolio includes pending trademark applications for LeonaBio and related trademarks in the United States and internationally.</w:t>
      </w:r>
    </w:p>
    <w:p>
      <w:pPr>
        <w:pStyle w:val="TextBody"/>
        <w:bidi w:val="0"/>
        <w:spacing w:before="360" w:after="283"/>
        <w:jc w:val="left"/>
        <w:rPr>
          <w:rFonts w:ascii="Arial" w:hAnsi="Arial"/>
          <w:b/>
          <w:color w:val="000000"/>
          <w:sz w:val="20"/>
        </w:rPr>
      </w:pPr>
      <w:r>
        <w:rPr>
          <w:rFonts w:ascii="Arial" w:hAnsi="Arial"/>
          <w:b/>
          <w:color w:val="000000"/>
          <w:sz w:val="20"/>
        </w:rPr>
        <w:t>Government Regulation</w:t>
      </w:r>
    </w:p>
    <w:p>
      <w:pPr>
        <w:pStyle w:val="TextBody"/>
        <w:bidi w:val="0"/>
        <w:spacing w:before="120" w:after="283"/>
        <w:jc w:val="both"/>
        <w:rPr>
          <w:rFonts w:ascii="Arial" w:hAnsi="Arial"/>
          <w:color w:val="000000"/>
          <w:sz w:val="20"/>
        </w:rPr>
      </w:pPr>
      <w:r>
        <w:rPr>
          <w:rFonts w:ascii="Arial" w:hAnsi="Arial"/>
          <w:color w:val="000000"/>
          <w:sz w:val="20"/>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pStyle w:val="TextBody"/>
        <w:bidi w:val="0"/>
        <w:spacing w:before="360" w:after="120"/>
        <w:jc w:val="left"/>
        <w:rPr>
          <w:rFonts w:ascii="Arial" w:hAnsi="Arial"/>
          <w:b/>
          <w:color w:val="000000"/>
          <w:sz w:val="20"/>
        </w:rPr>
      </w:pPr>
      <w:r>
        <w:rPr>
          <w:rFonts w:ascii="Arial" w:hAnsi="Arial"/>
          <w:b/>
          <w:color w:val="000000"/>
          <w:sz w:val="20"/>
        </w:rPr>
        <w:t>U.S. Drug Development Process</w:t>
      </w:r>
    </w:p>
    <w:p>
      <w:pPr>
        <w:pStyle w:val="TextBody"/>
        <w:bidi w:val="0"/>
        <w:jc w:val="both"/>
        <w:rPr>
          <w:rFonts w:ascii="Times New Roman" w:hAnsi="Times New Roman"/>
          <w:sz w:val="20"/>
        </w:rPr>
      </w:pPr>
      <w:r>
        <w:rPr>
          <w:rFonts w:ascii="Arial" w:hAnsi="Arial"/>
          <w:color w:val="000000"/>
          <w:sz w:val="20"/>
        </w:rPr>
        <w:t>In the United States,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process required by the FDA before a drug may be marketed in the United States generally involves the following:</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completion of nonclinical laboratory tests, animal studies, and formulation studies in accordance with FDA’s good laboratory practice, requirements and other applicable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submission to the FDA of an IND, which must become effective before human clinical trials may begin;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approval by an independent institutional review board (“IRB”) ethics committee, either centralized or with respect to each clinical site, before each clinical trial may be initiated;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performance of adequate and well-controlled human clinical trials in accordance with good clinical practice (“GCP”) requirements to establish the safety and efficacy of the proposed drug for its intended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submission to the FDA of a New Drug Application (“NDA”) after completion of all pivotal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determination by the FDA within 60 days of its receipt of an NDA to accept the filing for substantive review;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satisfactory completion of an FDA advisory committee review, if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satisfactory completion of an FDA inspection of the manufacturing facility or facilities at which the drug is produced to assess compliance with current good manufacturing practice (“cGMP”) requirements to ensure that the facilities, methods and controls are adequate to preserve the drug’s identity, strength, quality, and purity, and of selected clinical investigation sites to assess compliance with GCPs;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FDA review and approval of the NDA to permit commercial marketing of the product for particular indications for use in the United States. </w:t>
      </w:r>
    </w:p>
    <w:p>
      <w:pPr>
        <w:pStyle w:val="TextBody"/>
        <w:bidi w:val="0"/>
        <w:spacing w:before="240" w:after="283"/>
        <w:jc w:val="both"/>
        <w:rPr>
          <w:rFonts w:ascii="Times New Roman" w:hAnsi="Times New Roman"/>
          <w:sz w:val="20"/>
        </w:rPr>
      </w:pPr>
      <w:r>
        <w:rPr>
          <w:rFonts w:ascii="Arial" w:hAnsi="Arial"/>
          <w:color w:val="000000"/>
          <w:sz w:val="20"/>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hAnsi="Arial"/>
          <w:i/>
          <w:color w:val="000000"/>
          <w:sz w:val="20"/>
        </w:rPr>
        <w:t xml:space="preserve">in vitro </w:t>
      </w:r>
      <w:r>
        <w:rPr>
          <w:rFonts w:ascii="Arial" w:hAnsi="Arial"/>
          <w:color w:val="000000"/>
          <w:sz w:val="20"/>
        </w:rPr>
        <w:t>studies assessing the toxicology, pharmacology, and PK/PD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Human clinical trials are typically conducted in three sequential phases that may overlap or be combined:</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Phase 1</w:t>
      </w:r>
      <w:r>
        <w:rPr>
          <w:rFonts w:ascii="Arial" w:hAnsi="Arial"/>
          <w:color w:val="000000"/>
          <w:sz w:val="20"/>
        </w:rPr>
        <w:t xml:space="preserve">: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Phase 2</w:t>
      </w:r>
      <w:r>
        <w:rPr>
          <w:rFonts w:ascii="Arial" w:hAnsi="Arial"/>
          <w:color w:val="000000"/>
          <w:sz w:val="20"/>
        </w:rPr>
        <w:t xml:space="preserve">: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Phase 3</w:t>
      </w:r>
      <w:r>
        <w:rPr>
          <w:rFonts w:ascii="Arial" w:hAnsi="Arial"/>
          <w:color w:val="000000"/>
          <w:sz w:val="20"/>
        </w:rPr>
        <w:t xml:space="preserve">: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p>
      <w:pPr>
        <w:pStyle w:val="TextBody"/>
        <w:bidi w:val="0"/>
        <w:spacing w:before="240" w:after="283"/>
        <w:jc w:val="both"/>
        <w:rPr>
          <w:rFonts w:ascii="Times New Roman" w:hAnsi="Times New Roman"/>
          <w:sz w:val="20"/>
        </w:rPr>
      </w:pPr>
      <w:r>
        <w:rPr>
          <w:rFonts w:ascii="Arial" w:hAnsi="Arial"/>
          <w:color w:val="000000"/>
          <w:sz w:val="20"/>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pStyle w:val="TextBody"/>
        <w:bidi w:val="0"/>
        <w:spacing w:before="240" w:after="283"/>
        <w:jc w:val="both"/>
        <w:rPr>
          <w:rFonts w:ascii="Times New Roman" w:hAnsi="Times New Roman"/>
          <w:sz w:val="20"/>
        </w:rPr>
      </w:pPr>
      <w:r>
        <w:rPr>
          <w:rFonts w:ascii="Arial" w:hAnsi="Arial"/>
          <w:color w:val="000000"/>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hAnsi="Arial"/>
          <w:i/>
          <w:color w:val="000000"/>
          <w:sz w:val="20"/>
        </w:rPr>
        <w:t xml:space="preserve">in vitro </w:t>
      </w:r>
      <w:r>
        <w:rPr>
          <w:rFonts w:ascii="Arial" w:hAnsi="Arial"/>
          <w:color w:val="000000"/>
          <w:sz w:val="20"/>
        </w:rPr>
        <w:t>testing suggesting a significant risk to humans, and any clinically important increased incidence of a serious suspected adverse reaction compared to that listed in the protocol or investigator brochure.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i/>
          <w:color w:val="000000"/>
          <w:sz w:val="20"/>
        </w:rPr>
        <w:t>NDA Review and Approval Process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results of drug development, preclinical studies and clinical trials are submitted to the FDA as part of an NDA. NDAs also must contain extensive chemistry, manufacturing and control information. An NDA must be accompanied by a significant user fee, which may be waived in certain circumstances. The FDA conducts a preliminary review of an NDA within the first 60 days after submission, before accepting the application for filing, to determine whether it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before FDA will review the application. Once the submission has been accepted for filing, the FDA’s goal is to review applications within ten months of the filing date, or if the submission qualifies for priority review, six months from the filing. The review process may also be extended for a three-month period for FDA to review additional information deemed a “major amendment” to the application. 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 Further, FDA’s “real time” release of newly issued Complete Response Letters associated with withdrawn or abandoned applications, if applicable to any of our product candidates, can materially impact our business and competitive advantage.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FDA and other regulatory authorities may change their policies, issue additional regulations or revise existing regulations, any of which could delay our ability to obtain approvals, increase the costs of compliance or restrict our ability to maintain any regulatory approvals we may have obtained. In June 2024, the U.S. Supreme Court overruled the Chevron doctrine, which gives deference to federal agencies’ statutory interpretations in litigation against the agencies where the law is ambiguous. This Supreme Court decision may invite various stakeholders to bring lawsuits against the FDA or other federal agencies to challenge longstanding decisions and policies, including FDA's statutory interpretations of market exclusivities and the “substantial evidence” requirements for drug approvals, which could undermine the FDA’s authority, lead to uncertainties in the industry, and disrupt the agency’s normal operations.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cannot predict the full impact of this decision on us or the pharmaceutical industry in general. Further, changes in the leadership of the FDA and other federal agencies under the new Trump administration can result in further changes in the funding, operations, and policies of the federal agencies, which may impact our clinical development plans and timelines.</w:t>
      </w:r>
    </w:p>
    <w:p>
      <w:pPr>
        <w:pStyle w:val="TextBody"/>
        <w:bidi w:val="0"/>
        <w:spacing w:before="360" w:after="283"/>
        <w:jc w:val="left"/>
        <w:rPr>
          <w:rFonts w:ascii="Times New Roman" w:hAnsi="Times New Roman"/>
          <w:sz w:val="20"/>
        </w:rPr>
      </w:pPr>
      <w:r>
        <w:rPr>
          <w:rFonts w:ascii="Arial" w:hAnsi="Arial"/>
          <w:i/>
          <w:color w:val="000000"/>
          <w:sz w:val="20"/>
        </w:rPr>
        <w:t>Expedited Development and Review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drug product candidates as appropriate. On December 29, 2022, the Consolidated Appropriations Act, 2023, including the Food and Drug Omnibus Reform Act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Arial" w:hAnsi="Arial"/>
          <w:i/>
          <w:color w:val="000000"/>
          <w:sz w:val="20"/>
        </w:rPr>
        <w:t>Post-Approval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restrictions on the marketing or manufacturing of the product, complete withdrawal of the product from the market or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fines, warning letters, or untitled letters;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clinical holds on post-approval or Phase IV clinical studies, if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refusal of the FDA to approve pending applications or supplements to approved applications, or suspension or revocation of product license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drug product seizure or detention, or refusal to permit the import or export of products;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consent decrees, corporate integrity agreements, debarment, or exclusion from federal healthcare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mandated modification of promotional materials and labeling and the issuance of corrective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safety alerts, Dear Healthcare Provider letters, press releases, and other communications containing warnings or other safety information about the product;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jc w:val="both"/>
        <w:rPr>
          <w:rFonts w:ascii="Times New Roman" w:hAnsi="Times New Roman"/>
          <w:sz w:val="20"/>
        </w:rPr>
      </w:pPr>
      <w:r>
        <w:rPr>
          <w:rFonts w:ascii="Arial" w:hAnsi="Arial"/>
          <w:color w:val="000000"/>
          <w:sz w:val="20"/>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r>
        <w:rPr>
          <w:rFonts w:ascii="Times New Roman" w:hAnsi="Times New Roman"/>
          <w:color w:val="000000"/>
          <w:sz w:val="20"/>
        </w:rPr>
        <w:t xml:space="preserve"> </w:t>
      </w:r>
    </w:p>
    <w:p>
      <w:pPr>
        <w:pStyle w:val="TextBody"/>
        <w:bidi w:val="0"/>
        <w:spacing w:before="360" w:after="283"/>
        <w:jc w:val="left"/>
        <w:rPr>
          <w:rFonts w:ascii="Arial" w:hAnsi="Arial"/>
          <w:i/>
          <w:color w:val="000000"/>
          <w:sz w:val="20"/>
        </w:rPr>
      </w:pPr>
      <w:r>
        <w:rPr>
          <w:rFonts w:ascii="Arial" w:hAnsi="Arial"/>
          <w:i/>
          <w:color w:val="000000"/>
          <w:sz w:val="20"/>
        </w:rPr>
        <w:t>Orange Book Listing</w:t>
      </w:r>
    </w:p>
    <w:p>
      <w:pPr>
        <w:pStyle w:val="TextBody"/>
        <w:bidi w:val="0"/>
        <w:spacing w:before="120" w:after="283"/>
        <w:jc w:val="both"/>
        <w:rPr>
          <w:rFonts w:ascii="Arial" w:hAnsi="Arial"/>
          <w:color w:val="000000"/>
          <w:sz w:val="20"/>
        </w:rPr>
      </w:pPr>
      <w:r>
        <w:rPr>
          <w:rFonts w:ascii="Arial" w:hAnsi="Arial"/>
          <w:color w:val="000000"/>
          <w:sz w:val="20"/>
        </w:rPr>
        <w:t>In seeking approval of an NDA or a supplement thereto, NDA applicants are required to list with the FDA each patent with claims that cover the applicant’s product or an approved method of using the product. Upon FDA approval, each of the patents listed by the NDA applicant is published in the FDA’s Approved Drug Products with Therapeutic Equivalence Evaluations, commonly known as the Orange Book. Upon submission of an abbreviated new drug application ("ANDA") or an NDA submitted under Section 505(b)(2) (“505(b)(2) NDA”), an applicant is required to certify to the FDA concerning any patents listed for the RLD in the Orange Book that: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no patent information on the drug product that is the subject of the application has been submitted to the FDA;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such patent has expired;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date on which such patent expires;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such patent is invalid, unenforceable or will not be infringed upon by the manufacture, use, or sale of the drug product for which the application is submitted.</w:t>
      </w:r>
    </w:p>
    <w:p>
      <w:pPr>
        <w:pStyle w:val="TextBody"/>
        <w:bidi w:val="0"/>
        <w:spacing w:before="240" w:after="283"/>
        <w:jc w:val="both"/>
        <w:rPr>
          <w:rFonts w:ascii="Times New Roman" w:hAnsi="Times New Roman"/>
          <w:sz w:val="20"/>
        </w:rPr>
      </w:pPr>
      <w:r>
        <w:rPr>
          <w:rFonts w:ascii="Arial" w:hAnsi="Arial"/>
          <w:color w:val="000000"/>
          <w:sz w:val="20"/>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pStyle w:val="TextBody"/>
        <w:bidi w:val="0"/>
        <w:spacing w:before="360" w:after="283"/>
        <w:jc w:val="both"/>
        <w:rPr>
          <w:rFonts w:ascii="Times New Roman" w:hAnsi="Times New Roman"/>
          <w:sz w:val="20"/>
        </w:rPr>
      </w:pPr>
      <w:r>
        <w:rPr>
          <w:rFonts w:ascii="Arial" w:hAnsi="Arial"/>
          <w:i/>
          <w:color w:val="000000"/>
          <w:sz w:val="20"/>
        </w:rPr>
        <w:t>Marketing Exclusivity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ANDA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i/>
          <w:color w:val="000000"/>
          <w:sz w:val="20"/>
        </w:rPr>
        <w:t>Other Healthcare Laws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pStyle w:val="TextBody"/>
        <w:bidi w:val="0"/>
        <w:spacing w:before="240" w:after="283"/>
        <w:jc w:val="both"/>
        <w:rPr>
          <w:rFonts w:ascii="Times New Roman" w:hAnsi="Times New Roman"/>
          <w:sz w:val="20"/>
        </w:rPr>
      </w:pPr>
      <w:r>
        <w:rPr>
          <w:rFonts w:ascii="Arial" w:hAnsi="Arial"/>
          <w:color w:val="000000"/>
          <w:sz w:val="20"/>
        </w:rPr>
        <w:t>The risk of us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i/>
          <w:color w:val="000000"/>
          <w:sz w:val="20"/>
        </w:rPr>
        <w:t>Coverage and Reimbursement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time-consuming process, with no assurance that coverage and adequate reimbursement will be applied consistently or obtained in the first instance.</w:t>
      </w:r>
    </w:p>
    <w:p>
      <w:pPr>
        <w:pStyle w:val="TextBody"/>
        <w:bidi w:val="0"/>
        <w:spacing w:before="240" w:after="283"/>
        <w:jc w:val="both"/>
        <w:rPr>
          <w:rFonts w:ascii="Times New Roman" w:hAnsi="Times New Roman"/>
          <w:sz w:val="20"/>
        </w:rPr>
      </w:pPr>
      <w:r>
        <w:rPr>
          <w:rFonts w:ascii="Arial" w:hAnsi="Arial"/>
          <w:color w:val="000000"/>
          <w:sz w:val="20"/>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i/>
          <w:color w:val="000000"/>
          <w:sz w:val="20"/>
        </w:rPr>
        <w:t>U.S. Healthcare Reform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(collectively, the "ACA") was signed into law, which substantially changed the way healthcare is financed by both governmental and private insurers in the United States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Since its enactment, there have been executive, judicial and Congressional challenges to certain aspects of the ACA. For example,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new Trump administration will impact the ACA, our business, financial condition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2032 with the exception of a temporary suspension implemented under various novel coronavirus disease, relief legislation.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effective January 1, 2024, the American Rescue Plan Act of 2021 eliminated the statutory cap on Medicaid Drug Rebate Program rebates that manufacturers pay to state Medicaid programs. Elimination of this cap may require pharmaceutical manufacturers to pay more in rebates than it receives on the sale of products, which could have a material impact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August 2022, the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Centers for Medicare &amp; Medicaid Services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and the Pharmaceutical Research and Manufacturers of America, have initiated lawsuits against the federal government asserting that the price negotiation provisions of the Inflation Reduction Act are unconstitutional.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the One Big Beautiful Bill Act (OBBBA), which was signed into law in July 2025, includes provisions that will impact the United States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We cannot predict the full impact of the OBBBA, executive orders, and new laws focused on reducing prescription drug prices or increasing domestic drug manufacturing capacity, or other measures that may be implemented by the current administration related to drug pricing, drug supply chain and manufacturing in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and drive price hikes in the United States. Government agreements with pharmaceutical companies and any other government measures that use most-favored-nation pricing targets for prescription drugs, including the use of international pricing reference to set drug prices in the United States, or that increase generic drug and biosimilar entry sooner than expected, could materially harm our business, including with respect to our ability to set adequate pricing for new drugs to recover our research and development costs.</w:t>
      </w:r>
    </w:p>
    <w:p>
      <w:pPr>
        <w:pStyle w:val="TextBody"/>
        <w:bidi w:val="0"/>
        <w:spacing w:before="240" w:after="283"/>
        <w:jc w:val="both"/>
        <w:rPr>
          <w:rFonts w:ascii="Times New Roman" w:hAnsi="Times New Roman"/>
          <w:sz w:val="20"/>
        </w:rPr>
      </w:pPr>
      <w:r>
        <w:rPr>
          <w:rFonts w:ascii="Arial" w:hAnsi="Arial"/>
          <w:color w:val="000000"/>
          <w:sz w:val="20"/>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FDA has authorized the state of Florida to develop Section 804 Importation Programs to import certain prescription drugs from Canada for a limited period of time to help reduce drug costs, provided that Florida’s Agency for Health Care Administration meets the requirements set forth by the FDA. Other states may follow Florida.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that additional state and federal healthcare reform measures will be adopted in the future. The implementation of cost containment measures or other healthcare reforms may prevent us from being able to generate revenue, attain profitability or commercialize our drug candidates. Complying with any new legislation and regulatory changes could be time-intensive and expensive, resulting in a material adverse effect on our business.</w:t>
      </w:r>
    </w:p>
    <w:p>
      <w:pPr>
        <w:pStyle w:val="TextBody"/>
        <w:bidi w:val="0"/>
        <w:spacing w:before="360" w:after="283"/>
        <w:jc w:val="both"/>
        <w:rPr>
          <w:rFonts w:ascii="Arial" w:hAnsi="Arial"/>
          <w:i/>
          <w:color w:val="000000"/>
          <w:sz w:val="20"/>
        </w:rPr>
      </w:pPr>
      <w:r>
        <w:rPr>
          <w:rFonts w:ascii="Arial" w:hAnsi="Arial"/>
          <w:i/>
          <w:color w:val="000000"/>
          <w:sz w:val="20"/>
        </w:rPr>
        <w:t>Employees and Human Capital Resources</w:t>
      </w:r>
    </w:p>
    <w:p>
      <w:pPr>
        <w:pStyle w:val="TextBody"/>
        <w:bidi w:val="0"/>
        <w:spacing w:before="120" w:after="283"/>
        <w:jc w:val="both"/>
        <w:rPr>
          <w:rFonts w:ascii="Arial" w:hAnsi="Arial"/>
          <w:color w:val="000000"/>
          <w:sz w:val="20"/>
        </w:rPr>
      </w:pPr>
      <w:r>
        <w:rPr>
          <w:rFonts w:ascii="Arial" w:hAnsi="Arial"/>
          <w:color w:val="000000"/>
          <w:sz w:val="20"/>
        </w:rPr>
        <w:t>As of December 31, 2025, we had 19 employees, all of whom were full-time and ten of whom were engaged in research and development activities. Six of our employees hold Ph.D. or M.D. degrees. None of our employees is represented by a labor union or covered under a collective bargaining agreement. We consider our relationship with our employees to be good.</w:t>
      </w:r>
    </w:p>
    <w:p>
      <w:pPr>
        <w:pStyle w:val="TextBody"/>
        <w:bidi w:val="0"/>
        <w:spacing w:before="240" w:after="283"/>
        <w:jc w:val="both"/>
        <w:rPr>
          <w:rFonts w:ascii="Arial" w:hAnsi="Arial"/>
          <w:color w:val="000000"/>
          <w:sz w:val="20"/>
        </w:rPr>
      </w:pPr>
      <w:r>
        <w:rPr>
          <w:rFonts w:ascii="Arial" w:hAnsi="Arial"/>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360" w:after="283"/>
        <w:jc w:val="both"/>
        <w:rPr>
          <w:rFonts w:ascii="Arial" w:hAnsi="Arial"/>
          <w:i/>
          <w:color w:val="000000"/>
          <w:sz w:val="20"/>
        </w:rPr>
      </w:pPr>
      <w:r>
        <w:rPr>
          <w:rFonts w:ascii="Arial" w:hAnsi="Arial"/>
          <w:i/>
          <w:color w:val="000000"/>
          <w:sz w:val="20"/>
        </w:rPr>
        <w:t>Corporate Information</w:t>
      </w:r>
    </w:p>
    <w:p>
      <w:pPr>
        <w:pStyle w:val="TextBody"/>
        <w:bidi w:val="0"/>
        <w:spacing w:before="120" w:after="283"/>
        <w:jc w:val="both"/>
        <w:rPr>
          <w:rFonts w:ascii="Arial" w:hAnsi="Arial"/>
          <w:color w:val="000000"/>
          <w:sz w:val="20"/>
        </w:rPr>
      </w:pPr>
      <w:r>
        <w:rPr>
          <w:rFonts w:ascii="Arial" w:hAnsi="Arial"/>
          <w:color w:val="000000"/>
          <w:sz w:val="20"/>
        </w:rPr>
        <w:t>We were incorporated in Washington as a corporation in March 2011 under the name M3 Biotechnology, Inc. In October 2015, we converted to a Delaware corporation and subsequently changed our name to “Athira Pharma, Inc.” In January 2026 we changed our name to “LeonaBio, Inc.” Our principal executive office is located at 18706 North Creek Parkway, Suite 104, Bothell Washington 98011. Our telephone number is (425) 620-8501. Our website is www.leonabio.com. Information contained in, or that can be accessed through, our website is not a part of, and is not incorporated into, this report, and the inclusion of our website address in this report is an inactive textual reference only.</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make available on or through our website certain reports and amendments to those reports that we file with or furnish to the SEC, in accordance with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bookmarkStart w:id="5" w:name="item_1a_risk_factors_1"/>
      <w:bookmarkEnd w:id="5"/>
      <w:r>
        <w:rPr>
          <w:rFonts w:ascii="Arial" w:hAnsi="Arial"/>
          <w:b/>
          <w:color w:val="000000"/>
          <w:sz w:val="20"/>
        </w:rPr>
        <w:t>Item 1A. Risk Factors</w:t>
      </w:r>
    </w:p>
    <w:p>
      <w:pPr>
        <w:pStyle w:val="TextBody"/>
        <w:bidi w:val="0"/>
        <w:spacing w:before="120" w:after="283"/>
        <w:jc w:val="both"/>
        <w:rPr>
          <w:rFonts w:ascii="Times New Roman" w:hAnsi="Times New Roman"/>
          <w:sz w:val="20"/>
        </w:rPr>
      </w:pPr>
      <w:r>
        <w:rPr>
          <w:rFonts w:ascii="Arial" w:hAnsi="Arial"/>
          <w:i/>
          <w:color w:val="231F20"/>
          <w:sz w:val="20"/>
        </w:rPr>
        <w:t xml:space="preserve">You should carefully consider the following risk factors, in addition to the other information contained in this report, including the “Management’s Discussion and Analysis of Financial Condition and Results of Operations” section and our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Heading1"/>
        <w:bidi w:val="0"/>
        <w:spacing w:before="360" w:after="283"/>
        <w:jc w:val="left"/>
        <w:rPr>
          <w:rFonts w:ascii="Arial" w:hAnsi="Arial"/>
          <w:color w:val="000000"/>
          <w:sz w:val="20"/>
        </w:rPr>
      </w:pPr>
      <w:r>
        <w:rPr>
          <w:rFonts w:ascii="Arial" w:hAnsi="Arial"/>
          <w:color w:val="000000"/>
          <w:sz w:val="20"/>
        </w:rPr>
        <w:t>Risks Related to Our Business and the Development of Our Drug Candidates</w:t>
      </w:r>
    </w:p>
    <w:p>
      <w:pPr>
        <w:pStyle w:val="TextBody"/>
        <w:bidi w:val="0"/>
        <w:spacing w:before="12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dedicated to the development of novel therapeutics for high unmet medical needs.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fail to or be unable to design and execute clinical trials to support marketing approval of lasofoxifene,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candidates, which may also limit their commercial potential.</w:t>
      </w:r>
    </w:p>
    <w:p>
      <w:pPr>
        <w:pStyle w:val="TextBody"/>
        <w:bidi w:val="0"/>
        <w:spacing w:before="360" w:after="283"/>
        <w:jc w:val="both"/>
        <w:rPr>
          <w:rFonts w:ascii="Arial" w:hAnsi="Arial"/>
          <w:b/>
          <w:i/>
          <w:color w:val="000000"/>
          <w:sz w:val="20"/>
        </w:rPr>
      </w:pPr>
      <w:r>
        <w:rPr>
          <w:rFonts w:ascii="Arial" w:hAnsi="Arial"/>
          <w:b/>
          <w:i/>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are developing lasofoxifene to treat breast cancer. Lasofoxifene is a next-generation SERM that inhibits estrogen receptor signaling in both wild-type and ESR1-mutated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fully disrupts the activation helix within the ER ligand-binding domain, uniquely preventing downstream estrogen signaling. This mechanism effectively shuts down the constitutive signaling that drives proliferation and metastasis in ESR1-mutated tumors. Given this unique approach, we cannot be certain of the safety and efficacy of lasofoxifene in applicable patients or that our clinical trials will provide sufficient evidence that our design approach results in the intended therapeutic effect.</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lasofoxifene. We or a future partner may ultimately determine that lasofoxifene does not possess certain properties required for therapeutic effectiveness. We or a future partner may spend substantial funds attempting to develop lasofoxifene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have discovered and are developing small molecule drug candidates to treat neurodegenerative diseases, including ALS.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pStyle w:val="TextBody"/>
        <w:bidi w:val="0"/>
        <w:spacing w:before="240" w:after="283"/>
        <w:jc w:val="both"/>
        <w:rPr>
          <w:rFonts w:ascii="Arial" w:hAnsi="Arial"/>
          <w:color w:val="000000"/>
          <w:sz w:val="20"/>
        </w:rPr>
      </w:pPr>
      <w:r>
        <w:rPr>
          <w:rFonts w:ascii="Arial" w:hAnsi="Arial"/>
          <w:color w:val="000000"/>
          <w:sz w:val="20"/>
        </w:rPr>
        <w:t>For example, fosgonimeton, a first-generation small molecule designed to positively modulate the neurotrophic HGF system for potential treatment of CNS disorders, was tested in Phase 1 to 2/3 clinical trials. 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The topline data from our Phase 2/3 LIFT-AD clinical trial of fosgonimeton in AD showed that neither the trial’s primary endpoint (the Global Statistical Test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pStyle w:val="TextBody"/>
        <w:bidi w:val="0"/>
        <w:spacing w:before="240" w:after="283"/>
        <w:jc w:val="both"/>
        <w:rPr>
          <w:rFonts w:ascii="Arial" w:hAnsi="Arial"/>
          <w:color w:val="000000"/>
          <w:sz w:val="20"/>
        </w:rPr>
      </w:pPr>
      <w:r>
        <w:rPr>
          <w:rFonts w:ascii="Arial" w:hAnsi="Arial"/>
          <w:color w:val="000000"/>
          <w:sz w:val="20"/>
        </w:rPr>
        <w:t>Since the readout of topline data from LIFT-AD, in September 2024 we have been focused on advancing the clinical development program for ATH-1105, a next generation small molecule designed for the potential treatment of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subject to our continued exploration of strategic alternatives focused on maximizing stockholder value; however, our plans, including trial design, timing and other factors have not yet been finalized.</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 We or a future partner may spend substantial funds attempting to develop these drug candidates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development of lasofoxifene or ATH-1105 may never lead to marketable products.</w:t>
      </w:r>
    </w:p>
    <w:p>
      <w:pPr>
        <w:pStyle w:val="TextBody"/>
        <w:bidi w:val="0"/>
        <w:spacing w:before="120" w:after="283"/>
        <w:jc w:val="both"/>
        <w:rPr>
          <w:rFonts w:ascii="Arial" w:hAnsi="Arial"/>
          <w:color w:val="000000"/>
          <w:sz w:val="20"/>
        </w:rPr>
      </w:pPr>
      <w:r>
        <w:rPr>
          <w:rFonts w:ascii="Arial" w:hAnsi="Arial"/>
          <w:color w:val="000000"/>
          <w:sz w:val="20"/>
        </w:rPr>
        <w:t>We are developing lasofoxifene and ATH-1105 to address devastating diseases where current treatment options are limited or ineffective. We have not received regulatory approval for any of our product candidates and cannot be certain that our approach will lead to the development of an approvable or marketable product, alone or in combination with other therapies.</w:t>
      </w:r>
    </w:p>
    <w:p>
      <w:pPr>
        <w:pStyle w:val="TextBody"/>
        <w:bidi w:val="0"/>
        <w:spacing w:before="240" w:after="283"/>
        <w:jc w:val="both"/>
        <w:rPr>
          <w:rFonts w:ascii="Arial" w:hAnsi="Arial"/>
          <w:color w:val="000000"/>
          <w:sz w:val="20"/>
        </w:rPr>
      </w:pPr>
      <w:r>
        <w:rPr>
          <w:rFonts w:ascii="Arial" w:hAnsi="Arial"/>
          <w:color w:val="000000"/>
          <w:sz w:val="20"/>
        </w:rPr>
        <w:t>Advancing our product candidates creates significant challenges for us or a future partner,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lasofoxifene or ATH-1105 is approved, educating medical personnel regarding the potential efficacy and safety benefits, as well as the challenges, of incorporating lasofoxifene or ATH-1105 into existing treatment regimens, including in combination with other treatments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color w:val="000000"/>
          <w:sz w:val="20"/>
        </w:rPr>
      </w:pPr>
      <w:r>
        <w:rPr>
          <w:rFonts w:ascii="Arial" w:hAnsi="Arial"/>
          <w:color w:val="000000"/>
          <w:sz w:val="20"/>
        </w:rPr>
        <w:t xml:space="preserve">Our prospects as a standalone business are highly dependent on the successful development of lasofoxifene and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and about the potential of lasofoxifene based on clinical and preclinical data, we or a future partner may decide to discontinue development of some or all of our product candidates, including if we or a future partner do not demonstrate the safety and efficacy of our product candidates in current and future clinical trials. </w:t>
      </w:r>
    </w:p>
    <w:p>
      <w:pPr>
        <w:pStyle w:val="TextBody"/>
        <w:bidi w:val="0"/>
        <w:spacing w:before="36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lasofoxifene, ATH-1105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not previously submitted an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360" w:after="283"/>
        <w:jc w:val="both"/>
        <w:rPr>
          <w:rFonts w:ascii="Arial" w:hAnsi="Arial"/>
          <w:b/>
          <w:i/>
          <w:color w:val="000000"/>
          <w:sz w:val="20"/>
        </w:rPr>
      </w:pPr>
      <w:r>
        <w:rPr>
          <w:rFonts w:ascii="Arial" w:hAnsi="Arial"/>
          <w:b/>
          <w:i/>
          <w:color w:val="000000"/>
          <w:sz w:val="20"/>
        </w:rPr>
        <w:t>Treatment of central and peripheral nervous system degenerative disorders is a field that has seen very limited success in product development and our research and development efforts may be unsuccessful.</w:t>
      </w:r>
    </w:p>
    <w:p>
      <w:pPr>
        <w:pStyle w:val="TextBody"/>
        <w:bidi w:val="0"/>
        <w:spacing w:before="120" w:after="283"/>
        <w:jc w:val="both"/>
        <w:rPr>
          <w:rFonts w:ascii="Arial" w:hAnsi="Arial"/>
          <w:color w:val="000000"/>
          <w:sz w:val="20"/>
        </w:rPr>
      </w:pPr>
      <w:r>
        <w:rPr>
          <w:rFonts w:ascii="Arial" w:hAnsi="Arial"/>
          <w:color w:val="000000"/>
          <w:sz w:val="20"/>
        </w:rPr>
        <w:t>Prior to our in-licensing of lasofoxifene, 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limited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360" w:after="283"/>
        <w:jc w:val="both"/>
        <w:rPr>
          <w:rFonts w:ascii="Times New Roman" w:hAnsi="Times New Roman"/>
          <w:sz w:val="20"/>
        </w:rPr>
      </w:pPr>
      <w:r>
        <w:rPr>
          <w:rFonts w:ascii="Arial" w:hAnsi="Arial"/>
          <w:b/>
          <w:i/>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have completed Phase 1 and 2/3 clinical trials for product candidates focused on addressing CNS and PNS disorders, we have no previous experience in completing a Phase 3 clinical trial or in completing clinical trials in oncology, and the related regulatory requirements, or the commercialization of any products. We have not yet demonstrated our ability to independently and repeatedly conduct clinical development after Phase 2, obtain regulatory approval, manufacture drug product on a registrational and commercial scale or arrange for a third-party to do so on our behalf, and commercialize therapeutic products. If we do not find a partner to assist with the later stage clinical development and commercialization of our product candidates, we will need to develop such abilities in order to successfully develop and commercialize our product candidates. To develop and commercialize our product candidates independently, we will need to successfully: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reach agreement with multiple regulatory agencies on clinical and pre-clinical studies required for registration;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execute our clinical development and manufacturing plans for later-stage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obtain required regulatory approvals in each jurisdiction in which we will seek to commercialize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maintain appropriate pre-commercialization capabilities as well as commercial sales, distribution and marketing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implement effective market access strategy and gain market acceptance for our future products, if any;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manage our spending as costs and expenses increase due to clinical trials, regulatory approvals and commercialization activities. </w:t>
      </w:r>
    </w:p>
    <w:p>
      <w:pPr>
        <w:pStyle w:val="TextBody"/>
        <w:bidi w:val="0"/>
        <w:spacing w:before="240" w:after="283"/>
        <w:jc w:val="both"/>
        <w:rPr>
          <w:rFonts w:ascii="Times New Roman" w:hAnsi="Times New Roman"/>
          <w:sz w:val="20"/>
        </w:rPr>
      </w:pPr>
      <w:r>
        <w:rPr>
          <w:rFonts w:ascii="Arial" w:hAnsi="Arial"/>
          <w:color w:val="000000"/>
          <w:sz w:val="20"/>
        </w:rPr>
        <w:t>If we are unsuccessful in accomplishing these objectives, we will not be able to develop and commercialize any future product candidates independently and could fail to realize the potential advantages of doing so.</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rFonts w:ascii="Arial" w:hAnsi="Arial"/>
          <w:color w:val="000000"/>
          <w:sz w:val="20"/>
        </w:rPr>
      </w:pPr>
      <w:r>
        <w:rPr>
          <w:rFonts w:ascii="Arial" w:hAnsi="Arial"/>
          <w:color w:val="000000"/>
          <w:sz w:val="20"/>
        </w:rPr>
        <w:t>We currently have two clinical-stage drug candidates, each for the treatment of different indications. It is impossible to predict when or if any of our drug candidates will prove to be effective and safe in humans or will receive regulatory approval.</w:t>
      </w:r>
    </w:p>
    <w:p>
      <w:pPr>
        <w:pStyle w:val="TextBody"/>
        <w:bidi w:val="0"/>
        <w:spacing w:before="240" w:after="283"/>
        <w:jc w:val="both"/>
        <w:rPr>
          <w:rFonts w:ascii="Arial" w:hAnsi="Arial"/>
          <w:color w:val="000000"/>
          <w:sz w:val="20"/>
        </w:rPr>
      </w:pPr>
      <w:r>
        <w:rPr>
          <w:rFonts w:ascii="Arial" w:hAnsi="Arial"/>
          <w:color w:val="000000"/>
          <w:sz w:val="20"/>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Clinical trials can also be lengthy due to the challenge of identifying patients. Even if patients are successfully identified, they may fail screening criteria and, as a result, not be enrolled in the trial.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In oncology clinical trials, there is often a need to enroll large numbers of patients, which can be expensive and time-consuming. Failure can occur at any time during the nonclinical study and clinical trial processes, and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we paused further development of our fosgonimeton product candidate after our Phase 2 and Phase 2/3 clinical trials failed to meet their primary endpoints and secondary endpoints.</w:t>
      </w:r>
    </w:p>
    <w:p>
      <w:pPr>
        <w:pStyle w:val="TextBody"/>
        <w:bidi w:val="0"/>
        <w:spacing w:before="240" w:after="283"/>
        <w:jc w:val="both"/>
        <w:rPr>
          <w:rFonts w:ascii="Times New Roman" w:hAnsi="Times New Roman"/>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candidates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our drug candidates are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integrating</w:t>
      </w:r>
      <w:r>
        <w:rPr>
          <w:rFonts w:ascii="Times New Roman" w:hAnsi="Times New Roman"/>
          <w:color w:val="000000"/>
          <w:sz w:val="20"/>
        </w:rPr>
        <w:t xml:space="preserve"> </w:t>
      </w:r>
      <w:r>
        <w:rPr>
          <w:rFonts w:ascii="Arial" w:hAnsi="Arial"/>
          <w:b/>
          <w:i/>
          <w:color w:val="000000"/>
          <w:sz w:val="20"/>
        </w:rPr>
        <w:t>lasofoxifene into our pipeline of product candidates.</w:t>
      </w:r>
    </w:p>
    <w:p>
      <w:pPr>
        <w:pStyle w:val="TextBody"/>
        <w:bidi w:val="0"/>
        <w:spacing w:before="120" w:after="283"/>
        <w:jc w:val="both"/>
        <w:rPr>
          <w:rFonts w:ascii="Times New Roman" w:hAnsi="Times New Roman"/>
          <w:sz w:val="20"/>
        </w:rPr>
      </w:pPr>
      <w:r>
        <w:rPr>
          <w:rFonts w:ascii="Arial" w:hAnsi="Arial"/>
          <w:color w:val="000000"/>
          <w:sz w:val="20"/>
        </w:rPr>
        <w:t>In December 2025, we entered into agreements with Sermonix Pharmaceuticals, Inc. and Ligand Pharmaceuticals Incorporated granting us exclusive licenses and rights to develop, manufacture and commercialize oral forms of the SERM known as lasofoxifene in all countries and territories of the world except for Asia and certain countries in the Middle East.</w:t>
      </w:r>
      <w:r>
        <w:rPr>
          <w:rFonts w:ascii="Times New Roman" w:hAnsi="Times New Roman"/>
          <w:color w:val="212529"/>
          <w:sz w:val="20"/>
        </w:rPr>
        <w:t xml:space="preserve"> </w:t>
      </w:r>
      <w:r>
        <w:rPr>
          <w:rFonts w:ascii="Arial" w:hAnsi="Arial"/>
          <w:color w:val="212529"/>
          <w:sz w:val="20"/>
        </w:rPr>
        <w:t>The development and any potential partnering or independent commercialization of this product candidate will require substantial additional cash to fund the costs associated with conducting the necessary preclinical and clinical testing and obtaining regulatory approval. In addition, the integration of lasofoxifene may also require more time or greater cash resources than we anticipate and expose us to other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and cost in integrating the development of lasofoxifene into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impairment of relationships with key suppliers or service providers involved in the historical development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inability to hire for key areas of need or retain our employees that are necessary for the development of our product candidates and management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possibility of future litigation.</w:t>
      </w:r>
    </w:p>
    <w:p>
      <w:pPr>
        <w:pStyle w:val="TextBody"/>
        <w:bidi w:val="0"/>
        <w:spacing w:before="240" w:after="283"/>
        <w:jc w:val="both"/>
        <w:rPr>
          <w:rFonts w:ascii="Times New Roman" w:hAnsi="Times New Roman"/>
          <w:sz w:val="20"/>
        </w:rPr>
      </w:pPr>
      <w:r>
        <w:rPr>
          <w:rFonts w:ascii="Arial" w:hAnsi="Arial"/>
          <w:color w:val="212529"/>
          <w:sz w:val="20"/>
        </w:rPr>
        <w:t>If any of the foregoing risks materialize it could have a material adverse effect on our business, financial condition and prospects.</w:t>
      </w:r>
      <w:r>
        <w:rPr>
          <w:rFonts w:ascii="Times New Roman" w:hAnsi="Times New Roman"/>
          <w:color w:val="212529"/>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In addition, pursuant to the terms of our December 2025 private placement we are obligated to use the proceeds from the financing for working capital and not for certain other uses, including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defined below). As a result, we may be unable to acquire or in-license other promising drug candidates and technologies or engage in other strategic transactions that may be advantageous.</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36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12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36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360" w:after="283"/>
        <w:jc w:val="both"/>
        <w:rPr>
          <w:rFonts w:ascii="Times New Roman" w:hAnsi="Times New Roman"/>
          <w:sz w:val="20"/>
        </w:rPr>
      </w:pPr>
      <w:r>
        <w:rPr>
          <w:rFonts w:ascii="Arial" w:hAnsi="Arial"/>
          <w:b/>
          <w:i/>
          <w:color w:val="000000"/>
          <w:sz w:val="20"/>
        </w:rPr>
        <w:t>Washington State University (“WSU”) previously announced that it had undertaken a review of prior claims of potential research misconduct involving our former chief executive officer’s doctoral research at WSU. We cannot predict what conclusions WSU has reached or may reach in the future, whether or when WSU would share its conclusions with us or the public, and what effect, if any, this review could have on our business and reputation</w:t>
      </w:r>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In connection with 2021 claims of potential research misconduct involving our former chief executive officer’s research at WSU, WSU previously announced that it would undertake a review of these claims. These claims precipitated an investigation by our board of directors, securities class action and shareholder derivative litigation, and a Department of Justice civil investigation that have all since been resolved. We cannot predict what, if any, effect this review may have on our business and reputation, including with regards to our in-licensed patents and our relationship with WSU, from which we in-license patents underlying our previous lead drug candidate, fosgonimeton.</w:t>
      </w:r>
    </w:p>
    <w:p>
      <w:pPr>
        <w:pStyle w:val="TextBody"/>
        <w:bidi w:val="0"/>
        <w:spacing w:before="36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36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projected timeline for announcing our topline data for lasofoxifene,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clinical trials or third-party clinical trials for similar indications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timely completion of our clinical trials in accordance with their protocols and applicable requirements depends, among other things, on our ability to enroll a sufficient number of participants who remain in the study until its conclusion. 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timelines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lasofoxifene,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36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Specifically, there are a large number of companies developing or marketing treatments for cancer, including many major pharmaceutical and biotechnology companies.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Arial" w:hAnsi="Arial"/>
          <w:color w:val="000000"/>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subsections of this Annual Report on Form 10-K titled “Competition” under the section titled “Business”.</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candidates we develop, we may be unable to obtain approval of or market such combination therapy.</w:t>
      </w:r>
    </w:p>
    <w:p>
      <w:pPr>
        <w:pStyle w:val="TextBody"/>
        <w:bidi w:val="0"/>
        <w:spacing w:before="360" w:after="283"/>
        <w:jc w:val="both"/>
        <w:rPr>
          <w:rFonts w:ascii="Arial" w:hAnsi="Arial"/>
          <w:b/>
          <w:i/>
          <w:color w:val="000000"/>
          <w:sz w:val="20"/>
        </w:rPr>
      </w:pPr>
      <w:r>
        <w:rPr>
          <w:rFonts w:ascii="Arial" w:hAnsi="Arial"/>
          <w:b/>
          <w:i/>
          <w:color w:val="000000"/>
          <w:sz w:val="20"/>
        </w:rPr>
        <w:t>We may not realize all the anticipated benefits of our corporate rebranding and it may result in unanticipated disruptions to our on-going business.</w:t>
      </w:r>
    </w:p>
    <w:p>
      <w:pPr>
        <w:pStyle w:val="TextBody"/>
        <w:bidi w:val="0"/>
        <w:spacing w:before="120" w:after="283"/>
        <w:jc w:val="both"/>
        <w:rPr>
          <w:rFonts w:ascii="Arial" w:hAnsi="Arial"/>
          <w:color w:val="000000"/>
          <w:sz w:val="20"/>
        </w:rPr>
      </w:pPr>
      <w:r>
        <w:rPr>
          <w:rFonts w:ascii="Arial" w:hAnsi="Arial"/>
          <w:color w:val="000000"/>
          <w:sz w:val="20"/>
        </w:rPr>
        <w:t>In order to reflect our strategic shift to focus on developing lasofoxifene, in addition to ATH-1105, in January 2026 we changed our name and ticker symbol on The Nasdaq Stock Market and re-branded our business (the “Corporate Rebrand”). We may face unanticipated disruptions to our business arising from the Corporate Rebrand, and it may expose us to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Disruptions or unanticipated delays accessing certain markets or segments due to delays or other issues with regulatory approvals, clinical trials, or other updates arising from or related to the Corporate Rebrand;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risks associated with the adoption of a new corporate identity and trade dress;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goodwill and brand equity associated with our legacy brand that will become less prominent over time.</w:t>
      </w:r>
    </w:p>
    <w:p>
      <w:pPr>
        <w:pStyle w:val="TextBody"/>
        <w:bidi w:val="0"/>
        <w:spacing w:before="240" w:after="283"/>
        <w:jc w:val="both"/>
        <w:rPr>
          <w:rFonts w:ascii="Arial" w:hAnsi="Arial"/>
          <w:color w:val="000000"/>
          <w:sz w:val="20"/>
        </w:rPr>
      </w:pPr>
      <w:r>
        <w:rPr>
          <w:rFonts w:ascii="Arial" w:hAnsi="Arial"/>
          <w:color w:val="000000"/>
          <w:sz w:val="20"/>
        </w:rPr>
        <w:t>The Corporate Rebrand has involved and is expected to continue to involve a significant financial and resource investment as we complete this transition. The anticipated benefits of the Corporate Rebrand may not be achieved within the anticipated timeframe, without additional near or long-term investment, or at all. Any of these factors could negatively impact our brand and reputation, decrease or delay the expected accretive effect of the Corporate Rebrand, and negatively impact the price of our common stock.</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Arial" w:hAnsi="Arial"/>
          <w:color w:val="000000"/>
          <w:sz w:val="20"/>
        </w:rPr>
      </w:pPr>
      <w:r>
        <w:rPr>
          <w:rFonts w:ascii="Arial" w:hAnsi="Arial"/>
          <w:color w:val="000000"/>
          <w:sz w:val="20"/>
        </w:rPr>
        <w:t>Risks Related to Our Financial Position and Capital Needs</w:t>
      </w:r>
    </w:p>
    <w:p>
      <w:pPr>
        <w:pStyle w:val="TextBody"/>
        <w:bidi w:val="0"/>
        <w:spacing w:before="12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lasofoxifene and ATH-1105. Developing lasofoxifene and ATH-1105 and conducting clinical trials for the potential treatment of ALS and breast cancer,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 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Accordingly, we will need to obtain substantial additional funding in connection with our continuing operations. As of December 31, 2025, we had cash, cash equivalents and investments of $88.3 million. Based upon our current operating plan, we estimate that our existing cash, cash equivalents and investments will be sufficient to fund our operating expenses and capital expenditure requirements through at least the next 12 months. On December 18, 2025, we entered into a securities purchase agreement with certain institutional investors pursuant to which we issued and sold, by way of a private placement, shares of common stock and pre-funded warrants to purchase common stock, which, provided us with approximately $90 million in gross proceeds, excluding placement agent fees and offering expenses. We are obligated to use such proceeds for working capital and not for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a result, we may be unable to acquire or in-license other promising drug candidates and technologies or engage in other strategic transactions that may be advantageous.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expect to use the proceeds from our December 2025 private placement to fund the clinical development of our product candidates, we will need to raise substantial additional capital to advance these product candidates through later-stage clinical development, partnering or independent commercialization. If we raise additional funds by issuing equity securities, our stockholders will suffer additional dilution, and the terms of any financing may adversely affect the rights of our stockholders.</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clinical trials, including for potential additional indications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EMA and any other regulatory agencies to accept lasofoxifene or ATH-1105 or clinical trial data, as well as data from any completed and planned clinical and nonclinical studies and other work, as the basis for review and approval of lasofoxifene for breast cancer and ATH-1105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costs and timing of seeking and obtaining FDA, EMA and any other regulatory approvals, including ongoing management of regulatory activities;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quality,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Arial" w:hAnsi="Arial"/>
          <w:color w:val="000000"/>
          <w:sz w:val="20"/>
        </w:rPr>
      </w:pPr>
      <w:r>
        <w:rPr>
          <w:rFonts w:ascii="Arial" w:hAnsi="Arial"/>
          <w:color w:val="000000"/>
          <w:sz w:val="20"/>
        </w:rPr>
        <w:t>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addition, in January 2023, we entered into a sales agreement with Cantor Fitzgerald and Co. (“Cantor Fitzgerald”) and BTIG, LLC (“BTIG”) to sell shares of our common stock having aggregate sales proceeds of up to $75.0 million, from time to time, subject to any applicable limitations on sales pursuant to SEC rules and regulations, through an at-the-market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Times New Roman" w:hAnsi="Times New Roman"/>
          <w:sz w:val="20"/>
        </w:rPr>
      </w:pPr>
      <w:r>
        <w:rPr>
          <w:rFonts w:ascii="Arial" w:hAnsi="Arial"/>
          <w:color w:val="000000"/>
          <w:sz w:val="20"/>
        </w:rPr>
        <w:t>Our ability to raise additional funds will depend on financial, economic and other factors, many of which are beyond our control. For example, the recent inflationary economic environment, health epidemics and global conflicts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have an existing ATM equity offering program, however, as described below, we are currently unable to raise capital through our ATM equity offering program due to our loss of Form S-3 eligibility.</w:t>
      </w:r>
    </w:p>
    <w:p>
      <w:pPr>
        <w:pStyle w:val="TextBody"/>
        <w:bidi w:val="0"/>
        <w:spacing w:before="360" w:after="283"/>
        <w:jc w:val="both"/>
        <w:rPr>
          <w:rFonts w:ascii="Arial" w:hAnsi="Arial"/>
          <w:b/>
          <w:i/>
          <w:color w:val="000000"/>
          <w:sz w:val="20"/>
        </w:rPr>
      </w:pPr>
      <w:r>
        <w:rPr>
          <w:rFonts w:ascii="Arial" w:hAnsi="Arial"/>
          <w:b/>
          <w:i/>
          <w:color w:val="000000"/>
          <w:sz w:val="20"/>
        </w:rPr>
        <w:t>As a result of our failure to timely file a Current Report on Form 8-K, we are currently ineligible to file registration statements on Form S-3, which may impair our ability to raise capital on terms favorable to us, in a timely manner or at all.</w:t>
      </w:r>
    </w:p>
    <w:p>
      <w:pPr>
        <w:pStyle w:val="TextBody"/>
        <w:bidi w:val="0"/>
        <w:spacing w:before="240" w:after="283"/>
        <w:jc w:val="both"/>
        <w:rPr>
          <w:rFonts w:ascii="Times New Roman" w:hAnsi="Times New Roman"/>
          <w:sz w:val="20"/>
        </w:rPr>
      </w:pPr>
      <w:r>
        <w:rPr>
          <w:rFonts w:ascii="Arial" w:hAnsi="Arial"/>
          <w:color w:val="000000"/>
          <w:sz w:val="20"/>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result of our failure to timely file a Current Report on Form 8-K, we are currently ineligible to use a Registration Statement on Form S-3 through December 2026. Our inability to use Form S-3 may significantly impair our ability to raise capital expeditiously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Disclosing a public offering prior to the formal commencement of an offering may result in downward pressure on our stock price.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Our ability to register securities for resale may also be limited as a result of the loss of Form S-3 eligibility. The foregoing limitations on our financing approaches could prevent us from pursuing transactions or implementing business strategies that would be beneficial to our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become obligated to pay liquidated damages if we fail to obtain effectiveness and maintain effectiveness of registration statements in accordance with the terms of registration rights agreements related to our December 2025 private placement and Sermonix Securities issuance.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w:t>
      </w:r>
      <w:r>
        <w:rPr>
          <w:rFonts w:ascii="Times New Roman" w:hAnsi="Times New Roman"/>
          <w:color w:val="000000"/>
          <w:sz w:val="20"/>
        </w:rPr>
        <w:t xml:space="preserve"> </w:t>
      </w:r>
      <w:r>
        <w:rPr>
          <w:rFonts w:ascii="Arial" w:hAnsi="Arial"/>
          <w:color w:val="000000"/>
          <w:sz w:val="20"/>
        </w:rPr>
        <w:t>connection with our December 2025 private placement and Sermonix Securities issuance, we granted to the purchasers of securities in the private placement and to Sermonix, respectively, certain resale registration rights pursuant to registration rights agreements with such parties. In connection with such registration rights, the purchasers and Sermonix may be entitled to receive liquidated damages upon the occurrence, or failure to occur, of a number of events relating to the filing, effectiveness and maintenance of effectiveness of a registration statement related to the securities issued in the December 2025 private placement and the Sermonix Securities, respectively. The liquidated damages will be payable upon the occurrence, or failure to occur, of each of those events and each monthly anniversary thereof until cured. The amount of liquidated damages payable per monthly period would be equal to 1% of the aggregate purchase price paid by the purchasers. While we timely filed the resale registration statements in January 2026, as of the date of this report, these resale registration statements have not yet been declared effective by the SEC and we may be unsuccessful in obtaining effectiveness of the resale registration statements in a timely manner and, as a result, would incur liquidated damages until we regain compliance with our obligations under the registration rights agreements.</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$105.6 million and $96.9 million for the year ended December 31, 2025 and 2024</w:t>
      </w:r>
      <w:r>
        <w:rPr>
          <w:rFonts w:ascii="Arial" w:hAnsi="Arial"/>
          <w:color w:val="212529"/>
          <w:sz w:val="20"/>
        </w:rPr>
        <w:t>, respectively, and an accumulated deficit of $511.8 million as of December 31, 2025.</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 including with respect to our license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potential future legal proceedings, and addressing potential stockholder activism.</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36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120" w:after="283"/>
        <w:jc w:val="both"/>
        <w:rPr>
          <w:rFonts w:ascii="Times New Roman" w:hAnsi="Times New Roman"/>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Valley Bank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36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120" w:after="283"/>
        <w:jc w:val="both"/>
        <w:rPr>
          <w:rFonts w:ascii="Arial" w:hAnsi="Arial"/>
          <w:color w:val="000000"/>
          <w:sz w:val="20"/>
        </w:rPr>
      </w:pPr>
      <w:r>
        <w:rPr>
          <w:rFonts w:ascii="Arial" w:hAnsi="Arial"/>
          <w:color w:val="000000"/>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360" w:after="283"/>
        <w:jc w:val="both"/>
        <w:rPr>
          <w:rFonts w:ascii="Times New Roman" w:hAnsi="Times New Roman"/>
          <w:sz w:val="20"/>
        </w:rPr>
      </w:pPr>
      <w:r>
        <w:rPr>
          <w:rFonts w:ascii="Arial" w:hAnsi="Arial"/>
          <w:b/>
          <w:i/>
          <w:color w:val="000000"/>
          <w:sz w:val="20"/>
        </w:rPr>
        <w:t>Our ability to use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of December 31, 2025, we had federal net operating loss carryforwards(“NOLs”) to offset future taxable income of approximately $9.5 million and federal tax credit carryforwards of approximately $17.2 million, which expire over a period of 6 to 12 years. Federal NOLs of $259.8 million generated after the 2017 tax year will carry forward indefinitely and will be subject to the 80% of taxable income limitation. As of December 31, 2025, we also had state NOLs of $5 million, which expire over a period of 17 to 20 years. A lack of future taxable income would adversely affect our ability to utilize these NOLs.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under Section 382 of the Internal Revenue Code of 1986, as amended(“the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pStyle w:val="TextBody"/>
        <w:bidi w:val="0"/>
        <w:spacing w:before="240" w:after="283"/>
        <w:jc w:val="both"/>
        <w:rPr>
          <w:rFonts w:ascii="Arial" w:hAnsi="Arial"/>
          <w:color w:val="000000"/>
          <w:sz w:val="20"/>
        </w:rPr>
      </w:pPr>
      <w:r>
        <w:rPr>
          <w:rFonts w:ascii="Arial" w:hAnsi="Arial"/>
          <w:color w:val="000000"/>
          <w:sz w:val="20"/>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utilization of state NOLs may also be limited under similar provisions of state law. We have recorded a full valuation allowance related to our NOLs and other deferred tax assets due to the uncertainty of the ultimate realization of the future benefits of those assets.</w:t>
      </w:r>
    </w:p>
    <w:p>
      <w:pPr>
        <w:pStyle w:val="TextBody"/>
        <w:bidi w:val="0"/>
        <w:spacing w:before="360" w:after="283"/>
        <w:jc w:val="both"/>
        <w:rPr>
          <w:rFonts w:ascii="Arial" w:hAnsi="Arial"/>
          <w:b/>
          <w:i/>
          <w:color w:val="000000"/>
          <w:sz w:val="20"/>
        </w:rPr>
      </w:pPr>
      <w:r>
        <w:rPr>
          <w:rFonts w:ascii="Arial" w:hAnsi="Arial"/>
          <w:b/>
          <w:i/>
          <w:color w:val="000000"/>
          <w:sz w:val="20"/>
        </w:rPr>
        <w:t>Changes in tax laws could have a material adverse effect on our business, cash flows, results of operations or financial condition.</w:t>
      </w:r>
    </w:p>
    <w:p>
      <w:pPr>
        <w:pStyle w:val="TextBody"/>
        <w:bidi w:val="0"/>
        <w:spacing w:before="120" w:after="283"/>
        <w:jc w:val="both"/>
        <w:rPr>
          <w:rFonts w:ascii="Arial" w:hAnsi="Arial"/>
          <w:color w:val="000000"/>
          <w:sz w:val="20"/>
        </w:rPr>
      </w:pPr>
      <w:r>
        <w:rPr>
          <w:rFonts w:ascii="Arial" w:hAnsi="Arial"/>
          <w:color w:val="000000"/>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 OBBB on the Company.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Arial" w:hAnsi="Arial"/>
          <w:color w:val="000000"/>
          <w:sz w:val="20"/>
        </w:rPr>
      </w:pPr>
      <w:r>
        <w:rPr>
          <w:rFonts w:ascii="Arial" w:hAnsi="Arial"/>
          <w:color w:val="000000"/>
          <w:sz w:val="20"/>
        </w:rPr>
        <w:t>Risks Related to Regulatory Approval and Other Legal Compliance Matters</w:t>
      </w:r>
    </w:p>
    <w:p>
      <w:pPr>
        <w:pStyle w:val="TextBody"/>
        <w:bidi w:val="0"/>
        <w:spacing w:before="12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Further, under the current administration, agency reorganization, government shutdown, lapse of U.S. government appropriations,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Further, FDA's “real-time</w:t>
      </w:r>
      <w:r>
        <w:rPr>
          <w:rFonts w:ascii="Times New Roman" w:hAnsi="Times New Roman"/>
          <w:color w:val="212529"/>
          <w:sz w:val="20"/>
        </w:rPr>
        <w:t>”</w:t>
      </w:r>
      <w:r>
        <w:rPr>
          <w:rFonts w:ascii="Times New Roman" w:hAnsi="Times New Roman"/>
          <w:color w:val="000000"/>
          <w:sz w:val="20"/>
        </w:rPr>
        <w:t xml:space="preserve"> </w:t>
      </w:r>
      <w:r>
        <w:rPr>
          <w:rFonts w:ascii="Arial" w:hAnsi="Arial"/>
          <w:color w:val="000000"/>
          <w:sz w:val="20"/>
        </w:rPr>
        <w:t>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 government shutdown lead to disruptions in FDA’s operations, including changes in funding for certain programs at the FDA, correspondence and regulatory review processes with the FDA may be materially delayed.</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pStyle w:val="TextBody"/>
        <w:bidi w:val="0"/>
        <w:spacing w:before="240" w:after="283"/>
        <w:jc w:val="both"/>
        <w:rPr>
          <w:rFonts w:ascii="Arial" w:hAnsi="Arial"/>
          <w:color w:val="000000"/>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36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good laboratory practice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ability of the FDA to review and approve new products can be affected by a variety of factors, including changes in the administration, changes in the agency leadership, agency reorganization, mass layoffs, budget cuts, lapse in government appropriations, and other initiatives implemented by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executive orders and other policies promulgated by the administration, travel restrictions, public health or geopolitical issues, staffing shortages or layoffs, government shutdown,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 (“OIG”)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pStyle w:val="TextBody"/>
        <w:bidi w:val="0"/>
        <w:spacing w:before="36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as a condition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Times New Roman" w:hAnsi="Times New Roman"/>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36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36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Heading1"/>
        <w:bidi w:val="0"/>
        <w:spacing w:before="360" w:after="283"/>
        <w:jc w:val="left"/>
        <w:rPr>
          <w:rFonts w:ascii="Arial" w:hAnsi="Arial"/>
          <w:color w:val="000000"/>
          <w:sz w:val="20"/>
        </w:rPr>
      </w:pPr>
      <w:r>
        <w:rPr>
          <w:rFonts w:ascii="Arial" w:hAnsi="Arial"/>
          <w:color w:val="000000"/>
          <w:sz w:val="20"/>
        </w:rPr>
        <w:t>Risks Related to Our Reliance on Third Parties</w:t>
      </w:r>
    </w:p>
    <w:p>
      <w:pPr>
        <w:pStyle w:val="TextBody"/>
        <w:bidi w:val="0"/>
        <w:spacing w:before="12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120" w:after="283"/>
        <w:jc w:val="both"/>
        <w:rPr>
          <w:rFonts w:ascii="Times New Roman" w:hAnsi="Times New Roman"/>
          <w:sz w:val="20"/>
        </w:rPr>
      </w:pPr>
      <w:r>
        <w:rPr>
          <w:rFonts w:ascii="Arial" w:hAnsi="Arial"/>
          <w:color w:val="000000"/>
          <w:sz w:val="20"/>
        </w:rPr>
        <w:t>We own or in-license worldwide intellectual property rights to our drug candidates, including lasofoxifene and ATH-1105. We have in the past and, where appropriate in the future,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color w:val="000000"/>
          <w:sz w:val="20"/>
        </w:rPr>
        <w:t>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Arial" w:hAnsi="Arial"/>
          <w:color w:val="000000"/>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36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rFonts w:ascii="Arial" w:hAnsi="Arial"/>
          <w:color w:val="000000"/>
          <w:sz w:val="20"/>
        </w:rPr>
      </w:pPr>
      <w:r>
        <w:rPr>
          <w:rFonts w:ascii="Arial" w:hAnsi="Arial"/>
          <w:color w:val="000000"/>
          <w:sz w:val="20"/>
        </w:rPr>
        <w:t>We have in the past in-licensed product candidates, including lasofoxifene, and from time to time, we may evaluate future acquisition opportunities and strategic transactions and partnerships, including licensing or acquiring complementary products, intellectual property rights, technologies or businesses. Any acquisition, license, or strategic partnership or potential acquisition or strategic partnership entails and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connection with our in-license of lasofoxifene, we issued dilutive securities, assumed certain payment obligations, and incurred significant transaction expenses. Such obligations and expenses could increase in the future as we integrate this product candidate into our operations and as we progress their development. 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36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commercial manufacturing organizations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Times New Roman" w:hAnsi="Times New Roman"/>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 As a result of our in-license of lasofoxifene, we are working with a number of third parties involved in the development of those product candidates with whom we do not have a prior relationship. Our new relationships with these parties are subject to the risks described above and we will need to develop a strong working relationship with these parties in the near-term to help drive the clinical development of lasofoxifene in a timely manner and we may not be successful in these efforts.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360" w:after="283"/>
        <w:jc w:val="both"/>
        <w:rPr>
          <w:rFonts w:ascii="Times New Roman" w:hAnsi="Times New Roman"/>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2025, new legislation known as the BIOSECURE Act was passed into law and imposes limits on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pStyle w:val="TextBody"/>
        <w:bidi w:val="0"/>
        <w:spacing w:before="240" w:after="283"/>
        <w:jc w:val="both"/>
        <w:rPr>
          <w:rFonts w:ascii="Arial" w:hAnsi="Arial"/>
          <w:color w:val="000000"/>
          <w:sz w:val="20"/>
        </w:rPr>
      </w:pPr>
      <w:r>
        <w:rPr>
          <w:rFonts w:ascii="Arial" w:hAnsi="Arial"/>
          <w:color w:val="000000"/>
          <w:sz w:val="20"/>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pStyle w:val="TextBody"/>
        <w:bidi w:val="0"/>
        <w:spacing w:before="240" w:after="283"/>
        <w:jc w:val="both"/>
        <w:rPr>
          <w:rFonts w:ascii="Arial" w:hAnsi="Arial"/>
          <w:color w:val="000000"/>
          <w:sz w:val="20"/>
        </w:rPr>
      </w:pPr>
      <w:r>
        <w:rPr>
          <w:rFonts w:ascii="Arial" w:hAnsi="Arial"/>
          <w:color w:val="000000"/>
          <w:sz w:val="20"/>
        </w:rPr>
        <w:t>Relatedly, the United States has recently enacted and proposed to enact significant new tariffs on a number of countries. President Trump has directed various federal agencies to further evaluate key aspects of U.S. trade policy and there have been and may continue to be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pStyle w:val="TextBody"/>
        <w:bidi w:val="0"/>
        <w:spacing w:before="240" w:after="283"/>
        <w:jc w:val="both"/>
        <w:rPr>
          <w:rFonts w:ascii="Arial" w:hAnsi="Arial"/>
          <w:color w:val="000000"/>
          <w:sz w:val="20"/>
        </w:rPr>
      </w:pPr>
      <w:r>
        <w:rPr>
          <w:rFonts w:ascii="Arial" w:hAnsi="Arial"/>
          <w:color w:val="000000"/>
          <w:sz w:val="20"/>
        </w:rPr>
        <w:t>The tariff situation remains volatile. For example, a February 20, 2026, ruling from the U.S. Supreme Court invalidated the President’s recent invocation of the International Emergency Economic Powers Act (“IEEPA”) to authorize certain recent tariff actions, and these tariffs were rescinded on February 24, 2026. Details regarding the availability, timing, and amount of any refunds remains uncertain and subject to further litigation and legal, regulatory, and administrative actions. The U.S. government subsequently announced plans to implement a new global “temporary import surcharge” of 15% on many of the same imported products beginning February 24, 2026, under authorities provided for in Section 122 of the Trade Act of 1974, supplementing non-IEEPA tariff measures. Further tariffs may also be forthcoming following the initiation and completion of additional Section 301 tariff investigations. We cannot predict what products and services may be subject to such actions or what actions may be taken by the other countries in retaliation, any of which may materially and adversely affect our business, financial condition, results of operations, and cash flows.</w:t>
      </w:r>
    </w:p>
    <w:p>
      <w:pPr>
        <w:pStyle w:val="TextBody"/>
        <w:bidi w:val="0"/>
        <w:spacing w:before="36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36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12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Heading1"/>
        <w:bidi w:val="0"/>
        <w:spacing w:before="360" w:after="283"/>
        <w:jc w:val="left"/>
        <w:rPr>
          <w:rFonts w:ascii="Arial" w:hAnsi="Arial"/>
          <w:color w:val="000000"/>
          <w:sz w:val="20"/>
        </w:rPr>
      </w:pPr>
      <w:r>
        <w:rPr>
          <w:rFonts w:ascii="Arial" w:hAnsi="Arial"/>
          <w:color w:val="000000"/>
          <w:sz w:val="20"/>
        </w:rPr>
        <w:t>Risks Related to Our Ability to Commercialize our Drug Products</w:t>
      </w:r>
    </w:p>
    <w:p>
      <w:pPr>
        <w:pStyle w:val="TextBody"/>
        <w:bidi w:val="0"/>
        <w:spacing w:before="12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36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36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120" w:after="283"/>
        <w:jc w:val="both"/>
        <w:rPr>
          <w:rFonts w:ascii="Arial" w:hAnsi="Arial"/>
          <w:color w:val="000000"/>
          <w:sz w:val="20"/>
        </w:rPr>
      </w:pPr>
      <w:r>
        <w:rPr>
          <w:rFonts w:ascii="Arial" w:hAnsi="Arial"/>
          <w:color w:val="000000"/>
          <w:sz w:val="20"/>
        </w:rPr>
        <w:t>Certain of our drug candidates (currently ATH-1105) are being developed as treatments for various CNS and PNS disorder indications, and lasofoxifene is being developed as a treatment for breast cancer.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 relevant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Patients with cancer and other diseases targeted by lasofoxifene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lasofoxifene or our product candidates. Such events could subject us to costly litigation, require us to pay substantial amounts of money to injured patients, delay, negatively impact or end the opportunity to receive or maintain regulatory approval to market lasofoxifene or our product candidates, or require us or our strategic partners to suspend or abandon commercialization efforts. Even in circumstances in which we do not believe that an adverse event is related to lasofoxifene or our product candidates, the investigation into the circumstance may be time-consuming or inconclusive, and may result in reputational harm. These investigations may interrupt our sales efforts, delay our regulatory approval process in other countries, or impact and limit the type of regulatory approvals lasofoxifene or our product candidates receive or maintain. As a result of these factors, a product liability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claim, even if successfully defended, could have a material adverse effect on our business,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000000"/>
          <w:sz w:val="20"/>
        </w:rPr>
      </w:pPr>
      <w:r>
        <w:rPr>
          <w:rFonts w:ascii="Arial" w:hAnsi="Arial"/>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Arial" w:hAnsi="Arial"/>
          <w:color w:val="000000"/>
          <w:sz w:val="20"/>
        </w:rPr>
      </w:pPr>
      <w:r>
        <w:rPr>
          <w:rFonts w:ascii="Arial" w:hAnsi="Arial"/>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U.S. or non-U.S. tariffs, trade barriers, price and exchange controls and other regulatory requirements, including any changes that nations may impose as a result of 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Arial" w:hAnsi="Arial"/>
          <w:color w:val="000000"/>
          <w:sz w:val="20"/>
        </w:rPr>
      </w:pPr>
      <w:r>
        <w:rPr>
          <w:rFonts w:ascii="Arial" w:hAnsi="Arial"/>
          <w:color w:val="000000"/>
          <w:sz w:val="20"/>
        </w:rPr>
        <w:t>Risks Related to Our Intellectual Property</w:t>
      </w:r>
    </w:p>
    <w:p>
      <w:pPr>
        <w:pStyle w:val="TextBody"/>
        <w:bidi w:val="0"/>
        <w:spacing w:before="12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review(“PGR”), and inter partes review(“IPR”),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36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36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Arial" w:hAnsi="Arial"/>
          <w:color w:val="000000"/>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Times New Roman" w:hAnsi="Times New Roman"/>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36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12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36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On September 16,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36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 development and clinical trials by referencing our clinical and nonclinical data and launch their drug product earlier than might otherwise be the case.</w:t>
      </w:r>
    </w:p>
    <w:p>
      <w:pPr>
        <w:pStyle w:val="TextBody"/>
        <w:bidi w:val="0"/>
        <w:spacing w:before="36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Times New Roman" w:hAnsi="Times New Roman"/>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of our proprietary technology and other confidential information, then our ability to obtain patent protection or to protect our trade secret information may be jeopardized.</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36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36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36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Pursuant to the Bayh-Dole Act of 1980 (the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Heading1"/>
        <w:bidi w:val="0"/>
        <w:spacing w:before="360" w:after="283"/>
        <w:jc w:val="left"/>
        <w:rPr>
          <w:rFonts w:ascii="Arial" w:hAnsi="Arial"/>
          <w:color w:val="000000"/>
          <w:sz w:val="20"/>
        </w:rPr>
      </w:pPr>
      <w:r>
        <w:rPr>
          <w:rFonts w:ascii="Arial" w:hAnsi="Arial"/>
          <w:color w:val="000000"/>
          <w:sz w:val="20"/>
        </w:rPr>
        <w:t>Risks Related to Cybersecurity</w:t>
      </w:r>
    </w:p>
    <w:p>
      <w:pPr>
        <w:pStyle w:val="TextBody"/>
        <w:bidi w:val="0"/>
        <w:spacing w:before="12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discussed in the section of this report titled “Part 1, Item 1.C—Cybersecurity”,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Times New Roman" w:hAnsi="Times New Roman"/>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Area(“EEA”), is subject to the EU General Data Protection Regulation(“GDPR”).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 United Kingdom(“UK”) also made amendments to its data protection regime on June 19, 2025, in the UK Data (Use and Access) Act(“DUAA”). The European Commission has renewed its decision that the UK provides an adequate level of data protection and that generally permits personal data transfers from the EEA to the UK after assessing the DUAA, but it remains subject to potential revocation or modification.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the exit of the UK from the EU has created uncertainty regarding data protection regulation in the UK. 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24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left"/>
        <w:rPr>
          <w:rFonts w:ascii="Arial" w:hAnsi="Arial"/>
          <w:color w:val="000000"/>
          <w:sz w:val="20"/>
        </w:rPr>
      </w:pPr>
      <w:r>
        <w:rPr>
          <w:rFonts w:ascii="Arial" w:hAnsi="Arial"/>
          <w:color w:val="000000"/>
          <w:sz w:val="20"/>
        </w:rPr>
        <w:t>Risks Related to Ownership of Our Common Stock</w:t>
      </w:r>
    </w:p>
    <w:p>
      <w:pPr>
        <w:pStyle w:val="TextBody"/>
        <w:bidi w:val="0"/>
        <w:spacing w:before="12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commencement of any litigation and/or governmental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24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customs, tariffs or trade barriers, or the perception that any such changes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Future sales, or the perception of future sales, of a substantial amount of our common stock could depress the trading price of our common stock.</w:t>
      </w:r>
    </w:p>
    <w:p>
      <w:pPr>
        <w:pStyle w:val="TextBody"/>
        <w:bidi w:val="0"/>
        <w:spacing w:before="120" w:after="283"/>
        <w:jc w:val="both"/>
        <w:rPr>
          <w:rFonts w:ascii="Arial" w:hAnsi="Arial"/>
          <w:color w:val="000000"/>
          <w:sz w:val="20"/>
        </w:rPr>
      </w:pPr>
      <w:r>
        <w:rPr>
          <w:rFonts w:ascii="Arial" w:hAnsi="Arial"/>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both"/>
        <w:rPr>
          <w:rFonts w:ascii="Times New Roman" w:hAnsi="Times New Roman"/>
          <w:sz w:val="20"/>
        </w:rPr>
      </w:pPr>
      <w:r>
        <w:rPr>
          <w:rFonts w:ascii="Arial" w:hAnsi="Arial"/>
          <w:color w:val="000000"/>
          <w:sz w:val="20"/>
        </w:rPr>
        <w:t>For example, in connection with our December 2025 private placement and our in-license of lasofoxifene, we entered into registration rights agreements with various parties that require us to prepare and file resale registration statements upon request, which when filed and declared effective by the SEC will permit the resale by such stockholders of approximately 5.4 million shares of our common stock as well as approximately 58.6 million shares of common stock issuable upon the exercise of prefunded warrants and warrants. We have in the past and may again in the future issue shares of our common stock to strategic partners in connection with license agreements, as we did in December 2025 in connection with our in-license of lasofoxifene.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also register the offer and sale of all shares of common stock that we may issue under our equity incentive plans. Once we register the offer and sale of shares for the holders of registration rights and option holders, they can be freely sold in the public market upon issuance, subject to any related lock-up agreements or applicable securities laws. Our equity incentive plan also includes an evergreen provision, pursuant to which the share reserve used to make equity grants under such plan automatically increases on the first day of each calendar year unless our board of directors takes action to prevent the increase prior to such date. We believe this evergreen provision is an important feature of our equity incentive plan as it enables us to hire and retain key contributors to our business. As we look to expand the size of our organization to advance the development of our product candidates, including lasofoxifene and ATH-1105, our existing share reserve and evergreen provision under our current equity incentive plans may be insufficient to support our growth plans and we expect that we may need to consider amendments to such equity incentive plans or adoption of new equity incentive plans to provide additional flexibility for our hiring and retention plans. Any increase to the share reserves for our equity incentive plans in the future would further dilute existing stockholders.</w:t>
      </w:r>
    </w:p>
    <w:p>
      <w:pPr>
        <w:pStyle w:val="TextBody"/>
        <w:bidi w:val="0"/>
        <w:spacing w:before="24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executive officers and directors may enter into Rule 10b5-1 trading plans in the future. Under a Rule 10b5-1 trading plan, a broker executes trades pursuant to parameters established by the employee, director, or officer when entering into the plan, without further direction from the employee, officer, or director.</w:t>
      </w:r>
    </w:p>
    <w:p>
      <w:pPr>
        <w:pStyle w:val="TextBody"/>
        <w:bidi w:val="0"/>
        <w:spacing w:before="240" w:after="283"/>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additional issuances pursuant to our “at-the-market” equity offering sales agreement with Cantor Fitzgerald, could result in substantial dilution to our existing stockholders and could cause our stock price to decline.</w:t>
      </w:r>
    </w:p>
    <w:p>
      <w:pPr>
        <w:pStyle w:val="TextBody"/>
        <w:bidi w:val="0"/>
        <w:spacing w:before="360" w:after="283"/>
        <w:jc w:val="both"/>
        <w:rPr>
          <w:rFonts w:ascii="Times New Roman" w:hAnsi="Times New Roman"/>
          <w:sz w:val="20"/>
        </w:rPr>
      </w:pPr>
      <w:r>
        <w:rPr>
          <w:rFonts w:ascii="Arial" w:hAnsi="Arial"/>
          <w:b/>
          <w:i/>
          <w:color w:val="000000"/>
          <w:sz w:val="20"/>
        </w:rPr>
        <w:t>Our reverse stock split to regain compliance with the Nasdaq Capital Market Minimum Bid Requirement may not result in a lasting proportional increase in the per share price of our common stock and may decrease the liquidity of our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Nasdaq Listing Rule 5450(a)(1) requires listed securities to maintain the Minimum Bid Requirement, and Nasdaq Listing Rule 5810(c)(3)(A) provides that a failure to meet the Minimum Bid Requirement exists if the deficiency continues for a period of 30 consecutive business days. On October 16, 2024, we received written notice from the Listing Qualifications Department of Nasdaq notifying us that, based on the closing bid price of our common stock for the previous 30 consecutive business days, we did not comply with the Minimum Bid Requirement for continued listing on The Nasdaq Global Market, and that we had until April 14, 2025 to regain such compliance. On April 15, 2025, we received a letter from Nasdaq approving the transfer of the listing of the Company’s common stock from the Nasdaq Global Select Market to the Nasdaq Capital Market, granting an additional 180-day grace period, or until October 13, 2025, to regain compliance with the Minimum Bid Requirement. To regain compliance, our board of directors and stockholders approved a 1-for-10 reverse stock split. Although we have regained compliance with the Nasdaq’s listing standards, the long-term effect of the reverse stock split, if any, on the market price for our common stock cannot be accurately predicted. Since the effective date of the reverse stock split on September 17, 2025, the trading price of our common stock increased. From time to time it has traded below the proportionately-adjusted closing price on September 17, 2025. Because some investors may view a reverse stock split negatively, any such decrease may be the result, at least in part, of the reverse stock split. Further, the liquidity of the shares of our common stock may be affected adversely by the reverse stock split given the reduced number of shares that are outstanding following the reverse stock split.</w:t>
      </w:r>
    </w:p>
    <w:p>
      <w:pPr>
        <w:pStyle w:val="TextBody"/>
        <w:bidi w:val="0"/>
        <w:spacing w:before="360" w:after="283"/>
        <w:jc w:val="both"/>
        <w:rPr>
          <w:rFonts w:ascii="Times New Roman" w:hAnsi="Times New Roman"/>
          <w:sz w:val="20"/>
        </w:rPr>
      </w:pPr>
      <w:r>
        <w:rPr>
          <w:rFonts w:ascii="Arial" w:hAnsi="Arial"/>
          <w:b/>
          <w:i/>
          <w:color w:val="000000"/>
          <w:sz w:val="20"/>
        </w:rPr>
        <w:t>We and certain of our directors and executive officers have previously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36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At times our market capitalization has been less than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aggregate value of our cash, cash equivalents and investments, and other biotechnology companies in this situation have received proposals from shareholder activists to liquidate and return capital to investors. Any such proxy contest or other activist efforts could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any such actions were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36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Our directors, executive officers and significant stockholders collectively own a substantial percentage of our common stock, which could limit your ability to affect the outcome of key transactions, including a change of control.</w:t>
      </w:r>
    </w:p>
    <w:p>
      <w:pPr>
        <w:pStyle w:val="TextBody"/>
        <w:bidi w:val="0"/>
        <w:spacing w:before="12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collectively beneficially own a substantial amount of our outstanding common stock as of December 31, 2025.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are a “smaller reporting company” and a “non-accelerated filer”, and the reduced disclosure requirements available to us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 “smaller reporting company” and a “non-accelerated filer.” For so long as we remain a smaller reporting company, we are permitted and plan to rely on exemptions from certain disclosure requirements that are applicable to other public companies that are not smaller reporting companies, which include reduced disclosure obligations regarding executive compensation.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(the “Sarbanes-Oxley Act”). As a result, the information we provide stockholders will be different than the information that is available with respect to certain other public companies. We cannot predict whether investors will find our common stock less attractive if we rely on these exemptions. If some investors find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36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240" w:after="283"/>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36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Heading1"/>
        <w:bidi w:val="0"/>
        <w:spacing w:before="360" w:after="283"/>
        <w:jc w:val="left"/>
        <w:rPr>
          <w:rFonts w:ascii="Arial" w:hAnsi="Arial"/>
          <w:color w:val="000000"/>
          <w:sz w:val="20"/>
        </w:rPr>
      </w:pPr>
      <w:r>
        <w:rPr>
          <w:rFonts w:ascii="Arial" w:hAnsi="Arial"/>
          <w:color w:val="000000"/>
          <w:sz w:val="20"/>
        </w:rPr>
        <w:t>General Risk Factors</w:t>
      </w:r>
    </w:p>
    <w:p>
      <w:pPr>
        <w:pStyle w:val="TextBody"/>
        <w:bidi w:val="0"/>
        <w:spacing w:before="12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12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We expect to hire a significant number of such employees in the near term as we pursue the clinical development of lasofoxifene, and as we continue to develop ATH-1105.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color w:val="000000"/>
          <w:sz w:val="20"/>
        </w:rPr>
      </w:pPr>
      <w:r>
        <w:rPr>
          <w:rFonts w:ascii="Arial" w:hAnsi="Arial"/>
          <w:color w:val="000000"/>
          <w:sz w:val="20"/>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pStyle w:val="TextBody"/>
        <w:bidi w:val="0"/>
        <w:spacing w:before="36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12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w:t>
      </w:r>
      <w:r>
        <w:rPr>
          <w:rFonts w:ascii="Times New Roman" w:hAnsi="Times New Roman"/>
          <w:color w:val="000000"/>
          <w:sz w:val="20"/>
        </w:rPr>
        <w:t>’</w:t>
      </w:r>
      <w:r>
        <w:rPr>
          <w:rFonts w:ascii="Times New Roman" w:hAnsi="Times New Roman"/>
          <w:color w:val="212529"/>
          <w:sz w:val="20"/>
        </w:rPr>
        <w:t xml:space="preserve"> </w:t>
      </w:r>
      <w:r>
        <w:rPr>
          <w:rFonts w:ascii="Arial" w:hAnsi="Arial"/>
          <w:color w:val="212529"/>
          <w:sz w:val="20"/>
        </w:rPr>
        <w:t>fees), criminal and other liability, assessment, or settlement. Such an allegation,</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212529"/>
          <w:sz w:val="20"/>
        </w:rPr>
      </w:pPr>
      <w:r>
        <w:rPr>
          <w:rFonts w:ascii="Arial" w:hAnsi="Arial"/>
          <w:color w:val="212529"/>
          <w:sz w:val="20"/>
        </w:rPr>
        <w:t>claim, adverse determination, including but not limited to with respect to advisors and consultants that provide services to us could also harm our brand and reputation, which could adversely impact our business.</w:t>
      </w:r>
    </w:p>
    <w:p>
      <w:pPr>
        <w:pStyle w:val="TextBody"/>
        <w:bidi w:val="0"/>
        <w:spacing w:before="36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and particularly after we are no longer a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12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pStyle w:val="TextBody"/>
        <w:bidi w:val="0"/>
        <w:spacing w:before="240" w:after="283"/>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360" w:after="283"/>
        <w:jc w:val="both"/>
        <w:rPr>
          <w:rFonts w:ascii="Times New Roman" w:hAnsi="Times New Roman"/>
          <w:sz w:val="20"/>
        </w:rPr>
      </w:pPr>
      <w:bookmarkStart w:id="6" w:name="item_1b_unresolved_staff_comments"/>
      <w:bookmarkEnd w:id="6"/>
      <w:r>
        <w:rPr>
          <w:rFonts w:ascii="Arial" w:hAnsi="Arial"/>
          <w:b/>
          <w:color w:val="000000"/>
          <w:sz w:val="20"/>
        </w:rPr>
        <w:t>Item 1B. Unresolved</w:t>
      </w:r>
      <w:r>
        <w:rPr>
          <w:rFonts w:ascii="Times New Roman" w:hAnsi="Times New Roman"/>
          <w:color w:val="000000"/>
          <w:sz w:val="20"/>
        </w:rPr>
        <w:t xml:space="preserve"> </w:t>
      </w:r>
      <w:r>
        <w:rPr>
          <w:rFonts w:ascii="Arial" w:hAnsi="Arial"/>
          <w:b/>
          <w:color w:val="000000"/>
          <w:sz w:val="20"/>
        </w:rPr>
        <w:t>Staff Comments.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bookmarkStart w:id="7" w:name="item_1c_cybersecurity"/>
      <w:bookmarkEnd w:id="7"/>
      <w:r>
        <w:rPr>
          <w:rFonts w:ascii="Arial" w:hAnsi="Arial"/>
          <w:b/>
          <w:color w:val="000000"/>
          <w:sz w:val="20"/>
        </w:rPr>
        <w:t>Item 1C. Cybersecurity.</w:t>
      </w:r>
    </w:p>
    <w:p>
      <w:pPr>
        <w:pStyle w:val="TextBody"/>
        <w:bidi w:val="0"/>
        <w:spacing w:before="360" w:after="283"/>
        <w:jc w:val="both"/>
        <w:rPr>
          <w:rFonts w:ascii="Arial" w:hAnsi="Arial"/>
          <w:b/>
          <w:color w:val="000000"/>
          <w:sz w:val="20"/>
        </w:rPr>
      </w:pPr>
      <w:r>
        <w:rPr>
          <w:rFonts w:ascii="Arial" w:hAnsi="Arial"/>
          <w:b/>
          <w:color w:val="000000"/>
          <w:sz w:val="20"/>
        </w:rPr>
        <w:t>Cybersecurity Risk Management Strategy</w:t>
      </w:r>
    </w:p>
    <w:p>
      <w:pPr>
        <w:pStyle w:val="TextBody"/>
        <w:bidi w:val="0"/>
        <w:spacing w:before="120" w:after="283"/>
        <w:jc w:val="both"/>
        <w:rPr>
          <w:rFonts w:ascii="Arial" w:hAnsi="Arial"/>
          <w:color w:val="000000"/>
          <w:sz w:val="20"/>
        </w:rPr>
      </w:pPr>
      <w:r>
        <w:rPr>
          <w:rFonts w:ascii="Arial" w:hAnsi="Arial"/>
          <w:color w:val="000000"/>
          <w:sz w:val="20"/>
        </w:rPr>
        <w:t>We have implemented various processes and policies for identifying, assessing, and managing material risks from cybersecurity threats. Our cybersecurity risk management strategy is designed following the Cybersecurity Framework set by the National Institute of Standard and Technology ("NIST).</w:t>
      </w:r>
    </w:p>
    <w:p>
      <w:pPr>
        <w:pStyle w:val="TextBody"/>
        <w:bidi w:val="0"/>
        <w:spacing w:before="240" w:after="283"/>
        <w:jc w:val="both"/>
        <w:rPr>
          <w:rFonts w:ascii="Arial" w:hAnsi="Arial"/>
          <w:color w:val="000000"/>
          <w:sz w:val="20"/>
        </w:rPr>
      </w:pPr>
      <w:r>
        <w:rPr>
          <w:rFonts w:ascii="Arial" w:hAnsi="Arial"/>
          <w:color w:val="000000"/>
          <w:sz w:val="20"/>
        </w:rPr>
        <w:t>We assess our information technology ("IT") environment against the NIST Cybersecurity Framework, as well as various cyber-attack vectors, working to identify and remediate risks. We implement reasonable administrative, technical and procedural safeguards to manage cybersecurity risks, for example, by enforcing single sign-on or multi-factor authentication where supported, and the use of mobile device management to secure company resources on employee personal devices. Additionally, we engage third-party cybersecurity experts to assess the security of our network and perform continuous system monitoring, and we engage a third party to perform internal audits of our IT General Controls ("ITGCs"). We have implemented certain processes to oversee and identify risks from cybersecurity threats associated with our use of third-party service providers, for example, by evaluating such service providers’ own cybersecurity processes and reviewing available certification and audit reports, including International Organization for Standardization certifications for information security management systems, and System and Organization Controls reports.</w:t>
      </w:r>
    </w:p>
    <w:p>
      <w:pPr>
        <w:pStyle w:val="TextBody"/>
        <w:bidi w:val="0"/>
        <w:spacing w:before="240" w:after="283"/>
        <w:jc w:val="both"/>
        <w:rPr>
          <w:rFonts w:ascii="Times New Roman" w:hAnsi="Times New Roman"/>
          <w:sz w:val="20"/>
        </w:rPr>
      </w:pPr>
      <w:r>
        <w:rPr>
          <w:rFonts w:ascii="Arial" w:hAnsi="Arial"/>
          <w:color w:val="000000"/>
          <w:sz w:val="20"/>
        </w:rPr>
        <w:t>At this time, we have not experienced cybersecurity incidents, or are aware of any risks from cybersecurity threats, that have materially affected or are reasonably likely to materially affect us, including our business strategy, results of operations, or financial condition.</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Cybersecurity Governance</w:t>
      </w:r>
    </w:p>
    <w:p>
      <w:pPr>
        <w:pStyle w:val="TextBody"/>
        <w:bidi w:val="0"/>
        <w:spacing w:before="120" w:after="283"/>
        <w:jc w:val="both"/>
        <w:rPr>
          <w:rFonts w:ascii="Arial" w:hAnsi="Arial"/>
          <w:i/>
          <w:color w:val="000000"/>
          <w:sz w:val="20"/>
        </w:rPr>
      </w:pPr>
      <w:r>
        <w:rPr>
          <w:rFonts w:ascii="Arial" w:hAnsi="Arial"/>
          <w:i/>
          <w:color w:val="000000"/>
          <w:sz w:val="20"/>
        </w:rPr>
        <w:t>Board of Directors</w:t>
      </w:r>
    </w:p>
    <w:p>
      <w:pPr>
        <w:pStyle w:val="TextBody"/>
        <w:bidi w:val="0"/>
        <w:spacing w:before="120" w:after="283"/>
        <w:jc w:val="both"/>
        <w:rPr>
          <w:rFonts w:ascii="Times New Roman" w:hAnsi="Times New Roman"/>
          <w:sz w:val="20"/>
        </w:rPr>
      </w:pPr>
      <w:r>
        <w:rPr>
          <w:rFonts w:ascii="Arial" w:hAnsi="Arial"/>
          <w:color w:val="000000"/>
          <w:sz w:val="20"/>
        </w:rPr>
        <w:t>Our board of directors is responsible for general oversight and regular review of information regarding our risks, including cybersecurity risks.</w:t>
      </w:r>
      <w:r>
        <w:rPr>
          <w:rFonts w:ascii="Times New Roman" w:hAnsi="Times New Roman"/>
          <w:color w:val="000000"/>
          <w:sz w:val="20"/>
        </w:rPr>
        <w:t xml:space="preserve"> </w:t>
      </w:r>
      <w:r>
        <w:rPr>
          <w:rFonts w:ascii="Arial" w:hAnsi="Arial"/>
          <w:color w:val="000000"/>
          <w:sz w:val="20"/>
        </w:rPr>
        <w:t>Members of management communicate an overview of our current cybersecurity environment to our board of directors at least annually and provide updates to our board of directors regarding cybersecurity matters periodically throughout the year.</w:t>
      </w:r>
      <w:r>
        <w:rPr>
          <w:rFonts w:ascii="Times New Roman" w:hAnsi="Times New Roman"/>
          <w:color w:val="000000"/>
          <w:sz w:val="20"/>
        </w:rPr>
        <w:t xml:space="preserve"> </w:t>
      </w:r>
      <w:r>
        <w:rPr>
          <w:rFonts w:ascii="Arial" w:hAnsi="Arial"/>
          <w:color w:val="000000"/>
          <w:sz w:val="20"/>
        </w:rPr>
        <w:t>Additionally, our third-party auditors inform the audit committee of our board of directors of our ITGC framework and control testing results, which include controls related to cybersecurity risks. Further, management has established cybersecurity incident response processes for escalating the communication of cybersecurity incidents up to the board of directors, as appropriate.</w:t>
      </w:r>
    </w:p>
    <w:p>
      <w:pPr>
        <w:pStyle w:val="TextBody"/>
        <w:bidi w:val="0"/>
        <w:spacing w:before="240" w:after="283"/>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20"/>
        </w:rPr>
      </w:pPr>
      <w:r>
        <w:rPr>
          <w:rFonts w:ascii="Arial" w:hAnsi="Arial"/>
          <w:i/>
          <w:color w:val="000000"/>
          <w:sz w:val="20"/>
        </w:rPr>
        <w:t>Management</w:t>
      </w:r>
    </w:p>
    <w:p>
      <w:pPr>
        <w:pStyle w:val="TextBody"/>
        <w:bidi w:val="0"/>
        <w:spacing w:before="120" w:after="283"/>
        <w:jc w:val="both"/>
        <w:rPr>
          <w:rFonts w:ascii="Times New Roman" w:hAnsi="Times New Roman"/>
          <w:sz w:val="20"/>
        </w:rPr>
      </w:pPr>
      <w:r>
        <w:rPr>
          <w:rFonts w:ascii="Arial" w:hAnsi="Arial"/>
          <w:color w:val="000000"/>
          <w:sz w:val="20"/>
        </w:rPr>
        <w:t>Material risks from cybersecurity threats are assessed and managed by a dedicated team comprised of internal and external IT professionals experienced in cybersecurity threat risk management, who ultimately report to our senior vice president, finance and accounting.</w:t>
      </w:r>
      <w:r>
        <w:rPr>
          <w:rFonts w:ascii="Times New Roman" w:hAnsi="Times New Roman"/>
          <w:color w:val="000000"/>
          <w:sz w:val="20"/>
        </w:rPr>
        <w:t xml:space="preserve"> </w:t>
      </w:r>
      <w:r>
        <w:rPr>
          <w:rFonts w:ascii="Arial" w:hAnsi="Arial"/>
          <w:color w:val="000000"/>
          <w:sz w:val="20"/>
        </w:rPr>
        <w:t>Our chief financial officer has extensive operational and leadership experience overseeing accounting and finance functions at various organizations, including oversight of critical accounting and finance IT systems. Our director of IT has over 15 years of experience with IT and cybersecurity risk management.</w:t>
      </w:r>
    </w:p>
    <w:p>
      <w:pPr>
        <w:pStyle w:val="TextBody"/>
        <w:bidi w:val="0"/>
        <w:spacing w:before="240" w:after="283"/>
        <w:jc w:val="both"/>
        <w:rPr>
          <w:rFonts w:ascii="Times New Roman" w:hAnsi="Times New Roman"/>
          <w:sz w:val="20"/>
        </w:rPr>
      </w:pPr>
      <w:r>
        <w:rPr>
          <w:rFonts w:ascii="Arial" w:hAnsi="Arial"/>
          <w:color w:val="000000"/>
          <w:sz w:val="20"/>
        </w:rPr>
        <w:t>Our team of IT professionals, which continuously monitors our IT environment for cybersecurity threats and incidents, routinely reports on cybersecurity incident prevention, detection, mitigation, and remediation efforts to our chief financial officer and chief compliance officer.</w:t>
      </w:r>
      <w:r>
        <w:rPr>
          <w:rFonts w:ascii="Times New Roman" w:hAnsi="Times New Roman"/>
          <w:color w:val="000000"/>
          <w:sz w:val="20"/>
        </w:rPr>
        <w:t xml:space="preserve"> </w:t>
      </w:r>
      <w:r>
        <w:rPr>
          <w:rFonts w:ascii="Arial" w:hAnsi="Arial"/>
          <w:color w:val="000000"/>
          <w:sz w:val="20"/>
        </w:rPr>
        <w:t>Additionally, we have established policies addressing processes for responding to potential cybersecurity incidents, including assessment, communication, and remediation protocols. Our incident response processes further provide for the escalation of cybersecurity incidents to our executive management team and board of directors, as appropriate.</w:t>
      </w:r>
    </w:p>
    <w:p>
      <w:pPr>
        <w:pStyle w:val="TextBody"/>
        <w:bidi w:val="0"/>
        <w:spacing w:before="360" w:after="283"/>
        <w:jc w:val="both"/>
        <w:rPr>
          <w:rFonts w:ascii="Times New Roman" w:hAnsi="Times New Roman"/>
          <w:sz w:val="20"/>
        </w:rPr>
      </w:pPr>
      <w:bookmarkStart w:id="8" w:name="item_2_properties"/>
      <w:bookmarkEnd w:id="8"/>
      <w:r>
        <w:rPr>
          <w:rFonts w:ascii="Arial" w:hAnsi="Arial"/>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corporate headquarters is located in Bothell, Washington, where we currently lease approximately 19,326 square feet of laboratory and office space, which leases expire in August 2027. We believe these facilities will be adequate for the foreseeable future and that suitable additional or substitute space will be available as and when needed.</w:t>
      </w:r>
    </w:p>
    <w:p>
      <w:pPr>
        <w:pStyle w:val="TextBody"/>
        <w:bidi w:val="0"/>
        <w:spacing w:before="360" w:after="283"/>
        <w:jc w:val="both"/>
        <w:rPr>
          <w:rFonts w:ascii="Times New Roman" w:hAnsi="Times New Roman"/>
          <w:sz w:val="20"/>
        </w:rPr>
      </w:pPr>
      <w:bookmarkStart w:id="9" w:name="item_3_legal_proceedings"/>
      <w:bookmarkEnd w:id="9"/>
      <w:r>
        <w:rPr>
          <w:rFonts w:ascii="Arial" w:hAnsi="Arial"/>
          <w:b/>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are subject to various legal proceedings or claims that arise in the ordinary course of business. As of December 31,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both"/>
        <w:rPr>
          <w:rFonts w:ascii="Arial" w:hAnsi="Arial"/>
          <w:b/>
          <w:color w:val="000000"/>
          <w:sz w:val="20"/>
        </w:rPr>
      </w:pPr>
      <w:bookmarkStart w:id="10" w:name="item_4_mine_safety_disclosures"/>
      <w:bookmarkEnd w:id="10"/>
      <w:r>
        <w:rPr>
          <w:rFonts w:ascii="Arial" w:hAnsi="Arial"/>
          <w:b/>
          <w:color w:val="000000"/>
          <w:sz w:val="20"/>
        </w:rPr>
        <w:t>Item 4. Mine Safety Disclosures.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1" w:name="part_ii"/>
      <w:bookmarkEnd w:id="11"/>
      <w:r>
        <w:rPr>
          <w:rFonts w:ascii="Arial" w:hAnsi="Arial"/>
          <w:b/>
          <w:color w:val="000000"/>
          <w:sz w:val="20"/>
        </w:rPr>
        <w:t>PART II</w:t>
      </w:r>
    </w:p>
    <w:p>
      <w:pPr>
        <w:pStyle w:val="TextBody"/>
        <w:bidi w:val="0"/>
        <w:spacing w:before="240" w:after="283"/>
        <w:jc w:val="both"/>
        <w:rPr>
          <w:rFonts w:ascii="Times New Roman" w:hAnsi="Times New Roman"/>
          <w:sz w:val="20"/>
        </w:rPr>
      </w:pPr>
      <w:bookmarkStart w:id="12" w:name="item_5_market_for_registrants_common_equ"/>
      <w:bookmarkEnd w:id="12"/>
      <w:r>
        <w:rPr>
          <w:rFonts w:ascii="Arial" w:hAnsi="Arial"/>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both"/>
        <w:rPr>
          <w:rFonts w:ascii="Arial" w:hAnsi="Arial"/>
          <w:b/>
          <w:color w:val="000000"/>
          <w:sz w:val="20"/>
        </w:rPr>
      </w:pPr>
      <w:r>
        <w:rPr>
          <w:rFonts w:ascii="Arial" w:hAnsi="Arial"/>
          <w:b/>
          <w:color w:val="000000"/>
          <w:sz w:val="20"/>
        </w:rPr>
        <w:t>Market Information for Common Stock</w:t>
      </w:r>
    </w:p>
    <w:p>
      <w:pPr>
        <w:pStyle w:val="TextBody"/>
        <w:bidi w:val="0"/>
        <w:spacing w:before="120" w:after="283"/>
        <w:jc w:val="both"/>
        <w:rPr>
          <w:rFonts w:ascii="Times New Roman" w:hAnsi="Times New Roman"/>
          <w:sz w:val="20"/>
        </w:rPr>
      </w:pPr>
      <w:r>
        <w:rPr>
          <w:rFonts w:ascii="Arial" w:hAnsi="Arial"/>
          <w:color w:val="000000"/>
          <w:sz w:val="20"/>
        </w:rPr>
        <w:t>Our common stock is traded on The Nasdaq Capital Market under the symbol “LONA”.</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Holders of Record</w:t>
      </w:r>
    </w:p>
    <w:p>
      <w:pPr>
        <w:pStyle w:val="TextBody"/>
        <w:bidi w:val="0"/>
        <w:spacing w:before="120" w:after="283"/>
        <w:jc w:val="both"/>
        <w:rPr>
          <w:rFonts w:ascii="Arial" w:hAnsi="Arial"/>
          <w:color w:val="000000"/>
          <w:sz w:val="20"/>
        </w:rPr>
      </w:pPr>
      <w:r>
        <w:rPr>
          <w:rFonts w:ascii="Arial" w:hAnsi="Arial"/>
          <w:color w:val="000000"/>
          <w:sz w:val="20"/>
        </w:rPr>
        <w:t>As of March 15, 2026, there were approximately 38 holders of record of our common stock. Because many of our shares are held by brokers and other institutions on behalf of shareholders, we are unable to estimate the total number of shareholders represented by these record holders.</w:t>
      </w:r>
    </w:p>
    <w:p>
      <w:pPr>
        <w:pStyle w:val="TextBody"/>
        <w:bidi w:val="0"/>
        <w:spacing w:before="360" w:after="283"/>
        <w:jc w:val="both"/>
        <w:rPr>
          <w:rFonts w:ascii="Arial" w:hAnsi="Arial"/>
          <w:b/>
          <w:color w:val="000000"/>
          <w:sz w:val="20"/>
        </w:rPr>
      </w:pPr>
      <w:r>
        <w:rPr>
          <w:rFonts w:ascii="Arial" w:hAnsi="Arial"/>
          <w:b/>
          <w:color w:val="000000"/>
          <w:sz w:val="20"/>
        </w:rPr>
        <w:t>Dividend Policy</w:t>
      </w:r>
    </w:p>
    <w:p>
      <w:pPr>
        <w:pStyle w:val="TextBody"/>
        <w:bidi w:val="0"/>
        <w:spacing w:before="120" w:after="283"/>
        <w:jc w:val="both"/>
        <w:rPr>
          <w:rFonts w:ascii="Arial" w:hAnsi="Arial"/>
          <w:color w:val="000000"/>
          <w:sz w:val="20"/>
        </w:rPr>
      </w:pPr>
      <w:r>
        <w:rPr>
          <w:rFonts w:ascii="Arial" w:hAnsi="Arial"/>
          <w:color w:val="000000"/>
          <w:sz w:val="20"/>
        </w:rPr>
        <w:t>We currently intend to retain all available funds and future earnings to fund the development and growth of our business and we do not anticipate paying any cash dividends in the foreseeable future.</w:t>
      </w:r>
    </w:p>
    <w:p>
      <w:pPr>
        <w:pStyle w:val="TextBody"/>
        <w:bidi w:val="0"/>
        <w:spacing w:before="36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r>
        <w:rPr>
          <w:rFonts w:ascii="Arial" w:hAnsi="Arial"/>
          <w:b/>
          <w:color w:val="000000"/>
          <w:sz w:val="20"/>
        </w:rPr>
        <w:t>Stock Performance Graph</w:t>
      </w:r>
    </w:p>
    <w:p>
      <w:pPr>
        <w:pStyle w:val="TextBody"/>
        <w:bidi w:val="0"/>
        <w:spacing w:before="12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201(e) of Regulation S-K.</w:t>
      </w:r>
    </w:p>
    <w:p>
      <w:pPr>
        <w:pStyle w:val="TextBody"/>
        <w:bidi w:val="0"/>
        <w:spacing w:before="360" w:after="283"/>
        <w:jc w:val="both"/>
        <w:rPr>
          <w:rFonts w:ascii="Arial" w:hAnsi="Arial"/>
          <w:b/>
          <w:color w:val="000000"/>
          <w:sz w:val="20"/>
        </w:rPr>
      </w:pPr>
      <w:r>
        <w:rPr>
          <w:rFonts w:ascii="Arial" w:hAnsi="Arial"/>
          <w:b/>
          <w:color w:val="000000"/>
          <w:sz w:val="20"/>
        </w:rPr>
        <w:t>Issuer Repurchases of Equity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bookmarkStart w:id="13" w:name="item_6_selected_financial_data"/>
      <w:bookmarkEnd w:id="13"/>
      <w:r>
        <w:rPr>
          <w:rFonts w:ascii="Arial" w:hAnsi="Arial"/>
          <w:b/>
          <w:color w:val="000000"/>
          <w:sz w:val="20"/>
        </w:rPr>
        <w:t>Item 6. [Reserved].</w:t>
      </w:r>
    </w:p>
    <w:p>
      <w:pPr>
        <w:pStyle w:val="TextBody"/>
        <w:bidi w:val="0"/>
        <w:spacing w:before="240" w:after="283"/>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item_7_managements_discussion_analysis_f"/>
      <w:bookmarkEnd w:id="14"/>
      <w:r>
        <w:rPr>
          <w:rFonts w:ascii="Arial" w:hAnsi="Arial"/>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consolidated financial statements and notes thereto included in Part II, Item 8 of this Annual Report on Form 10-K.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Annual Report on Form 10-K titled “Risk Factors” and elsewhere in this report. You should carefully read the “Risk Factors” to gain an understanding of the important factors that could cause actual results to differ materially from our forward-looking statements. Please also see the section of this report titled “Special Note Regarding Forward-Looking Statements.”</w:t>
      </w:r>
    </w:p>
    <w:p>
      <w:pPr>
        <w:pStyle w:val="TextBody"/>
        <w:bidi w:val="0"/>
        <w:spacing w:before="36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clinical-stage biopharmaceutical company dedicated to the development of novel therapeutics for high unmet medical needs, including treatment-resistant metastatic breast cancer and amyotrophic lateral sclerosis (“ALS”), with the goal of improving patients’ lives.</w:t>
      </w:r>
    </w:p>
    <w:p>
      <w:pPr>
        <w:pStyle w:val="TextBody"/>
        <w:bidi w:val="0"/>
        <w:spacing w:before="240" w:after="283"/>
        <w:jc w:val="both"/>
        <w:rPr>
          <w:rFonts w:ascii="Arial" w:hAnsi="Arial"/>
          <w:color w:val="000000"/>
          <w:sz w:val="20"/>
        </w:rPr>
      </w:pPr>
      <w:r>
        <w:rPr>
          <w:rFonts w:ascii="Arial" w:hAnsi="Arial"/>
          <w:color w:val="000000"/>
          <w:sz w:val="20"/>
        </w:rPr>
        <w:t>Following a review of potential therapeutic and business opportunities, we acquired rights to a promising late-stage asset, lasofoxifene, for the potential treatment of ESR1-mutated (“mESR1”) metastatic breast cancer in December 2025. This late-stage program has generated promising clinical data and we believe it represents a unique and exciting opportunity to diversify our pipeline. We believe this program fits well with our later-stage clinical development experience, and complements our in-house asset, ATH-1105, a Phase-2 ready program for the potential treatment of ALS.</w:t>
      </w:r>
    </w:p>
    <w:p>
      <w:pPr>
        <w:pStyle w:val="TextBody"/>
        <w:bidi w:val="0"/>
        <w:spacing w:before="240" w:after="283"/>
        <w:jc w:val="both"/>
        <w:rPr>
          <w:rFonts w:ascii="Arial" w:hAnsi="Arial"/>
          <w:color w:val="000000"/>
          <w:sz w:val="20"/>
        </w:rPr>
      </w:pPr>
      <w:r>
        <w:rPr>
          <w:rFonts w:ascii="Arial" w:hAnsi="Arial"/>
          <w:color w:val="000000"/>
          <w:sz w:val="20"/>
        </w:rPr>
        <w:t>The drug development landscape in both oncology and neuroscience is evolving rapidly, driven by breakthroughs in genetics, disease biology, and molecular pathway research. We are leveraging this scientific momentum to advance a pipeline of innovative, late-stage assets both internally developed and strategically in-licensed with the goal of accelerating their path to market and maximizing their clinical and commercial impact.</w:t>
      </w:r>
    </w:p>
    <w:p>
      <w:pPr>
        <w:pStyle w:val="TextBody"/>
        <w:bidi w:val="0"/>
        <w:spacing w:before="240" w:after="283"/>
        <w:jc w:val="both"/>
        <w:rPr>
          <w:rFonts w:ascii="Arial" w:hAnsi="Arial"/>
          <w:color w:val="000000"/>
          <w:sz w:val="20"/>
        </w:rPr>
      </w:pPr>
      <w:r>
        <w:rPr>
          <w:rFonts w:ascii="Arial" w:hAnsi="Arial"/>
          <w:color w:val="000000"/>
          <w:sz w:val="20"/>
        </w:rPr>
        <w:t>Our lead drug candidates, lasofoxifene and ATH-1105 ,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w:t>
      </w:r>
    </w:p>
    <w:p>
      <w:pPr>
        <w:pStyle w:val="TextBody"/>
        <w:bidi w:val="0"/>
        <w:spacing w:before="360" w:after="283"/>
        <w:jc w:val="left"/>
        <w:rPr>
          <w:rFonts w:ascii="Arial" w:hAnsi="Arial"/>
          <w:i/>
          <w:color w:val="000000"/>
          <w:sz w:val="20"/>
        </w:rPr>
      </w:pPr>
      <w:r>
        <w:rPr>
          <w:rFonts w:ascii="Arial" w:hAnsi="Arial"/>
          <w:i/>
          <w:color w:val="000000"/>
          <w:sz w:val="20"/>
        </w:rPr>
        <w:t>LeonaBio’s Pipeline</w:t>
      </w:r>
    </w:p>
    <w:p>
      <w:pPr>
        <w:pStyle w:val="TextBody"/>
        <w:bidi w:val="0"/>
        <w:spacing w:before="120" w:after="283"/>
        <w:jc w:val="both"/>
        <w:rPr>
          <w:rFonts w:ascii="Times New Roman" w:hAnsi="Times New Roman"/>
          <w:sz w:val="20"/>
        </w:rPr>
      </w:pPr>
      <w:r>
        <w:rPr>
          <w:rFonts w:ascii="Arial" w:hAnsi="Arial"/>
          <w:color w:val="000000"/>
          <w:sz w:val="20"/>
        </w:rPr>
        <w:t>Figure 1 below illustrates the current development stage of our proprietary drug candidates and early discovery and development programs, of which only lasofoxifene and ATH-1105 are currently in clinical development. Each program targets unmet needs in either oncology or neurology, leveraging differentiated mechanisms of action supported by preclinical and clinical evidence. Lasofoxifene, a selective estrogen receptor modulator (“SERM”), is currently being evaluated in an ongoing registrational Phase 3 trial for metastatic breast cancer with ESR1 mutations. ATH-1105, a small-molecule positive modulator of the neurotrophic HGF system, has completed a first-in-human Phase 1 trial, and planning for a Phase 2 clinical trial for the treatment of ALS is underway. We aim to advance these programs with a focus on disciplined clinical strategy and execution, data-driven decision making, and potential commercialization following receipt of applicable regulatory approvals. We are exploring the use of our drug candidates that enhance the neurotrophic HGF system, including ATH-1020, with the goal of improving neuronal health and function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 multiple neurological diseases. In addition, our drug discovery efforts have focused on designing and testing new early compounds directed towards novel targets for a variety of clinical applications.</w:t>
      </w:r>
    </w:p>
    <w:p>
      <w:pPr>
        <w:pStyle w:val="TextBody"/>
        <w:bidi w:val="0"/>
        <w:spacing w:before="360" w:after="283"/>
        <w:jc w:val="left"/>
        <w:rPr>
          <w:rFonts w:ascii="Arial" w:hAnsi="Arial"/>
          <w:i/>
          <w:color w:val="000000"/>
          <w:sz w:val="20"/>
        </w:rPr>
      </w:pPr>
      <w:r>
        <w:rPr>
          <w:rFonts w:ascii="Arial" w:hAnsi="Arial"/>
          <w:i/>
          <w:color w:val="000000"/>
          <w:sz w:val="20"/>
        </w:rPr>
        <w:t>Figure 1. Summary of Our Preclinical and Clinical Programs.</w:t>
      </w:r>
    </w:p>
    <w:p>
      <w:pPr>
        <w:pStyle w:val="TextBody"/>
        <w:bidi w:val="0"/>
        <w:jc w:val="left"/>
        <w:rPr/>
      </w:pPr>
      <w:r>
        <w:rPr/>
        <w:t> </w:t>
      </w:r>
    </w:p>
    <w:p>
      <w:pPr>
        <w:pStyle w:val="TextBody"/>
        <w:bidi w:val="0"/>
        <w:spacing w:before="0" w:after="240"/>
        <w:jc w:val="center"/>
        <w:rPr/>
      </w:pPr>
      <w:r>
        <w:rPr/>
        <w:drawing>
          <wp:inline distT="0" distB="0" distL="0" distR="0">
            <wp:extent cx="5943600" cy="2133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943600" cy="2133600"/>
                    </a:xfrm>
                    <a:prstGeom prst="rect">
                      <a:avLst/>
                    </a:prstGeom>
                  </pic:spPr>
                </pic:pic>
              </a:graphicData>
            </a:graphic>
          </wp:inline>
        </w:drawing>
      </w:r>
    </w:p>
    <w:p>
      <w:pPr>
        <w:pStyle w:val="TextBody"/>
        <w:bidi w:val="0"/>
        <w:jc w:val="both"/>
        <w:rPr>
          <w:rFonts w:ascii="Arial" w:hAnsi="Arial"/>
          <w:color w:val="000000"/>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pStyle w:val="TextBody"/>
        <w:bidi w:val="0"/>
        <w:spacing w:before="24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CMOs to manufacture and supply our preclinical and clinical materials during the development of our drug candidates. We believe the synthesis of lasofoxifene and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4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in a subsequent follow-on public offering and in our December 2025 private placement, the sale and issuance of convertible preferred stock, common stock warrants, and convertible notes, and to a lesser extent from grant income and stock option exercises. From inception to December 31, 2025, we have raised aggregate net cash proceeds of approximately $489.8 million primarily from the issuance of our common stock (excluding option exercises), convertible preferred stock, common stock warrants, and convertible notes. We have incurred significant operating losses to date. Our net losses were $105.6 million and $96.9 million for the years ended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December 31, 2025 and 2024, respectively. As of December 31, 2025, we had an accumulated deficit of $511.8 million and cash, cash equivalents and investments of $88.3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lasofoxifene, ATH-1105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advance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protect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24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360" w:after="283"/>
        <w:jc w:val="both"/>
        <w:rPr>
          <w:rFonts w:ascii="Arial" w:hAnsi="Arial"/>
          <w:b/>
          <w:color w:val="000000"/>
          <w:sz w:val="20"/>
        </w:rPr>
      </w:pPr>
      <w:r>
        <w:rPr>
          <w:rFonts w:ascii="Arial" w:hAnsi="Arial"/>
          <w:b/>
          <w:color w:val="000000"/>
          <w:sz w:val="20"/>
        </w:rPr>
        <w:t>Recent Developments</w:t>
      </w:r>
    </w:p>
    <w:p>
      <w:pPr>
        <w:pStyle w:val="TextBody"/>
        <w:bidi w:val="0"/>
        <w:spacing w:before="120" w:after="283"/>
        <w:jc w:val="both"/>
        <w:rPr>
          <w:rFonts w:ascii="Arial" w:hAnsi="Arial"/>
          <w:b/>
          <w:i/>
          <w:color w:val="000000"/>
          <w:sz w:val="20"/>
        </w:rPr>
      </w:pPr>
      <w:r>
        <w:rPr>
          <w:rFonts w:ascii="Arial" w:hAnsi="Arial"/>
          <w:b/>
          <w:i/>
          <w:color w:val="000000"/>
          <w:sz w:val="20"/>
        </w:rPr>
        <w:t>December 2025 Private Placement Financing</w:t>
      </w:r>
    </w:p>
    <w:p>
      <w:pPr>
        <w:pStyle w:val="TextBody"/>
        <w:bidi w:val="0"/>
        <w:spacing w:before="120" w:after="283"/>
        <w:jc w:val="both"/>
        <w:rPr>
          <w:rFonts w:ascii="Times New Roman" w:hAnsi="Times New Roman"/>
          <w:sz w:val="20"/>
        </w:rPr>
      </w:pPr>
      <w:r>
        <w:rPr>
          <w:rFonts w:ascii="Arial" w:hAnsi="Arial"/>
          <w:color w:val="000000"/>
          <w:sz w:val="20"/>
        </w:rPr>
        <w:t>In December 2025, in connection with our entry into the Sermonix License and the Ligand Agreement, we entered into a securities purchase agreement (the “PIPE Securities Purchase Agreement”) with a select group of investors, including Commodore Capital LP ("Commodore"), TCG Crossover Management LLC ("TCGX"), Perceptive Life Sciences Master Fund, Ltd, Perceptive Xontogeny Venture Fund II, LP (together with Perceptive Life Sciences Master Fund, Ltd, “Perceptive”) and other accredited investors, one of which is affiliated with a member of our board of directors (collectively, the “PIPE Purchasers”), pursuant to which we issued and sold, by way of a private placement which closed on December 23, 2025 (the “Private Placement”), an aggregate of (a) 5,356,547 shares of our common stock, (b) pre-funded warrants to purchase 8,816,684 shares of our common stock and (c) accompanying warrants to purchase 23,031,494 shares of our common stock and/or shares underlying pre-funded warrants and (d) accompanying warrants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to purchase 21,259,842 shares of our common stock and/or shares underlying pre-funded warrants. Gross proceeds from the Private Placement were approximately $90 million, excluding placement agent fees and offering expenses.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Workforce Reduction</w:t>
      </w:r>
    </w:p>
    <w:p>
      <w:pPr>
        <w:pStyle w:val="TextBody"/>
        <w:bidi w:val="0"/>
        <w:spacing w:before="120" w:after="283"/>
        <w:jc w:val="both"/>
        <w:rPr>
          <w:rFonts w:ascii="Arial" w:hAnsi="Arial"/>
          <w:color w:val="000000"/>
          <w:sz w:val="20"/>
        </w:rPr>
      </w:pPr>
      <w:r>
        <w:rPr>
          <w:rFonts w:ascii="Arial" w:hAnsi="Arial"/>
          <w:color w:val="000000"/>
          <w:sz w:val="20"/>
        </w:rPr>
        <w:t>On September 15, 2024, we committed to a workforce reduction that resulted in the termination of approximately 70% of our workforce. We took this step to decrease our costs, extend our cash runway, and create a more streamlined organization to support our strategic priorities, including the continued development of ATH-1105. We substantially completed the Restructuring by December 31, 2024. See Note 14 to our consolidated financial statements included elsewhere in this report for additional information.</w:t>
      </w:r>
    </w:p>
    <w:p>
      <w:pPr>
        <w:pStyle w:val="TextBody"/>
        <w:bidi w:val="0"/>
        <w:spacing w:before="36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including lasofoxifene and ATH-1105.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pStyle w:val="TextBody"/>
        <w:bidi w:val="0"/>
        <w:spacing w:before="240" w:after="283"/>
        <w:jc w:val="both"/>
        <w:rPr>
          <w:rFonts w:ascii="Times New Roman" w:hAnsi="Times New Roman"/>
          <w:sz w:val="20"/>
        </w:rPr>
      </w:pPr>
      <w:r>
        <w:rPr>
          <w:rFonts w:ascii="Arial" w:hAnsi="Arial"/>
          <w:color w:val="000000"/>
          <w:sz w:val="20"/>
        </w:rPr>
        <w:t>We cannot reasonably determine the nature, timing, and estimated costs of the efforts that will be necessary to complete the development of, and obtain regulatory approval for, any of our drug candidates, including lasofoxifene or ATH-1105. Drug candidates in later stages of development generally have higher development costs than those in earlier stages. We expect to continue to incur increased research and development expenses for the foreseeable future as we continue to engage in research and development activities related to developing our drug candidates, including lasofoxifene and ATH-1105,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activities related to lasofoxifene and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collaborations, licensing or similar arrangements and the performance of any related third parties.</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General and Administrative</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40" w:after="283"/>
        <w:jc w:val="center"/>
        <w:rPr>
          <w:rFonts w:ascii="Arial" w:hAnsi="Arial"/>
          <w:color w:val="000000"/>
          <w:sz w:val="20"/>
        </w:rPr>
      </w:pPr>
      <w:r>
        <w:rPr>
          <w:rFonts w:ascii="Arial" w:hAnsi="Arial"/>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next several quarters as we continue to expend our cash balances to fund our ongoing operations.</w:t>
      </w:r>
    </w:p>
    <w:p>
      <w:pPr>
        <w:pStyle w:val="TextBody"/>
        <w:bidi w:val="0"/>
        <w:spacing w:before="360" w:after="283"/>
        <w:jc w:val="both"/>
        <w:rPr>
          <w:rFonts w:ascii="Arial" w:hAnsi="Arial"/>
          <w:b/>
          <w:color w:val="000000"/>
          <w:sz w:val="20"/>
        </w:rPr>
      </w:pPr>
      <w:r>
        <w:rPr>
          <w:rFonts w:ascii="Arial" w:hAnsi="Arial"/>
          <w:b/>
          <w:color w:val="000000"/>
          <w:sz w:val="20"/>
        </w:rPr>
        <w:t>Results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Years Ended December 31, 2025 and 2024</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9856" w:type="dxa"/>
        <w:jc w:val="left"/>
        <w:tblInd w:w="0" w:type="dxa"/>
        <w:tblLayout w:type="fixed"/>
        <w:tblCellMar>
          <w:top w:w="28" w:type="dxa"/>
          <w:left w:w="28" w:type="dxa"/>
          <w:bottom w:w="28" w:type="dxa"/>
          <w:right w:w="28" w:type="dxa"/>
        </w:tblCellMar>
      </w:tblPr>
      <w:tblGrid>
        <w:gridCol w:w="4366"/>
        <w:gridCol w:w="146"/>
        <w:gridCol w:w="211"/>
        <w:gridCol w:w="841"/>
        <w:gridCol w:w="166"/>
        <w:gridCol w:w="146"/>
        <w:gridCol w:w="211"/>
        <w:gridCol w:w="841"/>
        <w:gridCol w:w="166"/>
        <w:gridCol w:w="146"/>
        <w:gridCol w:w="211"/>
        <w:gridCol w:w="736"/>
        <w:gridCol w:w="166"/>
        <w:gridCol w:w="146"/>
        <w:gridCol w:w="202"/>
        <w:gridCol w:w="564"/>
        <w:gridCol w:w="5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Helvetica LT Pro;sans-serif" w:hAnsi="Helvetica LT Pro;sans-serif"/>
                <w:color w:val="000000"/>
                <w:sz w:val="18"/>
              </w:rPr>
            </w:pPr>
            <w:r>
              <w:rPr>
                <w:rFonts w:ascii="Helvetica LT Pro;sans-serif" w:hAnsi="Helvetica LT Pro;sans-serif"/>
                <w:color w:val="000000"/>
                <w:sz w:val="18"/>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Helvetica LT Pro;sans-serif" w:hAnsi="Helvetica LT Pro;sans-serif"/>
                <w:color w:val="000000"/>
                <w:sz w:val="18"/>
              </w:rPr>
            </w:pPr>
            <w:r>
              <w:rPr>
                <w:rFonts w:ascii="Helvetica LT Pro;sans-serif" w:hAnsi="Helvetica LT Pro;sans-serif"/>
                <w:color w:val="000000"/>
                <w:sz w:val="18"/>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-69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18"/>
              </w:rPr>
            </w:pPr>
            <w:r>
              <w:rPr>
                <w:rFonts w:ascii="Helvetica LT Pro;sans-serif" w:hAnsi="Helvetica LT Pro;sans-serif"/>
                <w:color w:val="000000"/>
                <w:sz w:val="18"/>
              </w:rPr>
              <w:t>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236" w:type="dxa"/>
        <w:jc w:val="left"/>
        <w:tblInd w:w="0" w:type="dxa"/>
        <w:tblLayout w:type="fixed"/>
        <w:tblCellMar>
          <w:top w:w="28" w:type="dxa"/>
          <w:left w:w="28" w:type="dxa"/>
          <w:bottom w:w="28" w:type="dxa"/>
          <w:right w:w="28" w:type="dxa"/>
        </w:tblCellMar>
      </w:tblPr>
      <w:tblGrid>
        <w:gridCol w:w="4191"/>
        <w:gridCol w:w="146"/>
        <w:gridCol w:w="211"/>
        <w:gridCol w:w="676"/>
        <w:gridCol w:w="146"/>
        <w:gridCol w:w="146"/>
        <w:gridCol w:w="211"/>
        <w:gridCol w:w="676"/>
        <w:gridCol w:w="146"/>
        <w:gridCol w:w="146"/>
        <w:gridCol w:w="211"/>
        <w:gridCol w:w="736"/>
        <w:gridCol w:w="166"/>
        <w:gridCol w:w="146"/>
        <w:gridCol w:w="214"/>
        <w:gridCol w:w="552"/>
        <w:gridCol w:w="516"/>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Lasofoxifene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Preclinical programs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60" w:after="283"/>
        <w:jc w:val="both"/>
        <w:rPr>
          <w:rFonts w:ascii="Times New Roman" w:hAnsi="Times New Roman"/>
          <w:sz w:val="20"/>
        </w:rPr>
      </w:pPr>
      <w:r>
        <w:rPr>
          <w:rFonts w:ascii="Arial" w:hAnsi="Arial"/>
          <w:color w:val="000000"/>
          <w:sz w:val="20"/>
        </w:rPr>
        <w:t>Research and development expenses increased by $14.9 million, from $70.7 million for the year ended December 31, 2024 to $85.6 million for the year ended December 31, 2025. The increase was driven primarily by acquired in-process research and development costs related to our license of lasofoxifene. Refer to Note 3 to our consolidated financial statements included elsewhere in this report for further discussion of this cost. Additionally there were costs associated with the ELAINE-3 trial for lasofoxifene in 2025. This increase was primarily offset by reductions in spend related to ATH-1017 and ATH-1105 in 2025 compared to 2024, as well as smaller reductions in spend related to ATH-1020 and other preclinical programs and direct costs. The decrease in ATH-1017 costs of $39.2 million were driven by decreases in contract research organization, other third party vendors and clinical site visit costs of $30.0 million following the completion of our Phase 2/3 LIFT-AD clinical trial and the conclusion of our corresponding open-label extension for our Phase 2 ACT-AD and Phase 2/3 LIFT-AD clinical trials in the prior year and a decrease in contract manufacturing costs of $7.0 million. The decrease in ATH-1105 costs of $5.5 million were driven by decreases in contract research organization, other third party vendors and clinical site visit costs of $3.0 million following the completion of the Phase 1 study at the end of 2024 and a decrease in research and development costs of $1.6 million.</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Times New Roman" w:hAnsi="Times New Roman"/>
          <w:sz w:val="20"/>
        </w:rPr>
      </w:pPr>
      <w:r>
        <w:rPr>
          <w:rFonts w:ascii="Arial" w:hAnsi="Arial"/>
          <w:color w:val="000000"/>
          <w:sz w:val="20"/>
        </w:rPr>
        <w:t>General and administrative expenses decreased by $9.4 million, from $26.1 million for the year ended December 31, 2024 to $16.7 million for the year ended December 31, 2025. The decrease was primarily due to a decrease in professional services expenses of $5 million, and a decrease in personnel-related expenses of $7.1 million as we operated in 2025 with fewer employees than 2024 as we pursued our strategic alternative review process.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Legal Expense</w:t>
      </w:r>
    </w:p>
    <w:p>
      <w:pPr>
        <w:pStyle w:val="TextBody"/>
        <w:bidi w:val="0"/>
        <w:spacing w:before="120" w:after="283"/>
        <w:jc w:val="both"/>
        <w:rPr>
          <w:rFonts w:ascii="Arial" w:hAnsi="Arial"/>
          <w:color w:val="000000"/>
          <w:sz w:val="20"/>
        </w:rPr>
      </w:pPr>
      <w:r>
        <w:rPr>
          <w:rFonts w:ascii="Arial" w:hAnsi="Arial"/>
          <w:color w:val="000000"/>
          <w:sz w:val="20"/>
        </w:rPr>
        <w:t>In connection with the Department of Justice investigation, we recorded a legal expense of $4.1 million during the year ended December 31, 2024. No additional legal expense was incurred in 2025 related to this matter.</w:t>
      </w:r>
    </w:p>
    <w:p>
      <w:pPr>
        <w:pStyle w:val="TextBody"/>
        <w:bidi w:val="0"/>
        <w:spacing w:before="240" w:after="283"/>
        <w:jc w:val="center"/>
        <w:rPr>
          <w:rFonts w:ascii="Arial" w:hAnsi="Arial"/>
          <w:color w:val="000000"/>
          <w:sz w:val="20"/>
        </w:rPr>
      </w:pPr>
      <w:r>
        <w:rPr>
          <w:rFonts w:ascii="Arial" w:hAnsi="Arial"/>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decreased by $2.7 million, from $4.0 million for the year ended December 31, 2024 to $1.2 million for the year ended December 31, 2025 due to lower income from accretion of discounts on debt securities purchased below par value and held to maturity and lower interest income earned on our available-for-sale securities. These decreases resulted from lower balances of available-for-sale securities held during the year ended December 31, 2025 compared to the year ended December 31, 2024.</w:t>
      </w:r>
    </w:p>
    <w:p>
      <w:pPr>
        <w:pStyle w:val="TextBody"/>
        <w:bidi w:val="0"/>
        <w:spacing w:before="360" w:after="283"/>
        <w:jc w:val="both"/>
        <w:rPr>
          <w:rFonts w:ascii="Arial" w:hAnsi="Arial"/>
          <w:b/>
          <w:color w:val="000000"/>
          <w:sz w:val="20"/>
        </w:rPr>
      </w:pPr>
      <w:r>
        <w:rPr>
          <w:rFonts w:ascii="Arial" w:hAnsi="Arial"/>
          <w:b/>
          <w:color w:val="000000"/>
          <w:sz w:val="20"/>
        </w:rPr>
        <w:t>Sermonix Pre-Funded Warrant Change in Fair Value</w:t>
      </w:r>
    </w:p>
    <w:p>
      <w:pPr>
        <w:pStyle w:val="TextBody"/>
        <w:bidi w:val="0"/>
        <w:spacing w:before="120" w:after="283"/>
        <w:jc w:val="both"/>
        <w:rPr>
          <w:rFonts w:ascii="Times New Roman" w:hAnsi="Times New Roman"/>
          <w:sz w:val="20"/>
        </w:rPr>
      </w:pPr>
      <w:r>
        <w:rPr>
          <w:rFonts w:ascii="Arial" w:hAnsi="Arial"/>
          <w:color w:val="000000"/>
          <w:sz w:val="20"/>
        </w:rPr>
        <w:t>Sermonix pre-funded warrant change in fair value increased by $4.6 million, from $0 million for the year ended December 31, 2024 to $4.6 million for the year ended December 31, 2025. Refer to Note 4 to our consolidated financial statements included elsewhere in this report for further discussion.</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of Liquidity</w:t>
      </w:r>
    </w:p>
    <w:p>
      <w:pPr>
        <w:pStyle w:val="TextBody"/>
        <w:bidi w:val="0"/>
        <w:spacing w:before="12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prefunded common stock warrants and convertible notes, and to a lesser extent from grant income and stock option exercises. From our inception through December 31, 2025, we have raised aggregate net cash proceeds of approximately $489.8 million primarily from the issuance of our common stock (excluding option exercises), convertible preferred stock, common stock warrants, prefunded common stock warrants and convertible notes, and as of December 31, 2025, we had $88.3 million in cash, cash equivalents and investments.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18, 2025, we entered into the PIPE Securities Purchase Agreement with a select group of investors, including Commodore, TCGX, Perceptive and other accredited investors, one of which is affiliated with a member of our board of directors, pursuant to which the PIPE Purchasers agreed to purchase and we agreed to issue and sell, by way of the Private Placement, an aggregate of (a) 5,356,547 shares (the “PIPE Initial Shares”) of our common stock and (b) pre-funded warrants (the “PIPE Pre-Funded Warrants”) to purchase 8,816,684 shares of our common stock (the “PIPE Pre-Funded Warrant Shares”) and (c) accompanying warrants (the “PIPE Series A Common Warrants”) to purchase 23,031,494 shares of our common stock and/or shares underlying pre-funded warrants, representing 162.5% of the aggregate of PIPE Initial Shares and the shares of our common stock underlying the PIPE Pre-Funded Warrants (the shares, or the shares issuable pursuant to such pre-funded warrants, the “PIPE Series A Common Warrant Shares”) and (d) accompanying warrants (the “PIPE Series B Common Warrants” and, together with the PIPE Series A Common Warrants and the PIPE Pre-Funded Warrants, the “PIPE Warrants”, and the PIPE Warrants, together with the PIPE Initial Shares, the “PIPE Securities”) to purchase 21,259,842 shares of our common stock and/or shares underlying pre-funded warrants, representing 150% of the aggregate of PIPE Initial Shares and the shares of our common stock underlying the PIPE Pre-Funded Warrants (the shares, or the shares issuable pursuant to such pre-funded warrants, the “PIPE Series B Common Warrant Shares” and, together with the PIPE Initial Shares, the PIPE Pre-Funded Warrant Shares and the PIPE Series A Common Warrant Shares, the “PIPE Shares”). The purchase price for each PIPE Initial Share (including the accompanying PIPE Series A Common Warrants and PIPE Series B Common Warrants) was $6.35 and the purchase price for each PIPE Pre-Funded Warrant (including the accompanying PIPE Series A Common Warrants and PIPE Series B Common Warrants) was $6.349 per each underlying PIPE Pre-Funded Warrant Share. Gross proceeds from the Private Placement were approximately $90 million, excluding placement agent fees and offering expenses. The closing of the Private Placement (the “Private Placement Closing”) occurred on December 23,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At the Private Placement Closing, we entered into a registration rights agreement (the “PIPE Registration Rights Agreement”) with the PIPE Purchasers pursuant to which we are required to prepare and file a registration statement with the SEC to register the resale of the PIPE Shares within 30 calendar days after the date of the Private Placement Closing, and to use reasonable best efforts to have the registration statement declared effective at the earliest possible date but no later than the earlier of (a) 75 calendar days after the filing date if the SEC notifies us that it will review the registration statement and (b) the fifth business day after we are notified by the SEC that the registration statement will not be reviewed or will not be subject to further review. If we fail to meet certain of the requirements in the PIPE Registration Rights Agreement following the Private Placement Closing, we will pay liquidated damages to the PIPE Purchasers as provided in the PIPE Registration Rights Agreement.</w:t>
      </w:r>
    </w:p>
    <w:p>
      <w:pPr>
        <w:pStyle w:val="TextBody"/>
        <w:bidi w:val="0"/>
        <w:spacing w:before="240" w:after="283"/>
        <w:jc w:val="both"/>
        <w:rPr>
          <w:rFonts w:ascii="Arial" w:hAnsi="Arial"/>
          <w:color w:val="000000"/>
          <w:sz w:val="20"/>
        </w:rPr>
      </w:pPr>
      <w:r>
        <w:rPr>
          <w:rFonts w:ascii="Arial" w:hAnsi="Arial"/>
          <w:color w:val="000000"/>
          <w:sz w:val="20"/>
        </w:rPr>
        <w:t>The PIPE Pre-Funded Warrants are exercisable at an exercise price of $0.001 per share, subject to customary adjustments under the terms thereof and are exercisable at any time, subject to the restriction discussed below. The PIPE Series A Common Warrants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we publicly announce,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PIPE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 The PIPE Series B Common Warrants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trial (the later of (1) and (2), the “Series B Common Warrant Initial Exercise Date”). The PIPE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w:t>
      </w:r>
    </w:p>
    <w:p>
      <w:pPr>
        <w:pStyle w:val="TextBody"/>
        <w:bidi w:val="0"/>
        <w:spacing w:before="240" w:after="283"/>
        <w:jc w:val="both"/>
        <w:rPr>
          <w:rFonts w:ascii="Times New Roman" w:hAnsi="Times New Roman"/>
          <w:sz w:val="20"/>
        </w:rPr>
      </w:pPr>
      <w:r>
        <w:rPr>
          <w:rFonts w:ascii="Arial" w:hAnsi="Arial"/>
          <w:color w:val="000000"/>
          <w:sz w:val="20"/>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our common stock would be aggregated with the PIPE Purchaser for purposes of Section 13(d) of the Exchange Act, would beneficially own more than 4.99%, 9.99% or 19.99%, at the election of the PIPE Purchaser (in each case, the “PIPE Maximum Percentage”) of the total number of issued and outstanding shares of our common stock following such exercise. If, upon exercise of the PIPE Series A Common Warrants or PIPE Series B Common Warrants, a PIPE Purchaser would exceed the PIPE Maximum Percentage, then the PIPE Series A Common Warrants and PIPE Series B Common Warrants may be exercised for pre-funded warrants to purchase shares of our common stock, which pre-funded warrants will have terms substantially the same as the PIPE Pre-Funded Warrants. The PIPE Maximum Percentage may be increased or decreased by a PIPE Purchaser with 61 days’ written notice to us; provided, however, that such percentage may in no event exceed (x) 19.99% prior to a vote of our stockholders approving the removal of such exercise limitation or (y) with respect to certain PIPE Purchasers, 4.99%.</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will use the net proceeds from the Private Placement for working capital and will not use such proceeds for (1) the repayment of borrowed debt, (2) to redeem any shares of our common stock or any of our securities that would entitle the holder thereof to acquire at any time shares of our common stock, subject to certain exceptions, (3) for the settlement of any litigation that is outstanding as of the Private Placement Closing, and (4) to in-license or develop a drug candidate other than lasofoxifene or any drug or drug candidate in our pipeline as of the Private Placement Closing until the earlier of such time as the topline results of ELAINE-3 become available and the second anniversary of the effective date of the PIPE Securities Purchase Agreement.</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positive cash flows from operations and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36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120" w:after="283"/>
        <w:jc w:val="both"/>
        <w:rPr>
          <w:rFonts w:ascii="Times New Roman" w:hAnsi="Times New Roman"/>
          <w:sz w:val="20"/>
        </w:rPr>
      </w:pPr>
      <w:r>
        <w:rPr>
          <w:rFonts w:ascii="Arial" w:hAnsi="Arial"/>
          <w:color w:val="000000"/>
          <w:sz w:val="20"/>
        </w:rPr>
        <w:t>Our material cash requirements include our operating leases for laboratory and office facilities. As of December 31, 2025, we had lease payment obligations of $0.9 million, with $0.5 million payable within 12 months. For additional information regarding our lease commitments, see Note 7 to our consolidated financial statements included elsewhere in this report. Additionally, we have purchase obligations and open purchase orders that support normal operations and are primarily due in the next 12 months. We also have payment obligations to certain third-party service providers that total approximately $4.0 million, that are primarily due in the near term. These purchase obligations and open purchase orders are generally cancellable in full or in part through the contractual provisions. We expect to continue to incur increased research and development expenses for the foreseeable future as we continue to engage in research and development activities related to developing our drug candidates, including lasofoxifene and ATH-1105,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expect to continue to incur increased general and administrative expenses for the foreseeable future as we support our continued research activities and development of our programs.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upon our current operating plan, we estimate that our $88.3 million of cash, cash equivalents and investments at December 31, 2025 will be sufficient to fund our operating expenses and capital expenditure requirements through at least the next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subject to any applicable limitations on sales pursuant to SEC rules and regulations,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4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FDA, EMA and any other regulatory agencies to accept lasofoxifene or ATH-1105 clinical trial data, as well as data from any completed and planned clinical and nonclinical studies and other work, as the basis for review and approval of lasofoxifene for breast cancer and ATH-1105 for ALS, and the potential need for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collaborations,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any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240" w:after="283"/>
        <w:jc w:val="center"/>
        <w:rPr>
          <w:rFonts w:ascii="Arial" w:hAnsi="Arial"/>
          <w:color w:val="000000"/>
          <w:sz w:val="20"/>
        </w:rPr>
      </w:pPr>
      <w:r>
        <w:rPr>
          <w:rFonts w:ascii="Arial" w:hAnsi="Arial"/>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Cash Flows</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left"/>
        <w:rPr/>
      </w:pPr>
      <w:r>
        <w:rPr/>
        <w:t> </w:t>
      </w:r>
    </w:p>
    <w:tbl>
      <w:tblPr>
        <w:tblW w:w="7719" w:type="dxa"/>
        <w:jc w:val="left"/>
        <w:tblInd w:w="0" w:type="dxa"/>
        <w:tblLayout w:type="fixed"/>
        <w:tblCellMar>
          <w:top w:w="28" w:type="dxa"/>
          <w:left w:w="28" w:type="dxa"/>
          <w:bottom w:w="28" w:type="dxa"/>
          <w:right w:w="28" w:type="dxa"/>
        </w:tblCellMar>
      </w:tblPr>
      <w:tblGrid>
        <w:gridCol w:w="4846"/>
        <w:gridCol w:w="146"/>
        <w:gridCol w:w="211"/>
        <w:gridCol w:w="751"/>
        <w:gridCol w:w="166"/>
        <w:gridCol w:w="146"/>
        <w:gridCol w:w="211"/>
        <w:gridCol w:w="751"/>
        <w:gridCol w:w="4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(97,170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(42,146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Operating Activities</w:t>
      </w:r>
    </w:p>
    <w:p>
      <w:pPr>
        <w:pStyle w:val="TextBody"/>
        <w:bidi w:val="0"/>
        <w:spacing w:before="120" w:after="283"/>
        <w:jc w:val="both"/>
        <w:rPr>
          <w:rFonts w:ascii="Arial" w:hAnsi="Arial"/>
          <w:color w:val="000000"/>
          <w:sz w:val="20"/>
        </w:rPr>
      </w:pPr>
      <w:r>
        <w:rPr>
          <w:rFonts w:ascii="Arial" w:hAnsi="Arial"/>
          <w:color w:val="000000"/>
          <w:sz w:val="20"/>
        </w:rPr>
        <w:t>During the year ended December 31, 2025, net cash used in operating activities was $45.7 million. This consisted primarily of a net loss of $105.6 million, offset by non-cash charges of $79.3 million and a decrease in our net operating assets of $19.4 million. The non-cash charges primarily consisted of acquired in-process research and development, stock-based compensation expense, depreciation expense, and amortization of premiums and accretion of discounts on our available-for-sale securities. The decrease in our net operating assets was primarily due to a decrease in accrued liabilities and payment of Sermonix assumed liabilities.</w:t>
      </w:r>
    </w:p>
    <w:p>
      <w:pPr>
        <w:pStyle w:val="TextBody"/>
        <w:bidi w:val="0"/>
        <w:spacing w:before="240" w:after="283"/>
        <w:jc w:val="both"/>
        <w:rPr>
          <w:rFonts w:ascii="Arial" w:hAnsi="Arial"/>
          <w:color w:val="000000"/>
          <w:sz w:val="20"/>
        </w:rPr>
      </w:pPr>
      <w:r>
        <w:rPr>
          <w:rFonts w:ascii="Arial" w:hAnsi="Arial"/>
          <w:color w:val="000000"/>
          <w:sz w:val="20"/>
        </w:rPr>
        <w:t>During the year ended December 31, 2024, net cash used in operating activities was $97.2 million. This consisted primarily of a net loss of $96.9 million, partially offset by non-cash charges of $11.7 million and an increase in our net operating assets of $12.0 million. The non-cash charges primarily consisted of stock-based compensation expense, depreciation expense, and amortization of premiums and accretion of discounts on our available-for-sale securities. The increase in our net operating assets was primarily due to a decrease in the accrual for legal settlement expenses related to the securities class action litigation and a net decrease in accounts payable and accrued expenses, partially offset by decreases in prepaid expenses and other current and long-term assets, and the insurance recovery receivable related to the securities class action litigation.</w:t>
      </w:r>
    </w:p>
    <w:p>
      <w:pPr>
        <w:pStyle w:val="TextBody"/>
        <w:bidi w:val="0"/>
        <w:spacing w:before="360" w:after="283"/>
        <w:jc w:val="both"/>
        <w:rPr>
          <w:rFonts w:ascii="Arial" w:hAnsi="Arial"/>
          <w:b/>
          <w:i/>
          <w:color w:val="000000"/>
          <w:sz w:val="20"/>
        </w:rPr>
      </w:pPr>
      <w:r>
        <w:rPr>
          <w:rFonts w:ascii="Arial" w:hAnsi="Arial"/>
          <w:b/>
          <w:i/>
          <w:color w:val="000000"/>
          <w:sz w:val="20"/>
        </w:rPr>
        <w:t>Investing Activities</w:t>
      </w:r>
    </w:p>
    <w:p>
      <w:pPr>
        <w:pStyle w:val="TextBody"/>
        <w:bidi w:val="0"/>
        <w:spacing w:before="120" w:after="283"/>
        <w:jc w:val="both"/>
        <w:rPr>
          <w:rFonts w:ascii="Arial" w:hAnsi="Arial"/>
          <w:color w:val="000000"/>
          <w:sz w:val="20"/>
        </w:rPr>
      </w:pPr>
      <w:r>
        <w:rPr>
          <w:rFonts w:ascii="Arial" w:hAnsi="Arial"/>
          <w:color w:val="000000"/>
          <w:sz w:val="20"/>
        </w:rPr>
        <w:t>During the year ended December 31, 2025, net cash used in investing was $15.9 million. This consisted of purchases of available-for-sale securities of $38 million, partially offset by maturities of available-for-sale securities of $22 million.</w:t>
      </w:r>
    </w:p>
    <w:p>
      <w:pPr>
        <w:pStyle w:val="TextBody"/>
        <w:bidi w:val="0"/>
        <w:spacing w:before="240" w:after="283"/>
        <w:jc w:val="both"/>
        <w:rPr>
          <w:rFonts w:ascii="Arial" w:hAnsi="Arial"/>
          <w:color w:val="000000"/>
          <w:sz w:val="20"/>
        </w:rPr>
      </w:pPr>
      <w:r>
        <w:rPr>
          <w:rFonts w:ascii="Arial" w:hAnsi="Arial"/>
          <w:color w:val="000000"/>
          <w:sz w:val="20"/>
        </w:rPr>
        <w:t>During the year ended December 31, 2024, net cash provided by investing was $54.8 million. This consisted of maturities of available-for-sale securities of $69.0 million, partially offset by purchases of available-for-sale securities of $14.1 million and property and equipment of less than $0.1 million.</w:t>
      </w:r>
    </w:p>
    <w:p>
      <w:pPr>
        <w:pStyle w:val="TextBody"/>
        <w:bidi w:val="0"/>
        <w:spacing w:before="360" w:after="283"/>
        <w:jc w:val="both"/>
        <w:rPr>
          <w:rFonts w:ascii="Arial" w:hAnsi="Arial"/>
          <w:b/>
          <w:i/>
          <w:color w:val="000000"/>
          <w:sz w:val="20"/>
        </w:rPr>
      </w:pPr>
      <w:r>
        <w:rPr>
          <w:rFonts w:ascii="Arial" w:hAnsi="Arial"/>
          <w:b/>
          <w:i/>
          <w:color w:val="000000"/>
          <w:sz w:val="20"/>
        </w:rPr>
        <w:t>Financing Activities</w:t>
      </w:r>
    </w:p>
    <w:p>
      <w:pPr>
        <w:pStyle w:val="TextBody"/>
        <w:bidi w:val="0"/>
        <w:spacing w:before="120" w:after="283"/>
        <w:jc w:val="both"/>
        <w:rPr>
          <w:rFonts w:ascii="Arial" w:hAnsi="Arial"/>
          <w:color w:val="000000"/>
          <w:sz w:val="20"/>
        </w:rPr>
      </w:pPr>
      <w:r>
        <w:rPr>
          <w:rFonts w:ascii="Arial" w:hAnsi="Arial"/>
          <w:color w:val="000000"/>
          <w:sz w:val="20"/>
        </w:rPr>
        <w:t>During the year Ended December 31, 2025, net cash provided by financing activities was $82.5 million, consisting primarily of net proceeds from the Private Placement financing.</w:t>
      </w:r>
    </w:p>
    <w:p>
      <w:pPr>
        <w:pStyle w:val="TextBody"/>
        <w:bidi w:val="0"/>
        <w:spacing w:before="240" w:after="283"/>
        <w:jc w:val="both"/>
        <w:rPr>
          <w:rFonts w:ascii="Arial" w:hAnsi="Arial"/>
          <w:color w:val="000000"/>
          <w:sz w:val="20"/>
        </w:rPr>
      </w:pPr>
      <w:r>
        <w:rPr>
          <w:rFonts w:ascii="Arial" w:hAnsi="Arial"/>
          <w:color w:val="000000"/>
          <w:sz w:val="20"/>
        </w:rPr>
        <w:t>During the year ended December 31, 2024, net cash provided by financing activities was $0.2 million, consisting of proceeds received from participation in the Company's employee stock purchase plan and exercises of stock options.</w:t>
      </w:r>
    </w:p>
    <w:p>
      <w:pPr>
        <w:pStyle w:val="TextBody"/>
        <w:bidi w:val="0"/>
        <w:spacing w:before="240" w:after="283"/>
        <w:jc w:val="center"/>
        <w:rPr>
          <w:rFonts w:ascii="Arial" w:hAnsi="Arial"/>
          <w:color w:val="000000"/>
          <w:sz w:val="20"/>
        </w:rPr>
      </w:pPr>
      <w:r>
        <w:rPr>
          <w:rFonts w:ascii="Arial" w:hAnsi="Arial"/>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both"/>
        <w:rPr>
          <w:rFonts w:ascii="Arial" w:hAnsi="Arial"/>
          <w:color w:val="000000"/>
          <w:sz w:val="20"/>
        </w:rPr>
      </w:pPr>
      <w:r>
        <w:rPr>
          <w:rFonts w:ascii="Arial" w:hAnsi="Arial"/>
          <w:color w:val="000000"/>
          <w:sz w:val="20"/>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Costs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Research and development costs, including costs associated with our clinical trials,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pStyle w:val="TextBody"/>
        <w:bidi w:val="0"/>
        <w:spacing w:before="240" w:after="283"/>
        <w:jc w:val="both"/>
        <w:rPr>
          <w:rFonts w:ascii="Times New Roman" w:hAnsi="Times New Roman"/>
          <w:sz w:val="20"/>
        </w:rPr>
      </w:pPr>
      <w:r>
        <w:rPr>
          <w:rFonts w:ascii="Arial" w:hAnsi="Arial"/>
          <w:color w:val="000000"/>
          <w:sz w:val="20"/>
        </w:rPr>
        <w:t>Acquired in-process research and development costs represent amounts incurred to acquire externally developed in-process research and development (“IPR&amp;D”) projects in transactions other than business combinations when the acquired assets have no alternative future use. These costs are expensed as incurred. Amounts included in acquired in-process research and development consist of upfront cash payments, equity instruments issued as consideration, contingent consideration that meets the criteria for recognition, and liabilities incurred to acquire the rights to the underlying IPR&amp;D projects.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connection with the asset acquisition from Sermonix in December 2025, we recorded $68.1 million of acquired IPR&amp;D expense, consisting of various components of consideration measured at fair value on the acquisition date. Included in this amount were the Sermonix Pre-Funded Warrant, valued at $32.9 million, and a liability-classified contingent milestone payment, valued at $15.1 million. These instruments required significant estimates and judgment in determining their respective fair values on the acquisition date and at December 31, 2025, due to the use of unobservable inputs and are classified in Level 3 of the fair value hierarchy.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Sermonix Pre-Funded Warrant was redeemable prior to obtaining the Sermonix Stockholder Approval and as a result, is classified as a liability and measured at fair value at the acquisition date and each subsequent reporting period, with changes recognized in earnings. We estimate fair value with reference to the market value of our common stock on the measurement date, adjusted for a discount for lack of marketability (DLOM) to reflect the inability to exercise until stockholder approval is obtained, which exposes the holder to interim changes in our stock price. In selecting the DLOM, we consider the expected time to stockholder approval, estimated volatility of our common stock price, and the risk</w:t>
        <w:noBreakHyphen/>
        <w:t>free rate. The Sermonix Stockholder Approval was obtained on March 18, 2026 and, as a result, the Sermonix Pre-Funded Warrant is no longer redeemable.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valuation of the Sermonix Pre</w:t>
        <w:noBreakHyphen/>
        <w:t>Funded Warrant requires significant judgment and is sensitive to movements in our stock price and to assumptions used in determining the DLOM. Different reasonable assumptions could have resulted in a materially different amount of acquired IPR&amp;D expense at the acquisition date, as well as gains or losses recognized in our consolidated statement of operations and comprehensive loss upon recurring fair value remeasurement.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first contingent milestone payment due to Sermonix under the agreement may be settled in cash or a variable number of shares equal to a fixed monetary amount and is therefore classified as a liability and measured at fair value at the acquisition date and each subsequent reporting period, with changes recognized in earnings. We estimate the fair value using a probability</w:t>
        <w:noBreakHyphen/>
        <w:t>weighted present value of the expected net milestone payment, which incorporates our assumptions regarding the cumulative probability of achieving the milestone across the remaining phases of development and approval, expected timing of the payment, and a weighted average cost of capital to discount expected cash flows.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valuation of the milestone liability requires significant judgment and is sensitive to changes in assumed probabilities, expected timing of payment, and, to a lesser extent, the discount rate. Different reasonable assumptions could have resulted in a materially different amount of acquired IPR&amp;D expense at the acquisition date, as well as gains or losses recognized in our consolidated statement of operations and comprehensive loss upon recurring fair value remeasurement.</w:t>
      </w:r>
    </w:p>
    <w:p>
      <w:pPr>
        <w:pStyle w:val="TextBody"/>
        <w:bidi w:val="0"/>
        <w:spacing w:before="36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Times New Roman" w:hAnsi="Times New Roman"/>
          <w:sz w:val="20"/>
        </w:rPr>
      </w:pPr>
      <w:r>
        <w:rPr>
          <w:rFonts w:ascii="Arial" w:hAnsi="Arial"/>
          <w:color w:val="000000"/>
          <w:sz w:val="20"/>
        </w:rPr>
        <w:t>We maintain a stock-based compensation plan as a long-term incentive for employees, non-employee directors and consultants. The plan allows for the issuance of incentive stock options, non-qualified stock options, restricted stock units, and other forms of equity awards.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recognize stock-based compensation expense for stock options on a straight-line basis over the requisite service period and account for forfeitures as they occur. Our stock-based compensation costs for stock options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pStyle w:val="TextBody"/>
        <w:bidi w:val="0"/>
        <w:spacing w:before="240" w:after="283"/>
        <w:jc w:val="both"/>
        <w:rPr>
          <w:rFonts w:ascii="Times New Roman" w:hAnsi="Times New Roman"/>
          <w:sz w:val="20"/>
        </w:rPr>
      </w:pPr>
      <w:r>
        <w:rPr>
          <w:rFonts w:ascii="Arial" w:hAnsi="Arial"/>
          <w:color w:val="000000"/>
          <w:sz w:val="20"/>
        </w:rPr>
        <w:t>The Black-Scholes option pricing model utilizes inputs which are highly subjective assumptions and generally require significant judgment. These assumptions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rFonts w:ascii="Arial" w:hAnsi="Arial"/>
          <w:color w:val="000000"/>
          <w:sz w:val="20"/>
        </w:rPr>
        <w:t>. The fair value of each share of common stock is based on the closing price of the Company’s common stock on the date of grant, or other relevant determination date, as reported on The Nasdaq Capital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rFonts w:ascii="Arial" w:hAnsi="Arial"/>
          <w:color w:val="000000"/>
          <w:sz w:val="20"/>
        </w:rPr>
        <w:t>. The risk-free interest rate is based on the U.S. Treasury zero coupon issues in effect at the time of grant for periods corresponding with the expected term of the option.</w:t>
      </w:r>
    </w:p>
    <w:p>
      <w:pPr>
        <w:pStyle w:val="TextBody"/>
        <w:bidi w:val="0"/>
        <w:spacing w:before="240" w:after="283"/>
        <w:jc w:val="center"/>
        <w:rPr>
          <w:rFonts w:ascii="Arial" w:hAnsi="Arial"/>
          <w:color w:val="000000"/>
          <w:sz w:val="20"/>
        </w:rPr>
      </w:pPr>
      <w:r>
        <w:rPr>
          <w:rFonts w:ascii="Arial" w:hAnsi="Arial"/>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rFonts w:ascii="Arial" w:hAnsi="Arial"/>
          <w:color w:val="000000"/>
          <w:sz w:val="20"/>
        </w:rPr>
        <w:t xml:space="preserve">. Because we were previously privately held and did not have sufficient trading history for our common stock prior to our initial public offering,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rFonts w:ascii="Arial" w:hAnsi="Arial"/>
          <w:color w:val="000000"/>
          <w:sz w:val="20"/>
        </w:rPr>
        <w:t xml:space="preserve">. The expected term represents the period that the stock-based awards are expected to be outstanding and is determined using the simplified method (based on the mid-point between the vesting date and the end of the contractual term), as we have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rFonts w:ascii="Arial" w:hAnsi="Arial"/>
          <w:color w:val="000000"/>
          <w:sz w:val="20"/>
        </w:rPr>
        <w:t xml:space="preserve">. We have never paid dividends on our common stock and have no plans to pay dividends on our common stock. Therefore, we used an expected dividend yield of zero. </w:t>
      </w:r>
    </w:p>
    <w:p>
      <w:pPr>
        <w:pStyle w:val="TextBody"/>
        <w:bidi w:val="0"/>
        <w:spacing w:before="240" w:after="283"/>
        <w:jc w:val="both"/>
        <w:rPr>
          <w:rFonts w:ascii="Times New Roman" w:hAnsi="Times New Roman"/>
          <w:sz w:val="20"/>
        </w:rPr>
      </w:pPr>
      <w:r>
        <w:rPr>
          <w:rFonts w:ascii="Arial" w:hAnsi="Arial"/>
          <w:color w:val="000000"/>
          <w:sz w:val="20"/>
        </w:rPr>
        <w:t>See Note 10 to our consolidated financial statements included elsewhere in this report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recorded stock-based compensation expense of $6 million and $11.0 million for the years ended December 31, 2025 and 2024, respectively. As of December 31, 2025, there was $4.5 million of total unrecognized stock-based compensation expense related to non-vested stock options which we expect to recognize over a remaining weighted-average period of 2.49 years. We expect to continue to grant stock options and other equity-based awards in the future, and to the extent that we do, our stock-based compensation expense recognized in future periods will likely increase.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Income Taxes</w:t>
      </w:r>
    </w:p>
    <w:p>
      <w:pPr>
        <w:pStyle w:val="TextBody"/>
        <w:bidi w:val="0"/>
        <w:spacing w:before="120" w:after="283"/>
        <w:jc w:val="both"/>
        <w:rPr>
          <w:rFonts w:ascii="Arial" w:hAnsi="Arial"/>
          <w:color w:val="000000"/>
          <w:sz w:val="20"/>
        </w:rPr>
      </w:pPr>
      <w:r>
        <w:rPr>
          <w:rFonts w:ascii="Arial" w:hAnsi="Arial"/>
          <w:color w:val="000000"/>
          <w:sz w:val="20"/>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pStyle w:val="TextBody"/>
        <w:bidi w:val="0"/>
        <w:spacing w:before="240" w:after="283"/>
        <w:jc w:val="both"/>
        <w:rPr>
          <w:rFonts w:ascii="Arial" w:hAnsi="Arial"/>
          <w:color w:val="000000"/>
          <w:sz w:val="20"/>
        </w:rPr>
      </w:pPr>
      <w:r>
        <w:rPr>
          <w:rFonts w:ascii="Arial" w:hAnsi="Arial"/>
          <w:color w:val="000000"/>
          <w:sz w:val="20"/>
        </w:rPr>
        <w:t>As of December 31, 2025, we had $9.5 million of federal NOL carryforwards and $17.2 million of tax credit carryforwards which expire over a period of 6 to 12 years. As of December 31, 2025, we had $259.8 million of such NOLs that do not expire. As of December 31, 2025, we also had state net operating loss carryforwards of $5 million, which expire over a period of 17 to 20 years.</w:t>
      </w:r>
    </w:p>
    <w:p>
      <w:pPr>
        <w:pStyle w:val="TextBody"/>
        <w:bidi w:val="0"/>
        <w:spacing w:before="240" w:after="283"/>
        <w:jc w:val="both"/>
        <w:rPr>
          <w:rFonts w:ascii="Times New Roman" w:hAnsi="Times New Roman"/>
          <w:sz w:val="20"/>
        </w:rPr>
      </w:pPr>
      <w:r>
        <w:rPr>
          <w:rFonts w:ascii="Arial" w:hAnsi="Arial"/>
          <w:color w:val="000000"/>
          <w:sz w:val="20"/>
        </w:rPr>
        <w:t>Under Sections 382 and 383 of the Internal Revenue Code of 1986 (as amended,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pStyle w:val="TextBody"/>
        <w:bidi w:val="0"/>
        <w:spacing w:before="36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See Note 2 to our consolidated financial statements included elsewhere in this report for additional information.</w:t>
      </w:r>
    </w:p>
    <w:p>
      <w:pPr>
        <w:pStyle w:val="TextBody"/>
        <w:bidi w:val="0"/>
        <w:spacing w:before="360" w:after="283"/>
        <w:jc w:val="both"/>
        <w:rPr>
          <w:rFonts w:ascii="Times New Roman" w:hAnsi="Times New Roman"/>
          <w:sz w:val="20"/>
        </w:rPr>
      </w:pPr>
      <w:bookmarkStart w:id="15" w:name="item_7a_quantitative_qualitative_disclos"/>
      <w:bookmarkEnd w:id="15"/>
      <w:r>
        <w:rPr>
          <w:rFonts w:ascii="Arial" w:hAnsi="Arial"/>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360" w:after="283"/>
        <w:jc w:val="both"/>
        <w:rPr>
          <w:rFonts w:ascii="Times New Roman" w:hAnsi="Times New Roman"/>
          <w:sz w:val="20"/>
        </w:rPr>
      </w:pPr>
      <w:bookmarkStart w:id="16" w:name="item_8_financial_statements_supplementar"/>
      <w:bookmarkEnd w:id="16"/>
      <w:r>
        <w:rPr>
          <w:rFonts w:ascii="Arial" w:hAnsi="Arial"/>
          <w:b/>
          <w:color w:val="000000"/>
          <w:sz w:val="20"/>
        </w:rPr>
        <w:t>Item 8. Financial Statements and Supplementary Data.</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spacing w:before="120" w:after="283"/>
        <w:jc w:val="center"/>
        <w:rPr>
          <w:rFonts w:ascii="Arial" w:hAnsi="Arial"/>
          <w:b/>
          <w:color w:val="000000"/>
          <w:sz w:val="20"/>
        </w:rPr>
      </w:pPr>
      <w:r>
        <w:rPr>
          <w:rFonts w:ascii="Arial" w:hAnsi="Arial"/>
          <w:b/>
          <w:color w:val="000000"/>
          <w:sz w:val="20"/>
        </w:rPr>
        <w:t>Index to Financial Statements</w:t>
      </w:r>
    </w:p>
    <w:p>
      <w:pPr>
        <w:pStyle w:val="TextBody"/>
        <w:bidi w:val="0"/>
        <w:spacing w:before="40" w:after="283"/>
        <w:jc w:val="left"/>
        <w:rPr/>
      </w:pPr>
      <w:r>
        <w:rPr/>
        <w:t> </w:t>
      </w:r>
    </w:p>
    <w:tbl>
      <w:tblPr>
        <w:tblW w:w="7037" w:type="dxa"/>
        <w:jc w:val="left"/>
        <w:tblInd w:w="0" w:type="dxa"/>
        <w:tblLayout w:type="fixed"/>
        <w:tblCellMar>
          <w:top w:w="28" w:type="dxa"/>
          <w:left w:w="28" w:type="dxa"/>
          <w:bottom w:w="28" w:type="dxa"/>
          <w:right w:w="28" w:type="dxa"/>
        </w:tblCellMar>
      </w:tblPr>
      <w:tblGrid>
        <w:gridCol w:w="6571"/>
        <w:gridCol w:w="466"/>
      </w:tblGrid>
      <w:tr>
        <w:trPr/>
        <w:tc>
          <w:tcPr>
            <w:tcW w:w="65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Arial" w:hAnsi="Arial"/>
                  <w:color w:val="0000FF"/>
                  <w:sz w:val="20"/>
                </w:rPr>
                <w:t>Report of Independent Registered Public Accounting Firm (PCAOB ID: 42)</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Arial" w:hAnsi="Arial"/>
                  <w:color w:val="0000FF"/>
                  <w:sz w:val="20"/>
                </w:rPr>
                <w:t>Consolidated Statements of Operations and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Arial" w:hAnsi="Arial"/>
                  <w:color w:val="0000FF"/>
                  <w:sz w:val="20"/>
                </w:rPr>
                <w:t>Consolidated Statements of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000FF"/>
                  <w:sz w:val="20"/>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report_of_independent_registered_public"/>
      <w:bookmarkEnd w:id="17"/>
      <w:r>
        <w:rPr>
          <w:rFonts w:ascii="Arial" w:hAnsi="Arial"/>
          <w:b/>
          <w:caps/>
          <w:color w:val="000000"/>
          <w:sz w:val="20"/>
        </w:rPr>
        <w:t>R</w:t>
      </w:r>
      <w:r>
        <w:rPr>
          <w:rFonts w:ascii="Arial" w:hAnsi="Arial"/>
          <w:b/>
          <w:color w:val="000000"/>
          <w:sz w:val="20"/>
        </w:rPr>
        <w:t>eport of Independent Registered Public Accounting Firm</w:t>
      </w:r>
    </w:p>
    <w:p>
      <w:pPr>
        <w:pStyle w:val="TextBody"/>
        <w:bidi w:val="0"/>
        <w:jc w:val="center"/>
        <w:rPr/>
      </w:pPr>
      <w:r>
        <w:rPr/>
        <w:t> </w:t>
      </w:r>
    </w:p>
    <w:p>
      <w:pPr>
        <w:pStyle w:val="TextBody"/>
        <w:bidi w:val="0"/>
        <w:jc w:val="both"/>
        <w:rPr>
          <w:rFonts w:ascii="Arial" w:hAnsi="Arial"/>
          <w:color w:val="000000"/>
          <w:sz w:val="20"/>
        </w:rPr>
      </w:pPr>
      <w:r>
        <w:rPr>
          <w:rFonts w:ascii="Arial" w:hAnsi="Arial"/>
          <w:color w:val="000000"/>
          <w:sz w:val="20"/>
        </w:rPr>
        <w:t>To the Stockholders and the Board of Directors of LeonaBio, Inc.</w:t>
      </w:r>
    </w:p>
    <w:p>
      <w:pPr>
        <w:pStyle w:val="TextBody"/>
        <w:bidi w:val="0"/>
        <w:spacing w:before="0" w:after="160"/>
        <w:jc w:val="left"/>
        <w:rPr>
          <w:rFonts w:ascii="Arial" w:hAnsi="Arial"/>
          <w:b/>
          <w:color w:val="000000"/>
          <w:sz w:val="20"/>
        </w:rPr>
      </w:pPr>
      <w:r>
        <w:rPr>
          <w:rFonts w:ascii="Arial" w:hAnsi="Arial"/>
          <w:b/>
          <w:color w:val="000000"/>
          <w:sz w:val="20"/>
        </w:rPr>
        <w:t>Opinion on the Financial Statements</w:t>
      </w:r>
    </w:p>
    <w:p>
      <w:pPr>
        <w:pStyle w:val="TextBody"/>
        <w:bidi w:val="0"/>
        <w:spacing w:before="0" w:after="160"/>
        <w:jc w:val="left"/>
        <w:rPr>
          <w:rFonts w:ascii="Times New Roman" w:hAnsi="Times New Roman"/>
          <w:sz w:val="20"/>
        </w:rPr>
      </w:pPr>
      <w:r>
        <w:rPr>
          <w:rFonts w:ascii="Arial" w:hAnsi="Arial"/>
          <w:color w:val="000000"/>
          <w:sz w:val="20"/>
        </w:rPr>
        <w:t xml:space="preserve">We have audited the accompanying consolidated balance sheets of LeonaBio, Inc. (the Company) as of December 31, 2025 and 2024, the related </w:t>
      </w:r>
      <w:r>
        <w:rPr>
          <w:rFonts w:ascii="Arial" w:hAnsi="Arial"/>
          <w:color w:val="333333"/>
          <w:sz w:val="20"/>
        </w:rPr>
        <w:t xml:space="preserve">consolidated </w:t>
      </w:r>
      <w:r>
        <w:rPr>
          <w:rFonts w:ascii="Arial" w:hAnsi="Arial"/>
          <w:color w:val="000000"/>
          <w:sz w:val="20"/>
        </w:rPr>
        <w:t>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0" w:after="160"/>
        <w:jc w:val="left"/>
        <w:rPr>
          <w:rFonts w:ascii="Arial" w:hAnsi="Arial"/>
          <w:b/>
          <w:color w:val="000000"/>
          <w:sz w:val="20"/>
        </w:rPr>
      </w:pPr>
      <w:r>
        <w:rPr>
          <w:rFonts w:ascii="Arial" w:hAnsi="Arial"/>
          <w:b/>
          <w:color w:val="000000"/>
          <w:sz w:val="20"/>
        </w:rPr>
        <w:t>Basis for Opinion</w:t>
      </w:r>
    </w:p>
    <w:p>
      <w:pPr>
        <w:pStyle w:val="TextBody"/>
        <w:bidi w:val="0"/>
        <w:spacing w:before="0" w:after="160"/>
        <w:jc w:val="left"/>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160"/>
        <w:jc w:val="left"/>
        <w:rPr>
          <w:rFonts w:ascii="Arial" w:hAnsi="Arial"/>
          <w:color w:val="000000"/>
          <w:sz w:val="20"/>
        </w:rPr>
      </w:pPr>
      <w:r>
        <w:rPr>
          <w:rFonts w:ascii="Arial" w:hAnsi="Arial"/>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left"/>
        <w:rPr>
          <w:rFonts w:ascii="Arial" w:hAnsi="Arial"/>
          <w:b/>
          <w:color w:val="333333"/>
          <w:sz w:val="20"/>
        </w:rPr>
      </w:pPr>
      <w:r>
        <w:rPr>
          <w:rFonts w:ascii="Arial" w:hAnsi="Arial"/>
          <w:b/>
          <w:color w:val="333333"/>
          <w:sz w:val="20"/>
        </w:rPr>
        <w:t>Critical Audit Matter</w:t>
      </w:r>
    </w:p>
    <w:p>
      <w:pPr>
        <w:pStyle w:val="TextBody"/>
        <w:bidi w:val="0"/>
        <w:spacing w:before="0" w:after="160"/>
        <w:jc w:val="left"/>
        <w:rPr>
          <w:rFonts w:ascii="Arial" w:hAnsi="Arial"/>
          <w:color w:val="000000"/>
          <w:sz w:val="20"/>
        </w:rPr>
      </w:pPr>
      <w:r>
        <w:rPr>
          <w:rFonts w:ascii="Arial" w:hAnsi="Arial"/>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Fair Value of Milestone Liability — Sermonix License Transaction</w:t>
      </w:r>
    </w:p>
    <w:tbl>
      <w:tblPr>
        <w:tblW w:w="10205" w:type="dxa"/>
        <w:jc w:val="left"/>
        <w:tblInd w:w="0" w:type="dxa"/>
        <w:tblLayout w:type="fixed"/>
        <w:tblCellMar>
          <w:top w:w="28" w:type="dxa"/>
          <w:left w:w="28" w:type="dxa"/>
          <w:bottom w:w="28" w:type="dxa"/>
          <w:right w:w="28" w:type="dxa"/>
        </w:tblCellMar>
      </w:tblPr>
      <w:tblGrid>
        <w:gridCol w:w="1558"/>
        <w:gridCol w:w="8647"/>
      </w:tblGrid>
      <w:tr>
        <w:trPr/>
        <w:tc>
          <w:tcPr>
            <w:tcW w:w="1558" w:type="dxa"/>
            <w:tcBorders/>
            <w:vAlign w:val="center"/>
          </w:tcPr>
          <w:p>
            <w:pPr>
              <w:pStyle w:val="TableContents"/>
              <w:bidi w:val="0"/>
              <w:spacing w:before="0" w:after="283"/>
              <w:jc w:val="left"/>
              <w:rPr>
                <w:sz w:val="4"/>
                <w:szCs w:val="4"/>
              </w:rPr>
            </w:pPr>
            <w:r>
              <w:rPr>
                <w:sz w:val="4"/>
                <w:szCs w:val="4"/>
              </w:rPr>
            </w:r>
          </w:p>
        </w:tc>
        <w:tc>
          <w:tcPr>
            <w:tcW w:w="8647" w:type="dxa"/>
            <w:tcBorders/>
            <w:vAlign w:val="center"/>
          </w:tcPr>
          <w:p>
            <w:pPr>
              <w:pStyle w:val="TableContents"/>
              <w:bidi w:val="0"/>
              <w:spacing w:before="0" w:after="283"/>
              <w:jc w:val="left"/>
              <w:rPr>
                <w:sz w:val="4"/>
                <w:szCs w:val="4"/>
              </w:rPr>
            </w:pPr>
            <w:r>
              <w:rPr>
                <w:sz w:val="4"/>
                <w:szCs w:val="4"/>
              </w:rPr>
            </w:r>
          </w:p>
        </w:tc>
      </w:tr>
      <w:tr>
        <w:trPr/>
        <w:tc>
          <w:tcPr>
            <w:tcW w:w="1558"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Description of the Matter</w:t>
            </w:r>
          </w:p>
        </w:tc>
        <w:tc>
          <w:tcPr>
            <w:tcW w:w="86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 discussed in Notes 3 and 4 to the consolidated financial statements, in connection with the Company’s December 2025 license agreement with Sermonix Pharmaceuticals, Inc. (“Sermonix”), the Company recognized a</w:t>
            </w:r>
            <w:r>
              <w:rPr>
                <w:rFonts w:ascii="Times New Roman" w:hAnsi="Times New Roman"/>
                <w:color w:val="000000"/>
                <w:sz w:val="20"/>
              </w:rPr>
              <w:t xml:space="preserve"> </w:t>
            </w:r>
          </w:p>
        </w:tc>
      </w:tr>
    </w:tbl>
    <w:p>
      <w:pPr>
        <w:pStyle w:val="TextBody"/>
        <w:bidi w:val="0"/>
        <w:spacing w:before="240" w:after="283"/>
        <w:jc w:val="center"/>
        <w:rPr>
          <w:rFonts w:ascii="Arial" w:hAnsi="Arial"/>
          <w:color w:val="000000"/>
          <w:sz w:val="20"/>
        </w:rPr>
      </w:pPr>
      <w:r>
        <w:rPr>
          <w:rFonts w:ascii="Arial" w:hAnsi="Arial"/>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1"/>
        <w:gridCol w:w="8754"/>
      </w:tblGrid>
      <w:tr>
        <w:trPr/>
        <w:tc>
          <w:tcPr>
            <w:tcW w:w="1451" w:type="dxa"/>
            <w:tcBorders/>
            <w:vAlign w:val="center"/>
          </w:tcPr>
          <w:p>
            <w:pPr>
              <w:pStyle w:val="TableContents"/>
              <w:bidi w:val="0"/>
              <w:spacing w:before="0" w:after="283"/>
              <w:jc w:val="left"/>
              <w:rPr>
                <w:sz w:val="4"/>
                <w:szCs w:val="4"/>
              </w:rPr>
            </w:pPr>
            <w:r>
              <w:rPr>
                <w:sz w:val="4"/>
                <w:szCs w:val="4"/>
              </w:rPr>
            </w:r>
          </w:p>
        </w:tc>
        <w:tc>
          <w:tcPr>
            <w:tcW w:w="8754" w:type="dxa"/>
            <w:tcBorders/>
            <w:vAlign w:val="center"/>
          </w:tcPr>
          <w:p>
            <w:pPr>
              <w:pStyle w:val="TableContents"/>
              <w:bidi w:val="0"/>
              <w:spacing w:before="0" w:after="283"/>
              <w:jc w:val="left"/>
              <w:rPr>
                <w:sz w:val="4"/>
                <w:szCs w:val="4"/>
              </w:rPr>
            </w:pPr>
            <w:r>
              <w:rPr>
                <w:sz w:val="4"/>
                <w:szCs w:val="4"/>
              </w:rPr>
            </w:r>
          </w:p>
        </w:tc>
      </w:tr>
      <w:tr>
        <w:trPr/>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c>
          <w:tcPr>
            <w:tcW w:w="8754"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milestone liability for its contingent obligation to pay Sermonix $50 million in cash or shares upon the first U.S. commercial sale of a licensed product. Auditing the fair value measurement of the milestone liability was challenging due to the significant estimation uncertainty and judgment in determining the probability of milestone achievement.</w:t>
            </w:r>
          </w:p>
          <w:p>
            <w:pPr>
              <w:pStyle w:val="TableContents"/>
              <w:bidi w:val="0"/>
              <w:spacing w:before="0" w:after="283"/>
              <w:jc w:val="left"/>
              <w:rPr/>
            </w:pPr>
            <w:r>
              <w:rPr/>
              <w:t> </w:t>
            </w:r>
          </w:p>
        </w:tc>
      </w:tr>
      <w:tr>
        <w:trPr/>
        <w:tc>
          <w:tcPr>
            <w:tcW w:w="1451" w:type="dxa"/>
            <w:tcBorders/>
            <w:tcMar>
              <w:top w:w="0" w:type="dxa"/>
              <w:left w:w="0" w:type="dxa"/>
              <w:bottom w:w="0" w:type="dxa"/>
              <w:right w:w="0" w:type="dxa"/>
            </w:tcMar>
            <w:vAlign w:val="center"/>
          </w:tcPr>
          <w:p>
            <w:pPr>
              <w:pStyle w:val="TableContents"/>
              <w:bidi w:val="0"/>
              <w:jc w:val="left"/>
              <w:rPr>
                <w:rFonts w:ascii="Arial" w:hAnsi="Arial"/>
                <w:i/>
                <w:color w:val="000000"/>
                <w:sz w:val="20"/>
              </w:rPr>
            </w:pPr>
            <w:r>
              <w:rPr>
                <w:rFonts w:ascii="Arial" w:hAnsi="Arial"/>
                <w:i/>
                <w:color w:val="000000"/>
                <w:sz w:val="20"/>
              </w:rPr>
              <w:t>How We Addressed the Matter in Our Audit</w:t>
            </w:r>
          </w:p>
          <w:p>
            <w:pPr>
              <w:pStyle w:val="TableContents"/>
              <w:bidi w:val="0"/>
              <w:spacing w:before="0" w:after="283"/>
              <w:jc w:val="left"/>
              <w:rPr/>
            </w:pPr>
            <w:r>
              <w:rPr/>
              <w:t> </w:t>
            </w:r>
          </w:p>
        </w:tc>
        <w:tc>
          <w:tcPr>
            <w:tcW w:w="8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 test the estimated fair value of the milestone liability, we performed audit procedures that included, among others, involving our valuation specialists to assist in evaluating the Company's use of the selected valuation model. In addition, we compared the probability of achievement to published clinical development success-rate data for oncology compounds at comparable stage of development. We also performed a sensitivity analysis of the probability of milestone achievement to evaluate the change in the fair value of the milestone liability resulting from changes in the probability of milestone achievement.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Ernst &amp; Young LLP</w:t>
      </w:r>
    </w:p>
    <w:p>
      <w:pPr>
        <w:pStyle w:val="TextBody"/>
        <w:bidi w:val="0"/>
        <w:jc w:val="both"/>
        <w:rPr>
          <w:rFonts w:ascii="Arial" w:hAnsi="Arial"/>
          <w:color w:val="000000"/>
          <w:sz w:val="20"/>
        </w:rPr>
      </w:pPr>
      <w:r>
        <w:rPr>
          <w:rFonts w:ascii="Arial" w:hAnsi="Arial"/>
          <w:color w:val="000000"/>
          <w:sz w:val="20"/>
        </w:rPr>
        <w:t>We have served as the Company’s auditor since 2018.</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March 31, 2026</w:t>
      </w:r>
    </w:p>
    <w:p>
      <w:pPr>
        <w:pStyle w:val="TextBody"/>
        <w:bidi w:val="0"/>
        <w:spacing w:before="240" w:after="283"/>
        <w:jc w:val="center"/>
        <w:rPr>
          <w:rFonts w:ascii="Arial" w:hAnsi="Arial"/>
          <w:color w:val="000000"/>
          <w:sz w:val="20"/>
        </w:rPr>
      </w:pPr>
      <w:r>
        <w:rPr>
          <w:rFonts w:ascii="Arial" w:hAnsi="Arial"/>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18" w:name="consolidated_balance_sheets"/>
      <w:bookmarkEnd w:id="18"/>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98"/>
        <w:gridCol w:w="146"/>
        <w:gridCol w:w="264"/>
        <w:gridCol w:w="1073"/>
        <w:gridCol w:w="166"/>
        <w:gridCol w:w="146"/>
        <w:gridCol w:w="264"/>
        <w:gridCol w:w="1073"/>
        <w:gridCol w:w="775"/>
      </w:tblGrid>
      <w:tr>
        <w:trPr/>
        <w:tc>
          <w:tcPr>
            <w:tcW w:w="6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54,841</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13,938</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w:t>
            </w:r>
            <w:r>
              <w:rPr>
                <w:rFonts w:ascii="Times New Roman" w:hAnsi="Times New Roman"/>
                <w:color w:val="000000"/>
                <w:sz w:val="20"/>
              </w:rPr>
              <w:t> </w:t>
            </w:r>
            <w:r>
              <w:rPr>
                <w:rFonts w:ascii="Arial" w:hAnsi="Arial"/>
                <w:color w:val="000000"/>
                <w:sz w:val="20"/>
              </w:rPr>
              <w:t xml:space="preserve">shares </w:t>
              <w:br/>
              <w:t xml:space="preserve">authorized at December 31, 2025 and December 31, 2024, </w:t>
              <w:br/>
              <w:t>respectively; 9,335,913</w:t>
            </w:r>
            <w:r>
              <w:rPr>
                <w:rFonts w:ascii="Times New Roman" w:hAnsi="Times New Roman"/>
                <w:color w:val="000000"/>
                <w:sz w:val="20"/>
              </w:rPr>
              <w:t> </w:t>
            </w:r>
            <w:r>
              <w:rPr>
                <w:rFonts w:ascii="Arial" w:hAnsi="Arial"/>
                <w:color w:val="000000"/>
                <w:sz w:val="20"/>
              </w:rPr>
              <w:t>and 3,904,049</w:t>
            </w:r>
            <w:r>
              <w:rPr>
                <w:rFonts w:ascii="Times New Roman" w:hAnsi="Times New Roman"/>
                <w:color w:val="000000"/>
                <w:sz w:val="20"/>
              </w:rPr>
              <w:t> </w:t>
            </w:r>
            <w:r>
              <w:rPr>
                <w:rFonts w:ascii="Arial" w:hAnsi="Arial"/>
                <w:color w:val="000000"/>
                <w:sz w:val="20"/>
              </w:rPr>
              <w:t xml:space="preserve">shares issued and </w:t>
              <w:br/>
              <w:t>outstanding at December 31, 2025 and December 31, 2024, respectively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450,986</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(406,146</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44,841</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9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spacing w:before="200" w:after="283"/>
        <w:jc w:val="left"/>
        <w:rPr>
          <w:rFonts w:ascii="Arial" w:hAnsi="Arial"/>
          <w:i/>
          <w:color w:val="000000"/>
          <w:sz w:val="20"/>
        </w:rPr>
      </w:pPr>
      <w:r>
        <w:rPr>
          <w:rFonts w:ascii="Arial" w:hAnsi="Arial"/>
          <w:i/>
          <w:color w:val="000000"/>
          <w:sz w:val="20"/>
        </w:rPr>
        <w:t>(1)</w:t>
      </w:r>
    </w:p>
    <w:p>
      <w:pPr>
        <w:pStyle w:val="TextBody"/>
        <w:bidi w:val="0"/>
        <w:spacing w:before="200" w:after="283"/>
        <w:jc w:val="left"/>
        <w:rPr>
          <w:rFonts w:ascii="Arial" w:hAnsi="Arial"/>
          <w:sz w:val="20"/>
        </w:rPr>
      </w:pP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Annual Report on Form 10-K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19" w:name="consolidated_statements_operations_compr"/>
      <w:bookmarkEnd w:id="19"/>
      <w:r>
        <w:rPr>
          <w:rFonts w:ascii="Arial" w:hAnsi="Arial"/>
          <w:b/>
          <w:color w:val="000000"/>
          <w:sz w:val="20"/>
        </w:rPr>
        <w:t>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8669" w:type="dxa"/>
        <w:jc w:val="left"/>
        <w:tblInd w:w="0" w:type="dxa"/>
        <w:tblLayout w:type="fixed"/>
        <w:tblCellMar>
          <w:top w:w="28" w:type="dxa"/>
          <w:left w:w="28" w:type="dxa"/>
          <w:bottom w:w="28" w:type="dxa"/>
          <w:right w:w="28" w:type="dxa"/>
        </w:tblCellMar>
      </w:tblPr>
      <w:tblGrid>
        <w:gridCol w:w="5116"/>
        <w:gridCol w:w="146"/>
        <w:gridCol w:w="211"/>
        <w:gridCol w:w="961"/>
        <w:gridCol w:w="166"/>
        <w:gridCol w:w="146"/>
        <w:gridCol w:w="211"/>
        <w:gridCol w:w="961"/>
        <w:gridCol w:w="75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70,682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26,093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100,902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(100,902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(96,940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(96,590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4,275,762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3,848,044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 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Annual Report on Form 10-K have been restated to reflect the reverse stock split on a retroactive basis in all periods presented.</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Times New Roman" w:hAnsi="Times New Roman"/>
          <w:sz w:val="20"/>
        </w:rPr>
      </w:pPr>
      <w:bookmarkStart w:id="20" w:name="consolidated_statements_convertible_pref"/>
      <w:bookmarkEnd w:id="20"/>
      <w:r>
        <w:rPr>
          <w:rFonts w:ascii="Arial" w:hAnsi="Arial"/>
          <w:b/>
          <w:color w:val="000000"/>
          <w:sz w:val="20"/>
        </w:rPr>
        <w:t>Consolidated Statements of</w:t>
      </w:r>
      <w:r>
        <w:rPr>
          <w:rFonts w:ascii="Times New Roman" w:hAnsi="Times New Roman"/>
          <w:color w:val="000000"/>
          <w:sz w:val="20"/>
        </w:rPr>
        <w:t xml:space="preserve"> </w:t>
      </w:r>
      <w:r>
        <w:rPr>
          <w:rFonts w:ascii="Arial" w:hAnsi="Arial"/>
          <w:b/>
          <w:color w:val="000000"/>
          <w:sz w:val="20"/>
        </w:rPr>
        <w:t>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7"/>
        <w:gridCol w:w="146"/>
        <w:gridCol w:w="146"/>
        <w:gridCol w:w="826"/>
        <w:gridCol w:w="146"/>
        <w:gridCol w:w="146"/>
        <w:gridCol w:w="211"/>
        <w:gridCol w:w="375"/>
        <w:gridCol w:w="146"/>
        <w:gridCol w:w="146"/>
        <w:gridCol w:w="196"/>
        <w:gridCol w:w="691"/>
        <w:gridCol w:w="146"/>
        <w:gridCol w:w="146"/>
        <w:gridCol w:w="347"/>
        <w:gridCol w:w="749"/>
        <w:gridCol w:w="151"/>
        <w:gridCol w:w="146"/>
        <w:gridCol w:w="196"/>
        <w:gridCol w:w="736"/>
        <w:gridCol w:w="151"/>
        <w:gridCol w:w="146"/>
        <w:gridCol w:w="201"/>
        <w:gridCol w:w="761"/>
        <w:gridCol w:w="397"/>
      </w:tblGrid>
      <w:tr>
        <w:trPr/>
        <w:tc>
          <w:tcPr>
            <w:tcW w:w="2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3,817,216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439,743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(309,206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130,188</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w:t>
              <w:br/>
              <w:t>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 xml:space="preserve">Issuance of common stock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11,049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(96,940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(96,940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3,904,049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450,986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(406,146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44,841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Proceeds from PIPE financing, net of underwriters'</w:t>
              <w:br/>
              <w:t> discounts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5,356,547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82,424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exercise of</w:t>
              <w:br/>
              <w:t>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6,102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7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(105,609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(105,609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7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9,335,913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539,548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(511,755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27,790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i/>
          <w:color w:val="000000"/>
          <w:sz w:val="20"/>
        </w:rPr>
        <w:t>(1) The Company effected a reverse stock split of its outstanding shares of common stock on September 17, 2025 where every ten shares of its common stock issued and outstanding was converted into one share</w:t>
      </w:r>
      <w:r>
        <w:rPr>
          <w:rFonts w:ascii="Times New Roman" w:hAnsi="Times New Roman"/>
          <w:color w:val="000000"/>
          <w:sz w:val="20"/>
        </w:rPr>
        <w:t xml:space="preserve"> </w:t>
      </w:r>
      <w:r>
        <w:rPr>
          <w:rFonts w:ascii="Arial" w:hAnsi="Arial"/>
          <w:i/>
          <w:color w:val="000000"/>
          <w:sz w:val="20"/>
        </w:rPr>
        <w:t xml:space="preserve">of common stock. Any fractional post-split shares as a result of the </w:t>
      </w:r>
    </w:p>
    <w:p>
      <w:pPr>
        <w:pStyle w:val="TextBody"/>
        <w:bidi w:val="0"/>
        <w:spacing w:before="240" w:after="283"/>
        <w:jc w:val="center"/>
        <w:rPr>
          <w:rFonts w:ascii="Arial" w:hAnsi="Arial"/>
          <w:color w:val="000000"/>
          <w:sz w:val="20"/>
        </w:rPr>
      </w:pPr>
      <w:r>
        <w:rPr>
          <w:rFonts w:ascii="Arial" w:hAnsi="Arial"/>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Arial" w:hAnsi="Arial"/>
          <w:i/>
          <w:color w:val="000000"/>
          <w:sz w:val="20"/>
        </w:rPr>
      </w:pPr>
      <w:r>
        <w:rPr>
          <w:rFonts w:ascii="Arial" w:hAnsi="Arial"/>
          <w:i/>
          <w:color w:val="000000"/>
          <w:sz w:val="20"/>
        </w:rPr>
        <w:t>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Annual Report on Form 10-K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21" w:name="consolidated_statements_cash_flows"/>
      <w:bookmarkEnd w:id="21"/>
      <w:r>
        <w:rPr>
          <w:rFonts w:ascii="Arial" w:hAnsi="Arial"/>
          <w:b/>
          <w:color w:val="000000"/>
          <w:sz w:val="20"/>
        </w:rPr>
        <w:t>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7"/>
        <w:gridCol w:w="146"/>
        <w:gridCol w:w="211"/>
        <w:gridCol w:w="841"/>
        <w:gridCol w:w="166"/>
        <w:gridCol w:w="146"/>
        <w:gridCol w:w="211"/>
        <w:gridCol w:w="736"/>
        <w:gridCol w:w="1011"/>
      </w:tblGrid>
      <w:tr>
        <w:trPr/>
        <w:tc>
          <w:tcPr>
            <w:tcW w:w="6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(96,940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consideration for 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Sermonix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premiums and accretion of discounts on</w:t>
              <w:br/>
              <w:t>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Prepaid expenses and other current and long-term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Insurance recovery receivable related to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Accrued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(97,170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Maturities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68,997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exercise of common stock options and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Proceeds from PIPE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 costs from PIPE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(42,146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91,215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49,069</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Times New Roman" w:hAnsi="Times New Roman"/>
          <w:sz w:val="20"/>
        </w:rPr>
      </w:pPr>
      <w:bookmarkStart w:id="22" w:name="notes_to_unaudited_condensed_consolidate"/>
      <w:bookmarkEnd w:id="22"/>
      <w:r>
        <w:rPr>
          <w:rFonts w:ascii="Arial" w:hAnsi="Arial"/>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Organization</w:t>
      </w:r>
    </w:p>
    <w:p>
      <w:pPr>
        <w:pStyle w:val="TextBody"/>
        <w:bidi w:val="0"/>
        <w:spacing w:before="120" w:after="283"/>
        <w:jc w:val="both"/>
        <w:rPr>
          <w:rFonts w:ascii="Times New Roman" w:hAnsi="Times New Roman"/>
          <w:sz w:val="20"/>
        </w:rPr>
      </w:pPr>
      <w:r>
        <w:rPr>
          <w:rFonts w:ascii="Arial" w:hAnsi="Arial"/>
          <w:color w:val="000000"/>
          <w:sz w:val="20"/>
        </w:rPr>
        <w:t>LeonaBio, Inc.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and in January 2026 the Company changed its name to LeonaBio, Inc. The Company currently has office and laboratory space in Bothell, Washington. The Company is a clinical-stage biopharmaceutical company dedicated to the development of novel therapeutics for high unmet medical needs, including treatment-resistant metastatic breast cancer and amyotrophic lateral sclerosis.</w:t>
      </w:r>
    </w:p>
    <w:p>
      <w:pPr>
        <w:pStyle w:val="TextBody"/>
        <w:bidi w:val="0"/>
        <w:spacing w:before="36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12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prefunded common stock warrants, and convertible notes, and to a lesser extent from grant income and stock option exercises. From the Company’s inception through December 31, 2025, it has raised aggregate net cash proceeds of $489.8</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prefunded common stock warrants and convertible notes. In December 2025, the Company raised approximately $90</w:t>
      </w:r>
      <w:r>
        <w:rPr>
          <w:rFonts w:ascii="Times New Roman" w:hAnsi="Times New Roman"/>
          <w:color w:val="000000"/>
          <w:sz w:val="20"/>
        </w:rPr>
        <w:t xml:space="preserve"> </w:t>
      </w:r>
      <w:r>
        <w:rPr>
          <w:rFonts w:ascii="Arial" w:hAnsi="Arial"/>
          <w:color w:val="000000"/>
          <w:sz w:val="20"/>
        </w:rPr>
        <w:t>million in a Private Placement (as defined below), excluding placement agent fees and offering expenses. See Note 9 for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December 31, 2025, the Company had cash, cash equivalents and investments of $88.3</w:t>
      </w:r>
      <w:r>
        <w:rPr>
          <w:rFonts w:ascii="Times New Roman" w:hAnsi="Times New Roman"/>
          <w:color w:val="000000"/>
          <w:sz w:val="20"/>
        </w:rPr>
        <w:t xml:space="preserve"> </w:t>
      </w:r>
      <w:r>
        <w:rPr>
          <w:rFonts w:ascii="Arial" w:hAnsi="Arial"/>
          <w:color w:val="000000"/>
          <w:sz w:val="20"/>
        </w:rPr>
        <w:t>million. The Company’s net loss for the year ended December 31, 2025 was $105.6</w:t>
      </w:r>
      <w:r>
        <w:rPr>
          <w:rFonts w:ascii="Times New Roman" w:hAnsi="Times New Roman"/>
          <w:color w:val="000000"/>
          <w:sz w:val="20"/>
        </w:rPr>
        <w:t xml:space="preserve"> </w:t>
      </w:r>
      <w:r>
        <w:rPr>
          <w:rFonts w:ascii="Arial" w:hAnsi="Arial"/>
          <w:color w:val="000000"/>
          <w:sz w:val="20"/>
        </w:rPr>
        <w:t>million and cash used in operations for the year ended December 31, 2025 was $45.7</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40" w:after="283"/>
        <w:jc w:val="both"/>
        <w:rPr>
          <w:rFonts w:ascii="Times New Roman" w:hAnsi="Times New Roman"/>
          <w:sz w:val="20"/>
        </w:rPr>
      </w:pPr>
      <w:r>
        <w:rPr>
          <w:rFonts w:ascii="Arial" w:hAnsi="Arial"/>
          <w:color w:val="000000"/>
          <w:sz w:val="20"/>
        </w:rPr>
        <w:t>Based upon the Company’s current operating plan, it estimates that its $88.3</w:t>
      </w:r>
      <w:r>
        <w:rPr>
          <w:rFonts w:ascii="Times New Roman" w:hAnsi="Times New Roman"/>
          <w:color w:val="000000"/>
          <w:sz w:val="20"/>
        </w:rPr>
        <w:t xml:space="preserve"> </w:t>
      </w:r>
      <w:r>
        <w:rPr>
          <w:rFonts w:ascii="Arial" w:hAnsi="Arial"/>
          <w:color w:val="000000"/>
          <w:sz w:val="20"/>
        </w:rPr>
        <w:t>million of cash, cash equivalents and investments at December 31, 2025</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next 12 months following the date of the Company’s Annual Report on Form 10-K.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and BTIG, LLC for an “at the market” equity offering facility through which it may offer and sell shares of its common stock, however, the Company is currently unable to offer and sell shares under this facility due to its ineligibility to use a Registration Statement on Form S-3 through December 2026.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pStyle w:val="TextBody"/>
        <w:bidi w:val="0"/>
        <w:spacing w:before="240" w:after="283"/>
        <w:jc w:val="center"/>
        <w:rPr>
          <w:rFonts w:ascii="Arial" w:hAnsi="Arial"/>
          <w:color w:val="000000"/>
          <w:sz w:val="20"/>
        </w:rPr>
      </w:pPr>
      <w:r>
        <w:rPr>
          <w:rFonts w:ascii="Arial" w:hAnsi="Arial"/>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120" w:after="283"/>
        <w:jc w:val="both"/>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consolidated financial statements have been prepared in conformity with U.S. generally accepted accounting principles ("U.S. GAAP"). The consolidated financial statements include the operations of LeonaBio, Inc., and its wholly owned Australian subsidiary. All intercompany balances and transactions have been eliminated upon consolidation.</w:t>
      </w:r>
    </w:p>
    <w:p>
      <w:pPr>
        <w:pStyle w:val="TextBody"/>
        <w:bidi w:val="0"/>
        <w:spacing w:before="240" w:after="283"/>
        <w:jc w:val="both"/>
        <w:rPr>
          <w:rFonts w:ascii="Times New Roman" w:hAnsi="Times New Roman"/>
          <w:sz w:val="20"/>
        </w:rPr>
      </w:pPr>
      <w:r>
        <w:rPr>
          <w:rFonts w:ascii="Arial" w:hAnsi="Arial"/>
          <w:color w:val="000000"/>
          <w:sz w:val="20"/>
        </w:rPr>
        <w:t>The Company effected a reverse stock split on September 17, 2025 of its outstanding shares of common stock at a ratio of 1-for-10</w:t>
      </w:r>
      <w:r>
        <w:rPr>
          <w:rFonts w:ascii="Times New Roman" w:hAnsi="Times New Roman"/>
          <w:color w:val="000000"/>
          <w:sz w:val="20"/>
        </w:rPr>
        <w:t xml:space="preserve"> </w:t>
      </w:r>
      <w:r>
        <w:rPr>
          <w:rFonts w:ascii="Arial" w:hAnsi="Arial"/>
          <w:color w:val="000000"/>
          <w:sz w:val="20"/>
        </w:rPr>
        <w:t>pursuant to a Certificate of Amendment to the Company's Certificate of Incorporation filed with the Secretary of State of the State of Delaware (the "reverse stock split"). The reverse stock split was reflected on the Nasdaq Capital Market beginning with the opening of trading on September 18, 2025. The reverse stock split did not change the par value of the Company's common stock. The reverse stock split reduced the total number of authorized number of shares of the Company's common stock from 900,000,000</w:t>
      </w:r>
      <w:r>
        <w:rPr>
          <w:rFonts w:ascii="Times New Roman" w:hAnsi="Times New Roman"/>
          <w:color w:val="000000"/>
          <w:sz w:val="20"/>
        </w:rPr>
        <w:t xml:space="preserve"> </w:t>
      </w:r>
      <w:r>
        <w:rPr>
          <w:rFonts w:ascii="Arial" w:hAnsi="Arial"/>
          <w:color w:val="000000"/>
          <w:sz w:val="20"/>
        </w:rPr>
        <w:t>to 90,000,000</w:t>
      </w:r>
      <w:r>
        <w:rPr>
          <w:rFonts w:ascii="Times New Roman" w:hAnsi="Times New Roman"/>
          <w:color w:val="000000"/>
          <w:sz w:val="20"/>
        </w:rPr>
        <w:t xml:space="preserve"> </w:t>
      </w:r>
      <w:r>
        <w:rPr>
          <w:rFonts w:ascii="Arial" w:hAnsi="Arial"/>
          <w:color w:val="000000"/>
          <w:sz w:val="20"/>
        </w:rPr>
        <w:t>and the total number of authorized shares of the Company’s capital from 1,000,000,000</w:t>
      </w:r>
      <w:r>
        <w:rPr>
          <w:rFonts w:ascii="Times New Roman" w:hAnsi="Times New Roman"/>
          <w:color w:val="000000"/>
          <w:sz w:val="20"/>
        </w:rPr>
        <w:t xml:space="preserve"> </w:t>
      </w:r>
      <w:r>
        <w:rPr>
          <w:rFonts w:ascii="Arial" w:hAnsi="Arial"/>
          <w:color w:val="000000"/>
          <w:sz w:val="20"/>
        </w:rPr>
        <w:t>to 190,000,000. All share amounts and per share amounts disclosed in this Annual Report on Form 10-K have been restated to reflect the reverse stock split on a retroactive basis in all periods presented.</w:t>
      </w:r>
    </w:p>
    <w:p>
      <w:pPr>
        <w:pStyle w:val="TextBody"/>
        <w:bidi w:val="0"/>
        <w:spacing w:before="360" w:after="283"/>
        <w:jc w:val="both"/>
        <w:rPr>
          <w:rFonts w:ascii="Arial" w:hAnsi="Arial"/>
          <w:b/>
          <w:i/>
          <w:color w:val="000000"/>
          <w:sz w:val="20"/>
        </w:rPr>
      </w:pPr>
      <w:r>
        <w:rPr>
          <w:rFonts w:ascii="Arial" w:hAnsi="Arial"/>
          <w:b/>
          <w:i/>
          <w:color w:val="000000"/>
          <w:sz w:val="20"/>
        </w:rPr>
        <w:t>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4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360" w:after="283"/>
        <w:jc w:val="both"/>
        <w:rPr>
          <w:rFonts w:ascii="Arial" w:hAnsi="Arial"/>
          <w:b/>
          <w:i/>
          <w:color w:val="000000"/>
          <w:sz w:val="20"/>
        </w:rPr>
      </w:pPr>
      <w:r>
        <w:rPr>
          <w:rFonts w:ascii="Arial" w:hAnsi="Arial"/>
          <w:b/>
          <w:i/>
          <w:color w:val="000000"/>
          <w:sz w:val="20"/>
        </w:rPr>
        <w:t>Cash, cash equivalents and restricted cash</w:t>
      </w:r>
    </w:p>
    <w:p>
      <w:pPr>
        <w:pStyle w:val="TextBody"/>
        <w:bidi w:val="0"/>
        <w:spacing w:before="120" w:after="120"/>
        <w:jc w:val="both"/>
        <w:rPr>
          <w:rFonts w:ascii="Arial" w:hAnsi="Arial"/>
          <w:color w:val="000000"/>
          <w:sz w:val="20"/>
        </w:rPr>
      </w:pPr>
      <w:r>
        <w:rPr>
          <w:rFonts w:ascii="Arial" w:hAnsi="Arial"/>
          <w:color w:val="000000"/>
          <w:sz w:val="20"/>
        </w:rPr>
        <w:t xml:space="preserve">Cash and cash equivalents have a maturity date of less than three months to maturity when acquired by the Company. Restricted cash consists of collateral pledged in connection with the Company's corporate credit cards. The table below reconciles the balances of cash and cash equivalents and restricted cash </w:t>
      </w:r>
    </w:p>
    <w:p>
      <w:pPr>
        <w:pStyle w:val="TextBody"/>
        <w:bidi w:val="0"/>
        <w:spacing w:before="240" w:after="283"/>
        <w:jc w:val="center"/>
        <w:rPr>
          <w:rFonts w:ascii="Arial" w:hAnsi="Arial"/>
          <w:color w:val="000000"/>
          <w:sz w:val="20"/>
        </w:rPr>
      </w:pPr>
      <w:r>
        <w:rPr>
          <w:rFonts w:ascii="Arial" w:hAnsi="Arial"/>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reported on the consolidated balance sheets to the balances of cash, cash equivalents and restricted cash reported on the consolidated statements of cash flows.</w:t>
      </w:r>
    </w:p>
    <w:tbl>
      <w:tblPr>
        <w:tblW w:w="6855" w:type="dxa"/>
        <w:jc w:val="left"/>
        <w:tblInd w:w="0" w:type="dxa"/>
        <w:tblLayout w:type="fixed"/>
        <w:tblCellMar>
          <w:top w:w="28" w:type="dxa"/>
          <w:left w:w="28" w:type="dxa"/>
          <w:bottom w:w="28" w:type="dxa"/>
          <w:right w:w="28" w:type="dxa"/>
        </w:tblCellMar>
      </w:tblPr>
      <w:tblGrid>
        <w:gridCol w:w="3886"/>
        <w:gridCol w:w="146"/>
        <w:gridCol w:w="273"/>
        <w:gridCol w:w="897"/>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Arial" w:hAnsi="Arial"/>
          <w:b/>
          <w:i/>
          <w:color w:val="000000"/>
          <w:sz w:val="20"/>
        </w:rPr>
      </w:pPr>
      <w:r>
        <w:rPr>
          <w:rFonts w:ascii="Arial" w:hAnsi="Arial"/>
          <w:b/>
          <w:i/>
          <w:color w:val="000000"/>
          <w:sz w:val="20"/>
        </w:rPr>
        <w:t>Short-term Investments</w:t>
      </w:r>
    </w:p>
    <w:p>
      <w:pPr>
        <w:pStyle w:val="TextBody"/>
        <w:bidi w:val="0"/>
        <w:spacing w:before="12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360" w:after="283"/>
        <w:jc w:val="both"/>
        <w:rPr>
          <w:rFonts w:ascii="Arial" w:hAnsi="Arial"/>
          <w:b/>
          <w:i/>
          <w:color w:val="000000"/>
          <w:sz w:val="20"/>
        </w:rPr>
      </w:pPr>
      <w:r>
        <w:rPr>
          <w:rFonts w:ascii="Arial" w:hAnsi="Arial"/>
          <w:b/>
          <w:i/>
          <w:color w:val="000000"/>
          <w:sz w:val="20"/>
        </w:rPr>
        <w:t>Warrants</w:t>
      </w:r>
    </w:p>
    <w:p>
      <w:pPr>
        <w:pStyle w:val="TextBody"/>
        <w:bidi w:val="0"/>
        <w:spacing w:before="120" w:after="283"/>
        <w:jc w:val="both"/>
        <w:rPr>
          <w:rFonts w:ascii="Times New Roman" w:hAnsi="Times New Roman"/>
          <w:sz w:val="20"/>
        </w:rPr>
      </w:pPr>
      <w:r>
        <w:rPr>
          <w:rFonts w:ascii="Arial" w:hAnsi="Arial"/>
          <w:color w:val="000000"/>
          <w:sz w:val="20"/>
        </w:rPr>
        <w:t>The Company accounts for warrants as either equity-classified or liability-classified instruments based on an assessment of the warrant’s specific terms and applicable authoritative guidance in Accounting Standards Codification ("ASC") 480 and ASC 815. This assessment is conducted at the time the warrants are issued and as of each subsequent reporting period while the warrants are outstanding.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warrants that meet all criteria for equity classification, the warrants are required to be recorded at their initial fair value at the time of issuance, as a component of additional paid-in capital, on the consolidated statement of stockholders’ equity. For warrants that do not meet all the criteria for equity classification, the warrants are required to be recorded at their initial fair value on the date of issuance, and on each balance sheet date thereafter. Changes in the estimated fair value of the warrants are recorded as a non-cash gain or loss on the consolidated statements of operations and comprehensive loss.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fair value of warrant liabilities, fair value of milestone liability,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Times New Roman" w:hAnsi="Times New Roman"/>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40" w:after="283"/>
        <w:jc w:val="both"/>
        <w:rPr>
          <w:rFonts w:ascii="Arial" w:hAnsi="Arial"/>
          <w:color w:val="000000"/>
          <w:sz w:val="20"/>
        </w:rPr>
      </w:pPr>
      <w:r>
        <w:rPr>
          <w:rFonts w:ascii="Arial" w:hAnsi="Arial"/>
          <w:color w:val="000000"/>
          <w:sz w:val="20"/>
        </w:rPr>
        <w:t>Acquired in-process research and development costs represent amounts incurred to acquire externally developed in-process research and development (“IPR&amp;D”) projects in transactions other than business combinations when the acquired assets have no alternative future use. These costs are expensed as incurred. Amounts included in acquired in-process research and development consist of upfront cash payments, equity instruments issued as consideration, contingent consideration that meets the criteria for recognition, and liabilities incurred to acquire the rights to the underlying IPR&amp;D projects.</w:t>
      </w:r>
    </w:p>
    <w:p>
      <w:pPr>
        <w:pStyle w:val="TextBody"/>
        <w:bidi w:val="0"/>
        <w:spacing w:before="360" w:after="283"/>
        <w:jc w:val="both"/>
        <w:rPr>
          <w:rFonts w:ascii="Arial" w:hAnsi="Arial"/>
          <w:b/>
          <w:i/>
          <w:color w:val="000000"/>
          <w:sz w:val="20"/>
        </w:rPr>
      </w:pPr>
      <w:r>
        <w:rPr>
          <w:rFonts w:ascii="Arial" w:hAnsi="Arial"/>
          <w:b/>
          <w:i/>
          <w:color w:val="000000"/>
          <w:sz w:val="20"/>
        </w:rPr>
        <w:t>Asset acquisitions</w:t>
      </w:r>
    </w:p>
    <w:p>
      <w:pPr>
        <w:pStyle w:val="TextBody"/>
        <w:bidi w:val="0"/>
        <w:spacing w:before="120" w:after="283"/>
        <w:jc w:val="both"/>
        <w:rPr>
          <w:rFonts w:ascii="Arial" w:hAnsi="Arial"/>
          <w:color w:val="000000"/>
          <w:sz w:val="20"/>
        </w:rPr>
      </w:pPr>
      <w:r>
        <w:rPr>
          <w:rFonts w:ascii="Arial" w:hAnsi="Arial"/>
          <w:color w:val="000000"/>
          <w:sz w:val="20"/>
        </w:rPr>
        <w:t>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acquired in-process research and development at the acquisition date.</w:t>
      </w:r>
    </w:p>
    <w:p>
      <w:pPr>
        <w:pStyle w:val="TextBody"/>
        <w:bidi w:val="0"/>
        <w:spacing w:before="360" w:after="283"/>
        <w:jc w:val="both"/>
        <w:rPr>
          <w:rFonts w:ascii="Arial" w:hAnsi="Arial"/>
          <w:b/>
          <w:i/>
          <w:color w:val="000000"/>
          <w:sz w:val="20"/>
        </w:rPr>
      </w:pPr>
      <w:r>
        <w:rPr>
          <w:rFonts w:ascii="Arial" w:hAnsi="Arial"/>
          <w:b/>
          <w:i/>
          <w:color w:val="000000"/>
          <w:sz w:val="20"/>
        </w:rPr>
        <w:t>Contingent consideration arrangements</w:t>
      </w:r>
    </w:p>
    <w:p>
      <w:pPr>
        <w:pStyle w:val="TextBody"/>
        <w:bidi w:val="0"/>
        <w:spacing w:before="120" w:after="120"/>
        <w:jc w:val="both"/>
        <w:rPr>
          <w:rFonts w:ascii="Arial" w:hAnsi="Arial"/>
          <w:color w:val="000000"/>
          <w:sz w:val="20"/>
        </w:rPr>
      </w:pPr>
      <w:r>
        <w:rPr>
          <w:rFonts w:ascii="Arial" w:hAnsi="Arial"/>
          <w:color w:val="000000"/>
          <w:sz w:val="20"/>
        </w:rPr>
        <w:t>In connection with certain asset acquisitions, the Company may agree to make certain milestone payments to the owners of licensed technology acquired upon the achievement of certain development, clinical and commercial milestones. These obligations may be settled in cash or in the Company’s equity shares.</w:t>
      </w:r>
    </w:p>
    <w:p>
      <w:pPr>
        <w:pStyle w:val="TextBody"/>
        <w:bidi w:val="0"/>
        <w:spacing w:before="120" w:after="283"/>
        <w:jc w:val="both"/>
        <w:rPr>
          <w:rFonts w:ascii="Times New Roman" w:hAnsi="Times New Roman"/>
          <w:sz w:val="20"/>
        </w:rPr>
      </w:pPr>
      <w:r>
        <w:rPr>
          <w:rFonts w:ascii="Arial" w:hAnsi="Arial"/>
          <w:color w:val="000000"/>
          <w:sz w:val="20"/>
        </w:rPr>
        <w:t xml:space="preserve">Contingent consideration payable in cash is first evaluated under ASC 815 to determine whether the arrangement meets the definition of a derivative. If the contingent payment arrangement does not qualify as a derivative under ASC 815, the Company applies the guidance in ASC 450, </w:t>
      </w:r>
      <w:r>
        <w:rPr>
          <w:rFonts w:ascii="Arial" w:hAnsi="Arial"/>
          <w:i/>
          <w:color w:val="000000"/>
          <w:sz w:val="20"/>
        </w:rPr>
        <w:t>Contingencies</w:t>
      </w:r>
      <w:r>
        <w:rPr>
          <w:rFonts w:ascii="Arial" w:hAnsi="Arial"/>
          <w:color w:val="000000"/>
          <w:sz w:val="20"/>
        </w:rPr>
        <w:t>. Under this model, contingent consideration is not included in the cost of the assets acquired until the contingency is resolved. A liability is recognized only when the contingent payment is probable and reasonably estimable.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Contingent consideration that is required or may be settled in the Company’s equity shares is evaluated under ASC 480, </w:t>
      </w:r>
      <w:r>
        <w:rPr>
          <w:rFonts w:ascii="Arial" w:hAnsi="Arial"/>
          <w:i/>
          <w:color w:val="000000"/>
          <w:sz w:val="20"/>
        </w:rPr>
        <w:t>Distinguishing Liabilities from Equity</w:t>
      </w:r>
      <w:r>
        <w:rPr>
          <w:rFonts w:ascii="Arial" w:hAnsi="Arial"/>
          <w:color w:val="000000"/>
          <w:sz w:val="20"/>
        </w:rPr>
        <w:t>, to determine proper classification. Obligations that require or may require the Company to issue a variable number of shares with a monetary value that is fixed, indexed to something other than the Company’s own shares, or based on an obligation to repurchase shares are classified as liabilities under ASC 480.</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Contingent consideration arrangements classified as liabilities under ASC 480 are carried at fair value. The Company estimates the fair value by applying a probability-based model that utilizes inputs primarily based upon the achievement and related timing of certain development, clinical and commercial milestones that were unobservable in the market. The estimated fair value of contingent consideration liabilities, initially measured and recorded on the acquisition date, are considered to be a Level 3 fair value measurement and are reviewed quarterly, or whenever events or circumstances occur that indicate a change in fair value. The contingent consideration liabilities are recorded at fair value at the end of each reporting period with</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changes in estimated fair values recorded in other income (expense) in the consolidated statements of operations and other comprehensive loss.</w:t>
      </w:r>
    </w:p>
    <w:p>
      <w:pPr>
        <w:pStyle w:val="TextBody"/>
        <w:bidi w:val="0"/>
        <w:spacing w:before="240" w:after="283"/>
        <w:jc w:val="both"/>
        <w:rPr>
          <w:rFonts w:ascii="Arial" w:hAnsi="Arial"/>
          <w:color w:val="000000"/>
          <w:sz w:val="20"/>
        </w:rPr>
      </w:pPr>
      <w:r>
        <w:rPr>
          <w:rFonts w:ascii="Arial" w:hAnsi="Arial"/>
          <w:color w:val="000000"/>
          <w:sz w:val="20"/>
        </w:rPr>
        <w:t>Significant changes in any of the probabilities of success or in the probabilities as to the periods in which milestones would be achieved could result in a significantly higher or lower fair value measurement. The Company will continue to adjust the liabilities for changes in fair value until the earlier of the achievement or expiration of the obligations.</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360" w:after="283"/>
        <w:jc w:val="both"/>
        <w:rPr>
          <w:rFonts w:ascii="Arial" w:hAnsi="Arial"/>
          <w:b/>
          <w:i/>
          <w:color w:val="000000"/>
          <w:sz w:val="20"/>
        </w:rPr>
      </w:pPr>
      <w:r>
        <w:rPr>
          <w:rFonts w:ascii="Arial" w:hAnsi="Arial"/>
          <w:b/>
          <w:i/>
          <w:color w:val="000000"/>
          <w:sz w:val="20"/>
        </w:rPr>
        <w:t>Leases</w:t>
      </w:r>
    </w:p>
    <w:p>
      <w:pPr>
        <w:pStyle w:val="TextBody"/>
        <w:bidi w:val="0"/>
        <w:spacing w:before="120" w:after="283"/>
        <w:jc w:val="both"/>
        <w:rPr>
          <w:rFonts w:ascii="Times New Roman" w:hAnsi="Times New Roman"/>
          <w:sz w:val="20"/>
        </w:rPr>
      </w:pPr>
      <w:r>
        <w:rPr>
          <w:rFonts w:ascii="Arial" w:hAnsi="Arial"/>
          <w:color w:val="000000"/>
          <w:sz w:val="20"/>
        </w:rPr>
        <w:t xml:space="preserve">The Company adopted Accounting Standards Codification,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36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Times New Roman" w:hAnsi="Times New Roman"/>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("RSUs") is based upon the fair market value of the Company’s common stock based on its closing price as reported on the date of grant on the Nasdaq</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Capital Market.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RSU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360" w:after="283"/>
        <w:jc w:val="both"/>
        <w:rPr>
          <w:rFonts w:ascii="Arial" w:hAnsi="Arial"/>
          <w:b/>
          <w:i/>
          <w:color w:val="000000"/>
          <w:sz w:val="20"/>
        </w:rPr>
      </w:pPr>
      <w:r>
        <w:rPr>
          <w:rFonts w:ascii="Arial" w:hAnsi="Arial"/>
          <w:b/>
          <w:i/>
          <w:color w:val="000000"/>
          <w:sz w:val="20"/>
        </w:rPr>
        <w:t>Property and Equipment</w:t>
      </w:r>
    </w:p>
    <w:p>
      <w:pPr>
        <w:pStyle w:val="TextBody"/>
        <w:bidi w:val="0"/>
        <w:spacing w:before="120" w:after="283"/>
        <w:jc w:val="both"/>
        <w:rPr>
          <w:rFonts w:ascii="Times New Roman" w:hAnsi="Times New Roman"/>
          <w:sz w:val="20"/>
        </w:rPr>
      </w:pPr>
      <w:r>
        <w:rPr>
          <w:rFonts w:ascii="Arial" w:hAnsi="Arial"/>
          <w:color w:val="000000"/>
          <w:sz w:val="20"/>
        </w:rPr>
        <w:t>Property and equipment consist of computer equipment, computer software, laboratory equipment, leasehold improvements and furniture and office equipment. Property and equipment, excluding leasehold improvements, are recorded at cost and depreciation is recognized using the straight-line method based on estimated useful life, generally three</w:t>
      </w:r>
      <w:r>
        <w:rPr>
          <w:rFonts w:ascii="Times New Roman" w:hAnsi="Times New Roman"/>
          <w:color w:val="000000"/>
          <w:sz w:val="20"/>
        </w:rPr>
        <w:t xml:space="preserve"> </w:t>
      </w:r>
      <w:r>
        <w:rPr>
          <w:rFonts w:ascii="Arial" w:hAnsi="Arial"/>
          <w:color w:val="000000"/>
          <w:sz w:val="20"/>
        </w:rPr>
        <w:t>to five years. Leasehold improvements are amortized over the shorter of their useful life or the remaining lease term. Maintenance and repairs are charged to expense as incurred, and costs of improvements are capitalized.</w:t>
      </w:r>
    </w:p>
    <w:p>
      <w:pPr>
        <w:pStyle w:val="TextBody"/>
        <w:bidi w:val="0"/>
        <w:spacing w:before="240" w:after="283"/>
        <w:jc w:val="both"/>
        <w:rPr>
          <w:rFonts w:ascii="Times New Roman" w:hAnsi="Times New Roman"/>
          <w:sz w:val="20"/>
        </w:rPr>
      </w:pPr>
      <w:r>
        <w:rPr>
          <w:rFonts w:ascii="Arial" w:hAnsi="Arial"/>
          <w:color w:val="000000"/>
          <w:sz w:val="20"/>
        </w:rPr>
        <w:t>The Company reviews long-lived assets for impairment whenever events or circumstances indicate the carrying amount of an asset group may not be recoverable. Should an impairment exist, the impairment loss would be measured based on the excess of the asset's carrying amount over its fair value. Gains and losses from asset disposals and impairment losses are classified within the consolidated statements of operations and comprehensive loss in accordance with the use of the asset. There were no</w:t>
      </w:r>
      <w:r>
        <w:rPr>
          <w:rFonts w:ascii="Times New Roman" w:hAnsi="Times New Roman"/>
          <w:color w:val="000000"/>
          <w:sz w:val="20"/>
        </w:rPr>
        <w:t xml:space="preserve"> </w:t>
      </w:r>
      <w:r>
        <w:rPr>
          <w:rFonts w:ascii="Arial" w:hAnsi="Arial"/>
          <w:color w:val="000000"/>
          <w:sz w:val="20"/>
        </w:rPr>
        <w:t>impairment losses in the years ended December 31, 2025 and 2024 as there have been no events warranting an impairment analysis.</w:t>
      </w:r>
    </w:p>
    <w:p>
      <w:pPr>
        <w:pStyle w:val="TextBody"/>
        <w:bidi w:val="0"/>
        <w:spacing w:before="360" w:after="283"/>
        <w:jc w:val="both"/>
        <w:rPr>
          <w:rFonts w:ascii="Arial" w:hAnsi="Arial"/>
          <w:b/>
          <w:i/>
          <w:color w:val="000000"/>
          <w:sz w:val="20"/>
        </w:rPr>
      </w:pPr>
      <w:r>
        <w:rPr>
          <w:rFonts w:ascii="Arial" w:hAnsi="Arial"/>
          <w:b/>
          <w:i/>
          <w:color w:val="000000"/>
          <w:sz w:val="20"/>
        </w:rPr>
        <w:t>Income Taxes</w:t>
      </w:r>
    </w:p>
    <w:p>
      <w:pPr>
        <w:pStyle w:val="TextBody"/>
        <w:bidi w:val="0"/>
        <w:spacing w:before="120" w:after="283"/>
        <w:jc w:val="both"/>
        <w:rPr>
          <w:rFonts w:ascii="Arial" w:hAnsi="Arial"/>
          <w:color w:val="000000"/>
          <w:sz w:val="20"/>
        </w:rPr>
      </w:pPr>
      <w:r>
        <w:rPr>
          <w:rFonts w:ascii="Arial" w:hAnsi="Arial"/>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before="240" w:after="283"/>
        <w:jc w:val="both"/>
        <w:rPr>
          <w:rFonts w:ascii="Arial" w:hAnsi="Arial"/>
          <w:color w:val="000000"/>
          <w:sz w:val="20"/>
        </w:rPr>
      </w:pPr>
      <w:r>
        <w:rPr>
          <w:rFonts w:ascii="Arial" w:hAnsi="Arial"/>
          <w:color w:val="000000"/>
          <w:sz w:val="20"/>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pStyle w:val="TextBody"/>
        <w:bidi w:val="0"/>
        <w:spacing w:before="240" w:after="283"/>
        <w:jc w:val="both"/>
        <w:rPr>
          <w:rFonts w:ascii="Arial" w:hAnsi="Arial"/>
          <w:color w:val="000000"/>
          <w:sz w:val="20"/>
        </w:rPr>
      </w:pPr>
      <w:r>
        <w:rPr>
          <w:rFonts w:ascii="Arial" w:hAnsi="Arial"/>
          <w:color w:val="000000"/>
          <w:sz w:val="20"/>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pStyle w:val="TextBody"/>
        <w:bidi w:val="0"/>
        <w:spacing w:before="240" w:after="283"/>
        <w:jc w:val="center"/>
        <w:rPr>
          <w:rFonts w:ascii="Arial" w:hAnsi="Arial"/>
          <w:color w:val="000000"/>
          <w:sz w:val="20"/>
        </w:rPr>
      </w:pPr>
      <w:r>
        <w:rPr>
          <w:rFonts w:ascii="Arial" w:hAnsi="Arial"/>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Comprehensive Loss Attributable to Common Stockholders</w:t>
      </w:r>
    </w:p>
    <w:p>
      <w:pPr>
        <w:pStyle w:val="TextBody"/>
        <w:bidi w:val="0"/>
        <w:spacing w:before="120" w:after="283"/>
        <w:jc w:val="both"/>
        <w:rPr>
          <w:rFonts w:ascii="Arial" w:hAnsi="Arial"/>
          <w:color w:val="000000"/>
          <w:sz w:val="20"/>
        </w:rPr>
      </w:pPr>
      <w:r>
        <w:rPr>
          <w:rFonts w:ascii="Arial" w:hAnsi="Arial"/>
          <w:color w:val="000000"/>
          <w:sz w:val="20"/>
        </w:rPr>
        <w:t>Comprehensive loss attributable to common stockholders consists of net loss and other gains and losses affecting stockholders’ equity that, under U.S. GAAP, are excluded from net loss. The Company’s comprehensive loss attributable to common stockholders is comprised of net loss and unrealized gains and losses on available-for-sale securities.</w:t>
      </w:r>
    </w:p>
    <w:p>
      <w:pPr>
        <w:pStyle w:val="TextBody"/>
        <w:bidi w:val="0"/>
        <w:spacing w:before="36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12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calculated using the more dilutive of the two-class method or treasury method. Diluted net loss per share is the same as basic net loss per share attributable to common stockholders since the effect of potentially dilutive securities is anti-dilutive.</w:t>
      </w:r>
    </w:p>
    <w:p>
      <w:pPr>
        <w:pStyle w:val="TextBody"/>
        <w:bidi w:val="0"/>
        <w:spacing w:before="360" w:after="283"/>
        <w:jc w:val="both"/>
        <w:rPr>
          <w:rFonts w:ascii="Arial" w:hAnsi="Arial"/>
          <w:b/>
          <w:i/>
          <w:color w:val="000000"/>
          <w:sz w:val="20"/>
        </w:rPr>
      </w:pPr>
      <w:r>
        <w:rPr>
          <w:rFonts w:ascii="Arial" w:hAnsi="Arial"/>
          <w:b/>
          <w:i/>
          <w:color w:val="000000"/>
          <w:sz w:val="20"/>
        </w:rPr>
        <w:t>Foreign Currency Transaction Remeasurement Adjustments</w:t>
      </w:r>
    </w:p>
    <w:p>
      <w:pPr>
        <w:pStyle w:val="TextBody"/>
        <w:bidi w:val="0"/>
        <w:spacing w:before="120" w:after="283"/>
        <w:jc w:val="both"/>
        <w:rPr>
          <w:rFonts w:ascii="Arial" w:hAnsi="Arial"/>
          <w:color w:val="000000"/>
          <w:sz w:val="20"/>
        </w:rPr>
      </w:pPr>
      <w:r>
        <w:rPr>
          <w:rFonts w:ascii="Arial" w:hAnsi="Arial"/>
          <w:color w:val="000000"/>
          <w:sz w:val="20"/>
        </w:rPr>
        <w:t>Monetary assets and liabilities denominated in foreign currencies were translated into U.S. dollars, the reporting currency, at the exchange rate prevailing at the balance sheet date. Income and expenses denominated in foreign currencies were translated into U.S. dollars at the average exchange rate for the period and the transaction remeasurement adjustments are reported within other income, net in the consolidated statement of operations and comprehensive loss. The functional currency of the Company’s Australian subsidiary is the U.S. dollar.</w:t>
      </w:r>
    </w:p>
    <w:p>
      <w:pPr>
        <w:pStyle w:val="TextBody"/>
        <w:bidi w:val="0"/>
        <w:spacing w:before="360" w:after="283"/>
        <w:jc w:val="both"/>
        <w:rPr>
          <w:rFonts w:ascii="Arial" w:hAnsi="Arial"/>
          <w:b/>
          <w:i/>
          <w:color w:val="000000"/>
          <w:sz w:val="20"/>
        </w:rPr>
      </w:pPr>
      <w:r>
        <w:rPr>
          <w:rFonts w:ascii="Arial" w:hAnsi="Arial"/>
          <w:b/>
          <w:i/>
          <w:color w:val="000000"/>
          <w:sz w:val="20"/>
        </w:rPr>
        <w:t>Recent Accounting Pronouncements</w:t>
      </w:r>
    </w:p>
    <w:p>
      <w:pPr>
        <w:pStyle w:val="TextBody"/>
        <w:bidi w:val="0"/>
        <w:spacing w:before="120" w:after="283"/>
        <w:jc w:val="both"/>
        <w:rPr>
          <w:rFonts w:ascii="Times New Roman" w:hAnsi="Times New Roman"/>
          <w:sz w:val="20"/>
        </w:rPr>
      </w:pPr>
      <w:r>
        <w:rPr>
          <w:rFonts w:ascii="Arial" w:hAnsi="Arial"/>
          <w:color w:val="000000"/>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adopted</w:t>
      </w:r>
      <w:r>
        <w:rPr>
          <w:rFonts w:ascii="Times New Roman" w:hAnsi="Times New Roman"/>
          <w:color w:val="000000"/>
          <w:sz w:val="20"/>
        </w:rPr>
        <w:t xml:space="preserve"> </w:t>
      </w:r>
      <w:r>
        <w:rPr>
          <w:rFonts w:ascii="Arial" w:hAnsi="Arial"/>
          <w:color w:val="000000"/>
          <w:sz w:val="20"/>
        </w:rPr>
        <w:t>ASU 2023-09, Income Taxes (Topic 740): Improvements to Income Tax Disclosures for the year ended December 31, 2025 on a prospective basis.</w:t>
      </w:r>
    </w:p>
    <w:p>
      <w:pPr>
        <w:pStyle w:val="TextBody"/>
        <w:bidi w:val="0"/>
        <w:spacing w:before="240" w:after="283"/>
        <w:jc w:val="both"/>
        <w:rPr>
          <w:rFonts w:ascii="Times New Roman" w:hAnsi="Times New Roman"/>
          <w:sz w:val="20"/>
        </w:rPr>
      </w:pPr>
      <w:r>
        <w:rPr>
          <w:rFonts w:ascii="Arial" w:hAnsi="Arial"/>
          <w:color w:val="000000"/>
          <w:sz w:val="20"/>
        </w:rPr>
        <w:t>In September 2025, the FASB issued ASU 2025-07, Derivatives and Hedging (Topic 815) and Revenue from Contracts with Customers (Topic 606). Among other things, this ASU refines the scope of Topic 815 to clarify which contracts are subject to derivative accounting. The Company has elected to early adopt</w:t>
      </w:r>
      <w:r>
        <w:rPr>
          <w:rFonts w:ascii="Times New Roman" w:hAnsi="Times New Roman"/>
          <w:color w:val="000000"/>
          <w:sz w:val="20"/>
        </w:rPr>
        <w:t xml:space="preserve"> </w:t>
      </w:r>
      <w:r>
        <w:rPr>
          <w:rFonts w:ascii="Arial" w:hAnsi="Arial"/>
          <w:color w:val="000000"/>
          <w:sz w:val="20"/>
        </w:rPr>
        <w:t>this standard prospectively for its annual period ending on December 31, 2025, with no material impact</w:t>
      </w:r>
      <w:r>
        <w:rPr>
          <w:rFonts w:ascii="Times New Roman" w:hAnsi="Times New Roman"/>
          <w:color w:val="000000"/>
          <w:sz w:val="20"/>
        </w:rPr>
        <w:t xml:space="preserve"> </w:t>
      </w:r>
      <w:r>
        <w:rPr>
          <w:rFonts w:ascii="Arial" w:hAnsi="Arial"/>
          <w:color w:val="000000"/>
          <w:sz w:val="20"/>
        </w:rPr>
        <w:t>upon adoption.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3. Asset and License Acquisition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On December 18, 2025 (the “Effective Date”), the Company entered into agreements with Sermonix Pharmaceuticals, Inc. (“Sermonix”) and Ligand Pharmaceuticals Incorporated (“Ligand”), granting the Company exclusive licenses and rights to develop, manufacture and commercialize oral forms of the selective estrogen-receptor modulator known as lasofoxifene in all countries and territories of the world except for Asia and certain countries in the Middle East (the “Retained Territory”).</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Sermonix License</w:t>
      </w:r>
    </w:p>
    <w:p>
      <w:pPr>
        <w:pStyle w:val="TextBody"/>
        <w:bidi w:val="0"/>
        <w:spacing w:before="120" w:after="283"/>
        <w:jc w:val="both"/>
        <w:rPr>
          <w:rFonts w:ascii="Times New Roman" w:hAnsi="Times New Roman"/>
          <w:sz w:val="20"/>
        </w:rPr>
      </w:pPr>
      <w:r>
        <w:rPr>
          <w:rFonts w:ascii="Arial" w:hAnsi="Arial"/>
          <w:color w:val="000000"/>
          <w:sz w:val="20"/>
        </w:rPr>
        <w:t>Under the Company's license agreement with Sermonix (the "Sermonix License"), the Company received from Sermonix an exclusive (even as to Sermonix), sublicensable license, under relevant patents and know-how owned or in-licensed by Sermonix, to develop, manufacture, commercialize and otherwise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exploit products containing lasofoxifene (the “Licensed Products”) in all countries outside the Retained Territory (the “Licensed Territory”). Such license does not include a sublicense under the patents and know-how that Sermonix previously in-licensed from Ligand because the Company and Ligand entered into a direct license agreement (the “Ligand Agreement”) to replace Sermonix’s license from Ligand with respect to Licensed Products in the Licensed Territory, described in further detail below.</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Under the Sermonix License, the Company has the sole right to conduct all development (including regulatory activities), manufacturing and commercialization of Licensed Products in the Licensed Territory, at the Company’s sole cost and expense. The Company is obligated to use commercially reasonable efforts to develop and obtain and maintain regulatory approval for at least one Licensed Product in the Licensed Territory and, following receipt of regulatory approval, to use commercially reasonable efforts to commercialize the applicable Licensed Product in the country of approval. The Company assumed certain of Sermonix’s agreements with third parties that are conducting or supporting the ongoing ELAINE-3 clinical trial of lasofoxifene in the Licensed Territory and certain agreements with third-party contract manufacturers that have been supplying drug substance and drug product for the ELAINE-3 trial. All of Sermonix’s existing inventory of Licensed Product drug substance and drug product was transferred to the Company at no additional cost and the Company agreed to provide a portion of such inventory to Shanghai Henlius Biotech, Inc. ("Henlius") for use in the ELAINE-3 trial in the Retained Territory.</w:t>
      </w:r>
    </w:p>
    <w:p>
      <w:pPr>
        <w:pStyle w:val="TextBody"/>
        <w:bidi w:val="0"/>
        <w:spacing w:before="240" w:after="283"/>
        <w:jc w:val="both"/>
        <w:rPr>
          <w:rFonts w:ascii="Arial" w:hAnsi="Arial"/>
          <w:color w:val="000000"/>
          <w:sz w:val="20"/>
        </w:rPr>
      </w:pPr>
      <w:r>
        <w:rPr>
          <w:rFonts w:ascii="Arial" w:hAnsi="Arial"/>
          <w:color w:val="000000"/>
          <w:sz w:val="20"/>
        </w:rPr>
        <w:t>The consideration for the rights granted to the Company under the Sermonix License consists of the following:</w:t>
      </w:r>
    </w:p>
    <w:p>
      <w:pPr>
        <w:pStyle w:val="TextBody"/>
        <w:bidi w:val="0"/>
        <w:spacing w:before="120" w:after="283"/>
        <w:jc w:val="both"/>
        <w:rPr>
          <w:rFonts w:ascii="Arial" w:hAnsi="Arial"/>
          <w:color w:val="000000"/>
          <w:sz w:val="20"/>
        </w:rPr>
      </w:pPr>
      <w:r>
        <w:rPr>
          <w:rFonts w:ascii="Arial" w:hAnsi="Arial"/>
          <w:color w:val="000000"/>
          <w:sz w:val="20"/>
        </w:rPr>
        <w:t>(i)</w:t>
      </w:r>
    </w:p>
    <w:p>
      <w:pPr>
        <w:pStyle w:val="TextBody"/>
        <w:bidi w:val="0"/>
        <w:spacing w:before="120" w:after="283"/>
        <w:jc w:val="both"/>
        <w:rPr/>
      </w:pPr>
      <w:r>
        <w:rPr>
          <w:rFonts w:ascii="Arial" w:hAnsi="Arial"/>
          <w:color w:val="000000"/>
          <w:sz w:val="20"/>
        </w:rPr>
        <w:t>Pre-funded warrants to purchase 5,502,402</w:t>
      </w:r>
      <w:r>
        <w:rPr>
          <w:color w:val="000000"/>
        </w:rPr>
        <w:t xml:space="preserve"> </w:t>
      </w:r>
      <w:r>
        <w:rPr>
          <w:rFonts w:ascii="Arial" w:hAnsi="Arial"/>
          <w:color w:val="000000"/>
          <w:sz w:val="20"/>
        </w:rPr>
        <w:t>shares of the Company’s common stock at an exercise price of $0.001</w:t>
      </w:r>
      <w:r>
        <w:rPr>
          <w:color w:val="000000"/>
        </w:rPr>
        <w:t xml:space="preserve"> </w:t>
      </w:r>
      <w:r>
        <w:rPr>
          <w:rFonts w:ascii="Arial" w:hAnsi="Arial"/>
          <w:color w:val="000000"/>
          <w:sz w:val="20"/>
        </w:rPr>
        <w:t xml:space="preserve">per share (the “Sermonix Pre-Funded Warrant”), issued to Sermonix on the Effective Date pursuant to the securities purchase agreement executed between the Company and Sermonix on December 18, 2025 (the “Sermonix Securities Purchase Agreement”), </w:t>
      </w:r>
    </w:p>
    <w:p>
      <w:pPr>
        <w:pStyle w:val="TextBody"/>
        <w:bidi w:val="0"/>
        <w:spacing w:before="120" w:after="283"/>
        <w:jc w:val="both"/>
        <w:rPr>
          <w:rFonts w:ascii="Arial" w:hAnsi="Arial"/>
          <w:color w:val="000000"/>
          <w:sz w:val="20"/>
        </w:rPr>
      </w:pPr>
      <w:r>
        <w:rPr>
          <w:rFonts w:ascii="Arial" w:hAnsi="Arial"/>
          <w:color w:val="000000"/>
          <w:sz w:val="20"/>
        </w:rPr>
        <w:t>(ii)</w:t>
      </w:r>
    </w:p>
    <w:p>
      <w:pPr>
        <w:pStyle w:val="TextBody"/>
        <w:bidi w:val="0"/>
        <w:spacing w:before="120" w:after="283"/>
        <w:jc w:val="both"/>
        <w:rPr/>
      </w:pPr>
      <w:r>
        <w:rPr>
          <w:rFonts w:ascii="Arial" w:hAnsi="Arial"/>
          <w:color w:val="000000"/>
          <w:sz w:val="20"/>
        </w:rPr>
        <w:t>Assumption of liabilities totaling approximately $16.8</w:t>
      </w:r>
      <w:r>
        <w:rPr>
          <w:color w:val="000000"/>
        </w:rPr>
        <w:t xml:space="preserve"> </w:t>
      </w:r>
      <w:r>
        <w:rPr>
          <w:rFonts w:ascii="Arial" w:hAnsi="Arial"/>
          <w:color w:val="000000"/>
          <w:sz w:val="20"/>
        </w:rPr>
        <w:t xml:space="preserve">million to certain of Sermonix’s third-party service providers for services rendered prior to the Effective Date, </w:t>
      </w:r>
    </w:p>
    <w:p>
      <w:pPr>
        <w:pStyle w:val="TextBody"/>
        <w:bidi w:val="0"/>
        <w:spacing w:before="120" w:after="283"/>
        <w:jc w:val="both"/>
        <w:rPr>
          <w:rFonts w:ascii="Arial" w:hAnsi="Arial"/>
          <w:color w:val="000000"/>
          <w:sz w:val="20"/>
        </w:rPr>
      </w:pPr>
      <w:r>
        <w:rPr>
          <w:rFonts w:ascii="Arial" w:hAnsi="Arial"/>
          <w:color w:val="000000"/>
          <w:sz w:val="20"/>
        </w:rPr>
        <w:t>(iii)</w:t>
      </w:r>
    </w:p>
    <w:p>
      <w:pPr>
        <w:pStyle w:val="TextBody"/>
        <w:bidi w:val="0"/>
        <w:spacing w:before="120" w:after="283"/>
        <w:jc w:val="both"/>
        <w:rPr/>
      </w:pPr>
      <w:r>
        <w:rPr>
          <w:rFonts w:ascii="Arial" w:hAnsi="Arial"/>
          <w:color w:val="000000"/>
          <w:sz w:val="20"/>
        </w:rPr>
        <w:t>Deferred monthly advances payable to Sermonix of $75,000</w:t>
      </w:r>
      <w:r>
        <w:rPr>
          <w:color w:val="000000"/>
        </w:rPr>
        <w:t xml:space="preserve"> </w:t>
      </w:r>
      <w:r>
        <w:rPr>
          <w:rFonts w:ascii="Arial" w:hAnsi="Arial"/>
          <w:color w:val="000000"/>
          <w:sz w:val="20"/>
        </w:rPr>
        <w:t xml:space="preserve">per month, subject to adjustment from time to time upon mutual agreement of the parties. The Company may credit the amount of such monthly payments against all milestone, royalty, and net proceed payments that become due to Sermonix under the Sermonix License, and the Company’s obligation to make such monthly payments will end upon Sermonix’s receipt of the first such milestone, royalty or net proceeds payment. </w:t>
      </w:r>
    </w:p>
    <w:p>
      <w:pPr>
        <w:pStyle w:val="TextBody"/>
        <w:bidi w:val="0"/>
        <w:spacing w:before="120" w:after="283"/>
        <w:jc w:val="both"/>
        <w:rPr>
          <w:rFonts w:ascii="Arial" w:hAnsi="Arial"/>
          <w:color w:val="000000"/>
          <w:sz w:val="20"/>
        </w:rPr>
      </w:pPr>
      <w:r>
        <w:rPr>
          <w:rFonts w:ascii="Arial" w:hAnsi="Arial"/>
          <w:color w:val="000000"/>
          <w:sz w:val="20"/>
        </w:rPr>
        <w:t>(iv)</w:t>
      </w:r>
    </w:p>
    <w:p>
      <w:pPr>
        <w:pStyle w:val="TextBody"/>
        <w:bidi w:val="0"/>
        <w:spacing w:before="120" w:after="283"/>
        <w:jc w:val="both"/>
        <w:rPr/>
      </w:pPr>
      <w:r>
        <w:rPr>
          <w:rFonts w:ascii="Arial" w:hAnsi="Arial"/>
          <w:color w:val="000000"/>
          <w:sz w:val="20"/>
        </w:rPr>
        <w:t>If the Company or its affiliates achieve certain commercialization or annual net sales milestones with respect to the Licensed Products, the Company will make milestone payments to Sermonix up to a maximum aggregate total of $100.0</w:t>
      </w:r>
      <w:r>
        <w:rPr>
          <w:color w:val="000000"/>
        </w:rPr>
        <w:t xml:space="preserve"> </w:t>
      </w:r>
      <w:r>
        <w:rPr>
          <w:rFonts w:ascii="Arial" w:hAnsi="Arial"/>
          <w:color w:val="000000"/>
          <w:sz w:val="20"/>
        </w:rPr>
        <w:t>million. Solely with respect to the first milestone payment of $50.0</w:t>
      </w:r>
      <w:r>
        <w:rPr>
          <w:color w:val="000000"/>
        </w:rPr>
        <w:t xml:space="preserve"> </w:t>
      </w:r>
      <w:r>
        <w:rPr>
          <w:rFonts w:ascii="Arial" w:hAnsi="Arial"/>
          <w:color w:val="000000"/>
          <w:sz w:val="20"/>
        </w:rPr>
        <w:t>million due upon the first U.S. commercial sale, the Company may settle such milestone payment in cash or shares of the Company's common stock at the Company’s discretion, with final terms to be negotiated between the parties.</w:t>
      </w:r>
    </w:p>
    <w:p>
      <w:pPr>
        <w:pStyle w:val="TextBody"/>
        <w:bidi w:val="0"/>
        <w:spacing w:before="120" w:after="283"/>
        <w:jc w:val="both"/>
        <w:rPr>
          <w:rFonts w:ascii="Arial" w:hAnsi="Arial"/>
          <w:color w:val="000000"/>
          <w:sz w:val="20"/>
        </w:rPr>
      </w:pPr>
      <w:r>
        <w:rPr>
          <w:rFonts w:ascii="Arial" w:hAnsi="Arial"/>
          <w:color w:val="000000"/>
          <w:sz w:val="20"/>
        </w:rPr>
        <w:t>(v)</w:t>
      </w:r>
    </w:p>
    <w:p>
      <w:pPr>
        <w:pStyle w:val="TextBody"/>
        <w:bidi w:val="0"/>
        <w:spacing w:before="120" w:after="283"/>
        <w:jc w:val="both"/>
        <w:rPr>
          <w:rFonts w:ascii="Arial" w:hAnsi="Arial"/>
          <w:color w:val="000000"/>
          <w:sz w:val="20"/>
        </w:rPr>
      </w:pPr>
      <w:r>
        <w:rPr>
          <w:rFonts w:ascii="Arial" w:hAnsi="Arial"/>
          <w:color w:val="000000"/>
          <w:sz w:val="20"/>
        </w:rPr>
        <w:t xml:space="preserve">Royalty payments to Sermonix based on the Company’s and its affiliates’ annual net sales of the Licensed Products in the Licensed Territory, with the applicable royalty rates ranging from sub-single digit to low-single digit percentages, subject to customary reductions. Such royalty obligation will expire on a Licensed Product-by-Licensed Product and country-by-country basis on the latest of (i) the expiration of the last valid claim of a patent licensed to the Company by Sermonix that covers such Licensed Product in such country, (ii) the expiration of regulatory </w:t>
      </w:r>
    </w:p>
    <w:p>
      <w:pPr>
        <w:pStyle w:val="TextBody"/>
        <w:bidi w:val="0"/>
        <w:spacing w:before="240" w:after="283"/>
        <w:jc w:val="center"/>
        <w:rPr>
          <w:rFonts w:ascii="Arial" w:hAnsi="Arial"/>
          <w:color w:val="000000"/>
          <w:sz w:val="20"/>
        </w:rPr>
      </w:pPr>
      <w:r>
        <w:rPr>
          <w:rFonts w:ascii="Arial" w:hAnsi="Arial"/>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exclusivity of such Licensed Product in such country; and (iii) 10</w:t>
      </w:r>
      <w:r>
        <w:rPr>
          <w:color w:val="000000"/>
        </w:rPr>
        <w:t xml:space="preserve"> </w:t>
      </w:r>
      <w:r>
        <w:rPr>
          <w:rFonts w:ascii="Arial" w:hAnsi="Arial"/>
          <w:color w:val="000000"/>
          <w:sz w:val="20"/>
        </w:rPr>
        <w:t>years after the first commercial sale of such Licensed Product in such country.</w:t>
      </w:r>
      <w:r>
        <w:rPr>
          <w:color w:val="000000"/>
        </w:rPr>
        <w:t xml:space="preserve"> </w:t>
      </w:r>
    </w:p>
    <w:p>
      <w:pPr>
        <w:pStyle w:val="TextBody"/>
        <w:bidi w:val="0"/>
        <w:spacing w:before="120" w:after="283"/>
        <w:jc w:val="both"/>
        <w:rPr>
          <w:rFonts w:ascii="Arial" w:hAnsi="Arial"/>
          <w:color w:val="000000"/>
          <w:sz w:val="20"/>
        </w:rPr>
      </w:pPr>
      <w:r>
        <w:rPr>
          <w:rFonts w:ascii="Arial" w:hAnsi="Arial"/>
          <w:color w:val="000000"/>
          <w:sz w:val="20"/>
        </w:rPr>
        <w:t>(vi)</w:t>
      </w:r>
    </w:p>
    <w:p>
      <w:pPr>
        <w:pStyle w:val="TextBody"/>
        <w:bidi w:val="0"/>
        <w:spacing w:before="120" w:after="283"/>
        <w:jc w:val="both"/>
        <w:rPr>
          <w:rFonts w:ascii="Arial" w:hAnsi="Arial"/>
          <w:color w:val="000000"/>
          <w:sz w:val="20"/>
        </w:rPr>
      </w:pPr>
      <w:r>
        <w:rPr>
          <w:rFonts w:ascii="Arial" w:hAnsi="Arial"/>
          <w:color w:val="000000"/>
          <w:sz w:val="20"/>
        </w:rPr>
        <w:t xml:space="preserve">If the Company sublicenses or divests its rights to the Licensed Products to a third party, then in lieu of the milestone and royalty payments described above, the Company will pay to Sermonix a percentage of the net proceeds from such sublicensing or divestiture transaction. The applicable percentage is based on the type of payment received by the Company from the third party as well as status of development of the Licensed Products at the time that the sublicense or divestiture transaction is entered into, with rates starting in the high-double digit and decreasing to low-double digit percentages. </w:t>
      </w:r>
    </w:p>
    <w:p>
      <w:pPr>
        <w:pStyle w:val="TextBody"/>
        <w:bidi w:val="0"/>
        <w:spacing w:before="120" w:after="283"/>
        <w:jc w:val="both"/>
        <w:rPr>
          <w:rFonts w:ascii="Arial" w:hAnsi="Arial"/>
          <w:color w:val="000000"/>
          <w:sz w:val="20"/>
        </w:rPr>
      </w:pPr>
      <w:r>
        <w:rPr>
          <w:rFonts w:ascii="Arial" w:hAnsi="Arial"/>
          <w:color w:val="000000"/>
          <w:sz w:val="20"/>
        </w:rPr>
        <w:t>(vii)</w:t>
      </w:r>
    </w:p>
    <w:p>
      <w:pPr>
        <w:pStyle w:val="TextBody"/>
        <w:bidi w:val="0"/>
        <w:spacing w:before="120" w:after="283"/>
        <w:jc w:val="both"/>
        <w:rPr>
          <w:rFonts w:ascii="Arial" w:hAnsi="Arial"/>
          <w:color w:val="000000"/>
          <w:sz w:val="20"/>
        </w:rPr>
      </w:pPr>
      <w:r>
        <w:rPr>
          <w:rFonts w:ascii="Arial" w:hAnsi="Arial"/>
          <w:color w:val="000000"/>
          <w:sz w:val="20"/>
        </w:rPr>
        <w:t>As consideration for the Company’s payment and other obligations under the Sermonix License, the Company will be eligible to receive from Henlius all milestone and royalty payments that Henlius owes to Sermonix under Sermonix's license agreement with Henlius, other than royalties that Sermonix owes to Ligand on account of Sermonix’s license agreement with Ligand, and with the further exception that, if Henlius and Sermonix later agree to share the costs of developing the Licensed Products in Japan, then the Company will not be entitled to receive Sermonix’s share of income arising from the sublicensing of Japanese rights to the Licensed Product.</w:t>
      </w:r>
    </w:p>
    <w:p>
      <w:pPr>
        <w:pStyle w:val="TextBody"/>
        <w:bidi w:val="0"/>
        <w:spacing w:before="240" w:after="283"/>
        <w:jc w:val="both"/>
        <w:rPr>
          <w:rFonts w:ascii="Arial" w:hAnsi="Arial"/>
          <w:color w:val="000000"/>
          <w:sz w:val="20"/>
        </w:rPr>
      </w:pPr>
      <w:r>
        <w:rPr>
          <w:rFonts w:ascii="Arial" w:hAnsi="Arial"/>
          <w:color w:val="000000"/>
          <w:sz w:val="20"/>
        </w:rPr>
        <w:t>The Sermonix License will remain in effect until the Company, its affiliates and its sublicensees are no longer developing or commercializing any Licensed Product in the Licensed Territory. Each party may terminate the Sermonix License in its entirety for the uncured material breach by or insolvency of the other party. The Company may terminate the Sermonix License in its entirety for safety reasons or for convenience at any time after the topline data readout of the ELAINE-3 trial. Upon termination, all rights and licenses granted to Company will revert to Sermonix.</w:t>
      </w:r>
    </w:p>
    <w:p>
      <w:pPr>
        <w:pStyle w:val="TextBody"/>
        <w:bidi w:val="0"/>
        <w:spacing w:before="360" w:after="283"/>
        <w:jc w:val="both"/>
        <w:rPr>
          <w:rFonts w:ascii="Times New Roman" w:hAnsi="Times New Roman"/>
          <w:sz w:val="20"/>
        </w:rPr>
      </w:pPr>
      <w:r>
        <w:rPr>
          <w:rFonts w:ascii="Arial" w:hAnsi="Arial"/>
          <w:b/>
          <w:i/>
          <w:color w:val="000000"/>
          <w:sz w:val="20"/>
        </w:rPr>
        <w:t>Ligand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Under the Ligand Agreement, the Company received from Ligand an exclusive (even as to Ligand), sublicensable license, under relevant know-how and certain patents owned or in-licensed by Ligand, to develop, manufacture and sell Licensed Products for oral use in the Licensed Territory. Ligand does not have any restrictions on its ability to develop, manufacture or sell products (other than the Licensed Products) that selectively modulate the estrogen receptor. The Company granted to Ligand a non-exclusive, sublicensable, worldwide license, under the Company’s improvements to Ligand’s licensed technology, to develop, manufacture and sell products containing lasofoxifene for topical and other non-oral uses.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Ligand Agreement, the Company has the sole right to conduct all development (including regulatory activities), manufacturing and commercialization of Licensed Products for oral use in the Licensed Territory, at the Company’s sole cost and expense. The Company is obligated to diligently develop, manufacture and sell oral Licensed Products in the Licensed Territory, to use commercially reasonable efforts to develop oral Licensed Products for treatment of metastatic breast cancer and develop markets for oral Licensed Products in the Licensed Territory, and to obtain all necessary regulatory approvals for its manufacture, use, importation and sale of oral Licensed Products in the Licensed Territory.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consideration for the rights granted to the Company under the Ligand Agreement consists of the following:</w:t>
      </w:r>
    </w:p>
    <w:p>
      <w:pPr>
        <w:pStyle w:val="TextBody"/>
        <w:bidi w:val="0"/>
        <w:spacing w:before="120" w:after="283"/>
        <w:jc w:val="both"/>
        <w:rPr>
          <w:rFonts w:ascii="Arial" w:hAnsi="Arial"/>
          <w:color w:val="000000"/>
          <w:sz w:val="20"/>
        </w:rPr>
      </w:pPr>
      <w:r>
        <w:rPr>
          <w:rFonts w:ascii="Arial" w:hAnsi="Arial"/>
          <w:color w:val="000000"/>
          <w:sz w:val="20"/>
        </w:rPr>
        <w:t>(i)</w:t>
      </w:r>
    </w:p>
    <w:p>
      <w:pPr>
        <w:pStyle w:val="TextBody"/>
        <w:bidi w:val="0"/>
        <w:spacing w:before="120" w:after="283"/>
        <w:jc w:val="both"/>
        <w:rPr>
          <w:rFonts w:ascii="Arial" w:hAnsi="Arial"/>
          <w:color w:val="000000"/>
          <w:sz w:val="20"/>
        </w:rPr>
      </w:pPr>
      <w:r>
        <w:rPr>
          <w:rFonts w:ascii="Arial" w:hAnsi="Arial"/>
          <w:color w:val="000000"/>
          <w:sz w:val="20"/>
        </w:rPr>
        <w:t xml:space="preserve">If the Company or its affiliate or sublicensee achieves certain regulatory approval and commercialization milestones with respect to any oral Licensed Product in the Licensed Territory, the Company will make milestone payments to Ligand up to a maximum aggregate </w:t>
      </w:r>
    </w:p>
    <w:p>
      <w:pPr>
        <w:pStyle w:val="TextBody"/>
        <w:bidi w:val="0"/>
        <w:spacing w:before="240" w:after="283"/>
        <w:jc w:val="center"/>
        <w:rPr>
          <w:rFonts w:ascii="Arial" w:hAnsi="Arial"/>
          <w:color w:val="000000"/>
          <w:sz w:val="20"/>
        </w:rPr>
      </w:pPr>
      <w:r>
        <w:rPr>
          <w:rFonts w:ascii="Arial" w:hAnsi="Arial"/>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total of $4.25</w:t>
      </w:r>
      <w:r>
        <w:rPr>
          <w:color w:val="000000"/>
        </w:rPr>
        <w:t xml:space="preserve"> </w:t>
      </w:r>
      <w:r>
        <w:rPr>
          <w:rFonts w:ascii="Arial" w:hAnsi="Arial"/>
          <w:color w:val="000000"/>
          <w:sz w:val="20"/>
        </w:rPr>
        <w:t>million in regulatory milestones and $10.5</w:t>
      </w:r>
      <w:r>
        <w:rPr>
          <w:color w:val="000000"/>
        </w:rPr>
        <w:t xml:space="preserve"> </w:t>
      </w:r>
      <w:r>
        <w:rPr>
          <w:rFonts w:ascii="Arial" w:hAnsi="Arial"/>
          <w:color w:val="000000"/>
          <w:sz w:val="20"/>
        </w:rPr>
        <w:t>million in commercialization milestones per Licensed Product.</w:t>
      </w:r>
      <w:r>
        <w:rPr>
          <w:color w:val="000000"/>
        </w:rPr>
        <w:t xml:space="preserve"> </w:t>
      </w:r>
    </w:p>
    <w:p>
      <w:pPr>
        <w:pStyle w:val="TextBody"/>
        <w:bidi w:val="0"/>
        <w:spacing w:before="120" w:after="283"/>
        <w:jc w:val="both"/>
        <w:rPr>
          <w:rFonts w:ascii="Arial" w:hAnsi="Arial"/>
          <w:color w:val="000000"/>
          <w:sz w:val="20"/>
        </w:rPr>
      </w:pPr>
      <w:r>
        <w:rPr>
          <w:rFonts w:ascii="Arial" w:hAnsi="Arial"/>
          <w:color w:val="000000"/>
          <w:sz w:val="20"/>
        </w:rPr>
        <w:t>(ii)</w:t>
      </w:r>
    </w:p>
    <w:p>
      <w:pPr>
        <w:pStyle w:val="TextBody"/>
        <w:bidi w:val="0"/>
        <w:spacing w:before="120" w:after="283"/>
        <w:jc w:val="both"/>
        <w:rPr>
          <w:rFonts w:ascii="Arial" w:hAnsi="Arial"/>
          <w:color w:val="000000"/>
          <w:sz w:val="20"/>
        </w:rPr>
      </w:pPr>
      <w:r>
        <w:rPr>
          <w:rFonts w:ascii="Arial" w:hAnsi="Arial"/>
          <w:color w:val="000000"/>
          <w:sz w:val="20"/>
        </w:rPr>
        <w:t xml:space="preserve">Royalty payments to Ligand based on the Company’s and its affiliates’ and sublicensees’ annual net sales of oral Licensed Products in the Licensed Territory, with the applicable royalty rates ranging from mid-single digit to low-double digit percentages, subject to reductions for generic product sales and amounts paid to third parties for certain intellectual property licenses. Such royalty obligation will expire on a Licensed Product-by-Licensed Product and country-by-country basis on the latest of (i) the expiration of the last valid claim of a patent licensed to the Company by Ligand in such country, (ii) the expiration of regulatory exclusivity of such Licensed Product in such country, and (iii) 15 years after the first commercial sale of such Licensed Product in such country. </w:t>
      </w:r>
    </w:p>
    <w:p>
      <w:pPr>
        <w:pStyle w:val="TextBody"/>
        <w:bidi w:val="0"/>
        <w:spacing w:before="120" w:after="283"/>
        <w:jc w:val="both"/>
        <w:rPr>
          <w:rFonts w:ascii="Arial" w:hAnsi="Arial"/>
          <w:color w:val="000000"/>
          <w:sz w:val="20"/>
        </w:rPr>
      </w:pPr>
      <w:r>
        <w:rPr>
          <w:rFonts w:ascii="Arial" w:hAnsi="Arial"/>
          <w:color w:val="000000"/>
          <w:sz w:val="20"/>
        </w:rPr>
        <w:t>(iii)</w:t>
      </w:r>
    </w:p>
    <w:p>
      <w:pPr>
        <w:pStyle w:val="TextBody"/>
        <w:bidi w:val="0"/>
        <w:spacing w:before="120" w:after="283"/>
        <w:jc w:val="both"/>
        <w:rPr>
          <w:rFonts w:ascii="Arial" w:hAnsi="Arial"/>
          <w:color w:val="000000"/>
          <w:sz w:val="20"/>
        </w:rPr>
      </w:pPr>
      <w:r>
        <w:rPr>
          <w:rFonts w:ascii="Arial" w:hAnsi="Arial"/>
          <w:color w:val="000000"/>
          <w:sz w:val="20"/>
        </w:rPr>
        <w:t xml:space="preserve">If the Company sublicenses its rights to the oral Licensed Products to a third party, then in addition to the milestone and royalty payments described above, the Company will pay to Ligand a mid-teen percentage of certain amounts received by the Company from such third-party sublicensee. </w:t>
      </w:r>
    </w:p>
    <w:p>
      <w:pPr>
        <w:pStyle w:val="TextBody"/>
        <w:bidi w:val="0"/>
        <w:spacing w:before="240" w:after="283"/>
        <w:jc w:val="both"/>
        <w:rPr>
          <w:rFonts w:ascii="Arial" w:hAnsi="Arial"/>
          <w:color w:val="000000"/>
          <w:sz w:val="20"/>
        </w:rPr>
      </w:pPr>
      <w:r>
        <w:rPr>
          <w:rFonts w:ascii="Arial" w:hAnsi="Arial"/>
          <w:color w:val="000000"/>
          <w:sz w:val="20"/>
        </w:rPr>
        <w:t>The Ligand Agreement will remain in effect so long as the Company, its affiliates and its sublicensees are developing, manufacturing, using or commercializing any Licensed Product in the Licensed Territory. Each party may terminate the Ligand Agreement in its entirety for the uncured material breach by or insolvency of the other party. The Company may terminate the Ligand Agreement in its entirety or on a product-by-product or country-by-country basis, prior to regulatory approval, for safety reasons or failure to achieve the primary efficacy endpoint in any clinical trial of a Licensed Product for oral use. Ligand may terminate the Ligand Agreement if the Company or its affiliate or sublicensee challenges the validity or enforceability of any patent licensed to the Company by Ligand. Upon termination, all rights and licenses granted to Company will revert to Ligand and the Company is obligated to transfer to Ligand the Company’s data, regulatory approvals, domain names and trademarks for the oral Licensed Products in the Licensed Territory.</w:t>
      </w:r>
    </w:p>
    <w:p>
      <w:pPr>
        <w:pStyle w:val="TextBody"/>
        <w:bidi w:val="0"/>
        <w:spacing w:before="360" w:after="283"/>
        <w:jc w:val="both"/>
        <w:rPr>
          <w:rFonts w:ascii="Arial" w:hAnsi="Arial"/>
          <w:b/>
          <w:i/>
          <w:color w:val="000000"/>
          <w:sz w:val="20"/>
        </w:rPr>
      </w:pPr>
      <w:r>
        <w:rPr>
          <w:rFonts w:ascii="Arial" w:hAnsi="Arial"/>
          <w:b/>
          <w:i/>
          <w:color w:val="000000"/>
          <w:sz w:val="20"/>
        </w:rPr>
        <w:t>Accounting Treatment</w:t>
      </w:r>
    </w:p>
    <w:p>
      <w:pPr>
        <w:pStyle w:val="TextBody"/>
        <w:bidi w:val="0"/>
        <w:spacing w:before="120" w:after="283"/>
        <w:jc w:val="both"/>
        <w:rPr>
          <w:rFonts w:ascii="Times New Roman" w:hAnsi="Times New Roman"/>
          <w:sz w:val="20"/>
        </w:rPr>
      </w:pPr>
      <w:r>
        <w:rPr>
          <w:rFonts w:ascii="Arial" w:hAnsi="Arial"/>
          <w:color w:val="000000"/>
          <w:sz w:val="20"/>
        </w:rPr>
        <w:t>The Company accounted for the transactions as an asset acquisition under ASC 805-50 as substantially all of the fair value of the gross assets acquired was concentrated in a single identifiable IPR&amp;D asset. The assets acquired in the transaction were measured based on the estimated fair value of the aggregate consideration of $68.1</w:t>
      </w:r>
      <w:r>
        <w:rPr>
          <w:rFonts w:ascii="Times New Roman" w:hAnsi="Times New Roman"/>
          <w:color w:val="000000"/>
          <w:sz w:val="20"/>
        </w:rPr>
        <w:t xml:space="preserve"> </w:t>
      </w:r>
      <w:r>
        <w:rPr>
          <w:rFonts w:ascii="Arial" w:hAnsi="Arial"/>
          <w:color w:val="000000"/>
          <w:sz w:val="20"/>
        </w:rPr>
        <w:t>million. The initial consideration recognized and the fair value of the asset acquired is as follows (in thousands):</w:t>
      </w:r>
    </w:p>
    <w:p>
      <w:pPr>
        <w:pStyle w:val="TextBody"/>
        <w:bidi w:val="0"/>
        <w:jc w:val="left"/>
        <w:rPr/>
      </w:pPr>
      <w:r>
        <w:rPr/>
        <w:t> </w:t>
      </w:r>
    </w:p>
    <w:tbl>
      <w:tblPr>
        <w:tblW w:w="5885" w:type="dxa"/>
        <w:jc w:val="left"/>
        <w:tblInd w:w="0" w:type="dxa"/>
        <w:tblLayout w:type="fixed"/>
        <w:tblCellMar>
          <w:top w:w="28" w:type="dxa"/>
          <w:left w:w="28" w:type="dxa"/>
          <w:bottom w:w="28" w:type="dxa"/>
          <w:right w:w="28" w:type="dxa"/>
        </w:tblCellMar>
      </w:tblPr>
      <w:tblGrid>
        <w:gridCol w:w="4366"/>
        <w:gridCol w:w="146"/>
        <w:gridCol w:w="211"/>
        <w:gridCol w:w="691"/>
        <w:gridCol w:w="47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Sermonix Pre-Funded Warrant</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32,909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Assumed liabilities</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Milestone liability</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Advance liability</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Acquired in-process research and development</w:t>
            </w:r>
            <w:r>
              <w:rPr>
                <w:rFonts w:ascii="Arial" w:hAnsi="Arial"/>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color w:val="000000"/>
          <w:sz w:val="20"/>
        </w:rPr>
      </w:pPr>
      <w:r>
        <w:rPr>
          <w:rFonts w:ascii="Arial" w:hAnsi="Arial"/>
          <w:color w:val="000000"/>
          <w:sz w:val="20"/>
        </w:rPr>
        <w:t>Reflects the fair value of the Sermonix Pre-Funded Warrant on the Effective Date. See Note 4 for fair value considerations.</w:t>
      </w:r>
    </w:p>
    <w:p>
      <w:pPr>
        <w:pStyle w:val="TextBody"/>
        <w:bidi w:val="0"/>
        <w:spacing w:before="240" w:after="283"/>
        <w:jc w:val="center"/>
        <w:rPr>
          <w:rFonts w:ascii="Arial" w:hAnsi="Arial"/>
          <w:color w:val="000000"/>
          <w:sz w:val="20"/>
        </w:rPr>
      </w:pPr>
      <w:r>
        <w:rPr>
          <w:rFonts w:ascii="Arial" w:hAnsi="Arial"/>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(2)</w:t>
      </w:r>
    </w:p>
    <w:p>
      <w:pPr>
        <w:pStyle w:val="TextBody"/>
        <w:bidi w:val="0"/>
        <w:spacing w:before="0" w:after="0"/>
        <w:jc w:val="both"/>
        <w:rPr>
          <w:rFonts w:ascii="Arial" w:hAnsi="Arial"/>
          <w:color w:val="000000"/>
          <w:sz w:val="20"/>
        </w:rPr>
      </w:pPr>
      <w:r>
        <w:rPr>
          <w:rFonts w:ascii="Arial" w:hAnsi="Arial"/>
          <w:color w:val="000000"/>
          <w:sz w:val="20"/>
        </w:rPr>
        <w:t>Represents approximately $16.8 million payable in cash to satisfy certain of Sermonix’s outstanding liabilities owed to third</w:t>
        <w:noBreakHyphen/>
        <w:t>party service providers for services rendered in connection with the ELAINE-3 trial prior to the Effective Date.</w:t>
      </w:r>
    </w:p>
    <w:p>
      <w:pPr>
        <w:pStyle w:val="TextBody"/>
        <w:bidi w:val="0"/>
        <w:spacing w:before="0" w:after="0"/>
        <w:jc w:val="both"/>
        <w:rPr>
          <w:rFonts w:ascii="Arial" w:hAnsi="Arial"/>
          <w:color w:val="000000"/>
          <w:sz w:val="20"/>
        </w:rPr>
      </w:pPr>
      <w:r>
        <w:rPr>
          <w:rFonts w:ascii="Arial" w:hAnsi="Arial"/>
          <w:color w:val="000000"/>
          <w:sz w:val="20"/>
        </w:rPr>
        <w:t>(3)</w:t>
      </w:r>
    </w:p>
    <w:p>
      <w:pPr>
        <w:pStyle w:val="TextBody"/>
        <w:bidi w:val="0"/>
        <w:spacing w:before="0" w:after="0"/>
        <w:jc w:val="both"/>
        <w:rPr>
          <w:rFonts w:ascii="Arial" w:hAnsi="Arial"/>
          <w:color w:val="000000"/>
          <w:sz w:val="20"/>
        </w:rPr>
      </w:pPr>
      <w:r>
        <w:rPr>
          <w:rFonts w:ascii="Arial" w:hAnsi="Arial"/>
          <w:color w:val="000000"/>
          <w:sz w:val="20"/>
        </w:rPr>
        <w:t xml:space="preserve">Of the total milestone payments required under the agreements, the Company is contingently obligated to settle the first milestone due to Sermonix by transferring assets or issuing a variable number of equity shares with a value equal to a fixed monetary amount. As such, the first milestone payment is classified a liability under ASC 480 and the initial fair value on the Effective Date of $15.1 million is recognized as part of the initial consideration for the asset acquired. See Note 4 for fair value considerations. </w:t>
      </w:r>
    </w:p>
    <w:p>
      <w:pPr>
        <w:pStyle w:val="TextBody"/>
        <w:bidi w:val="0"/>
        <w:spacing w:before="0" w:after="0"/>
        <w:jc w:val="both"/>
        <w:rPr>
          <w:rFonts w:ascii="Arial" w:hAnsi="Arial"/>
          <w:color w:val="000000"/>
          <w:sz w:val="20"/>
        </w:rPr>
      </w:pPr>
      <w:r>
        <w:rPr>
          <w:rFonts w:ascii="Arial" w:hAnsi="Arial"/>
          <w:color w:val="000000"/>
          <w:sz w:val="20"/>
        </w:rPr>
        <w:t>(4)</w:t>
      </w:r>
    </w:p>
    <w:p>
      <w:pPr>
        <w:pStyle w:val="TextBody"/>
        <w:bidi w:val="0"/>
        <w:spacing w:before="0" w:after="0"/>
        <w:jc w:val="both"/>
        <w:rPr>
          <w:rFonts w:ascii="Arial" w:hAnsi="Arial"/>
          <w:color w:val="000000"/>
          <w:sz w:val="20"/>
        </w:rPr>
      </w:pPr>
      <w:r>
        <w:rPr>
          <w:rFonts w:ascii="Arial" w:hAnsi="Arial"/>
          <w:color w:val="000000"/>
          <w:sz w:val="20"/>
        </w:rPr>
        <w:t>Reflects the initial fair value of the deferred monthly advance of $75,000 to be made by the Company to Sermonix, which advances are creditable against all milestone, royalty, and net proceed payments that become due to Sermonix under the Sermonix License.</w:t>
      </w:r>
    </w:p>
    <w:p>
      <w:pPr>
        <w:pStyle w:val="TextBody"/>
        <w:bidi w:val="0"/>
        <w:spacing w:before="0" w:after="160"/>
        <w:jc w:val="both"/>
        <w:rPr>
          <w:rFonts w:ascii="Arial" w:hAnsi="Arial"/>
          <w:color w:val="000000"/>
          <w:sz w:val="20"/>
        </w:rPr>
      </w:pPr>
      <w:r>
        <w:rPr>
          <w:rFonts w:ascii="Arial" w:hAnsi="Arial"/>
          <w:color w:val="000000"/>
          <w:sz w:val="20"/>
        </w:rPr>
        <w:t>(5)</w:t>
      </w:r>
    </w:p>
    <w:p>
      <w:pPr>
        <w:pStyle w:val="TextBody"/>
        <w:bidi w:val="0"/>
        <w:spacing w:before="0" w:after="160"/>
        <w:jc w:val="both"/>
        <w:rPr>
          <w:rFonts w:ascii="Arial" w:hAnsi="Arial"/>
          <w:color w:val="000000"/>
          <w:sz w:val="20"/>
        </w:rPr>
      </w:pPr>
      <w:r>
        <w:rPr>
          <w:rFonts w:ascii="Arial" w:hAnsi="Arial"/>
          <w:color w:val="000000"/>
          <w:sz w:val="20"/>
        </w:rPr>
        <w:t>The cost attributable to the IPR&amp;D was expensed on the Effective Date as the IPR&amp;D has no alternative future use, and is presented as acquired in-process research and development in the Company’s consolidated statements of operations and comprehensive loss for the year ended December 31, 2025.</w:t>
      </w:r>
    </w:p>
    <w:p>
      <w:pPr>
        <w:pStyle w:val="TextBody"/>
        <w:bidi w:val="0"/>
        <w:spacing w:before="80" w:after="283"/>
        <w:jc w:val="both"/>
        <w:rPr>
          <w:rFonts w:ascii="Times New Roman" w:hAnsi="Times New Roman"/>
          <w:sz w:val="20"/>
        </w:rPr>
      </w:pPr>
      <w:r>
        <w:rPr>
          <w:rFonts w:ascii="Arial" w:hAnsi="Arial"/>
          <w:color w:val="000000"/>
          <w:sz w:val="20"/>
        </w:rPr>
        <w:t>The remaining cash-settled milestone obligations under the Sermonix and Ligand agreements were not recognized as of the Effective Date or as of December 31, 2025 because (i) the arrangements do not qualify as derivatives under ASC 815, and (ii) achievement of the related milestones is not considered probable. Consistent with ASC 450, the Company will recognize the milestone obligations if and when any such milestones become probable and reasonably estimable or when the triggering events occur. Future royalty payments based on annual net sales are exempt from derivative accounting under the ASC 815 scope exception for specified volumes of sales or service revenues.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consideration for the rights granted to the Company under the Sermonix License on December 18, 2025, the Company issued to Sermonix the Sermonix Pre-Funded Warrant to purchase 5,502,402</w:t>
      </w:r>
      <w:r>
        <w:rPr>
          <w:rFonts w:ascii="Times New Roman" w:hAnsi="Times New Roman"/>
          <w:color w:val="000000"/>
          <w:sz w:val="20"/>
        </w:rPr>
        <w:t xml:space="preserve"> </w:t>
      </w:r>
      <w:r>
        <w:rPr>
          <w:rFonts w:ascii="Arial" w:hAnsi="Arial"/>
          <w:color w:val="000000"/>
          <w:sz w:val="20"/>
        </w:rPr>
        <w:t>shares of the Company’s common stock pursuant to the Sermonix Securities Purchase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Sermonix Pre-Funded Warrant has an exercise price of $0.001</w:t>
      </w:r>
      <w:r>
        <w:rPr>
          <w:rFonts w:ascii="Times New Roman" w:hAnsi="Times New Roman"/>
          <w:color w:val="000000"/>
          <w:sz w:val="20"/>
        </w:rPr>
        <w:t xml:space="preserve"> </w:t>
      </w:r>
      <w:r>
        <w:rPr>
          <w:rFonts w:ascii="Arial" w:hAnsi="Arial"/>
          <w:color w:val="000000"/>
          <w:sz w:val="20"/>
        </w:rPr>
        <w:t>per share and are exercisable at any time after the date of approval from the Company’s stockholders as required by Nasdaq, including for purposes of Nasdaq Rule 5635(a), such that the Sermonix Pre-Funded Warrant can be exercised at any time without restriction or additional stockholder approval (the “Sermonix Stockholder Approval”). If the Sermonix Stockholder Approval has not been obtained by the first anniversary of the original issuance of the Sermonix Pre-Funded Warrant, Sermonix shall have the right (the “Sermonix Redemption Right”) at any time and from time to time prior to such time that the Sermonix Stockholder Approval is obtained thereafter, to cause the Company to pay, at the option of Sermonix, an amount up to (a) $6.35</w:t>
      </w:r>
      <w:r>
        <w:rPr>
          <w:rFonts w:ascii="Times New Roman" w:hAnsi="Times New Roman"/>
          <w:color w:val="000000"/>
          <w:sz w:val="20"/>
        </w:rPr>
        <w:t xml:space="preserve"> </w:t>
      </w:r>
      <w:r>
        <w:rPr>
          <w:rFonts w:ascii="Arial" w:hAnsi="Arial"/>
          <w:color w:val="000000"/>
          <w:sz w:val="20"/>
        </w:rPr>
        <w:t>(the “Sermonix Redemption Price”) multiplied by (b) the number of shares of common stock with respect to which Sermonix is exercising the Sermonix Redemption Right. The Sermonix Redemption Right shall terminate on the earlier of (1) such time as an aggregate of $7.5</w:t>
      </w:r>
      <w:r>
        <w:rPr>
          <w:rFonts w:ascii="Times New Roman" w:hAnsi="Times New Roman"/>
          <w:color w:val="000000"/>
          <w:sz w:val="20"/>
        </w:rPr>
        <w:t xml:space="preserve"> </w:t>
      </w:r>
      <w:r>
        <w:rPr>
          <w:rFonts w:ascii="Arial" w:hAnsi="Arial"/>
          <w:color w:val="000000"/>
          <w:sz w:val="20"/>
        </w:rPr>
        <w:t>million in aggregate Sermonix Redemption Price has been paid by the Company to Sermonix in connection with one or more exercises of the Sermonix Redemption Right; and (2) immediately upon receipt of the Sermonix Stockholder Approval.</w:t>
      </w:r>
    </w:p>
    <w:p>
      <w:pPr>
        <w:pStyle w:val="TextBody"/>
        <w:bidi w:val="0"/>
        <w:spacing w:before="240" w:after="283"/>
        <w:jc w:val="center"/>
        <w:rPr>
          <w:rFonts w:ascii="Arial" w:hAnsi="Arial"/>
          <w:color w:val="000000"/>
          <w:sz w:val="20"/>
        </w:rPr>
      </w:pPr>
      <w:r>
        <w:rPr>
          <w:rFonts w:ascii="Arial" w:hAnsi="Arial"/>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a result of the Sermonix Redemption Right, the Company classified the Sermonix Pre-Funded Warrant as a liability in accordance with ASC 480. Because the redemption feature could require the Company to settle the warrant by transferring assets, the Sermonix Pre-Funded Warrant does not meet the criteria for equity classification.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initially recognized the Sermonix Pre-Funded Warrant at its estimated fair value of approximately $32.9</w:t>
      </w:r>
      <w:r>
        <w:rPr>
          <w:rFonts w:ascii="Times New Roman" w:hAnsi="Times New Roman"/>
          <w:color w:val="000000"/>
          <w:sz w:val="20"/>
        </w:rPr>
        <w:t xml:space="preserve"> </w:t>
      </w:r>
      <w:r>
        <w:rPr>
          <w:rFonts w:ascii="Arial" w:hAnsi="Arial"/>
          <w:color w:val="000000"/>
          <w:sz w:val="20"/>
        </w:rPr>
        <w:t>million on the Effective Date of the Sermonix License (See Note 4 for fair value considerations). The Sermonix Pre-Funded Warrant will be remeasured to its fair value each reporting period,</w:t>
      </w:r>
      <w:r>
        <w:rPr>
          <w:rFonts w:ascii="Times New Roman" w:hAnsi="Times New Roman"/>
          <w:color w:val="000000"/>
          <w:sz w:val="20"/>
        </w:rPr>
        <w:t xml:space="preserve"> </w:t>
      </w:r>
      <w:r>
        <w:rPr>
          <w:rFonts w:ascii="Arial" w:hAnsi="Arial"/>
          <w:color w:val="000000"/>
          <w:sz w:val="20"/>
        </w:rPr>
        <w:t>with changes in its estimated fair value of the warrants recorded as a non-cash gain or loss on the consolidated statements of operations and comprehensive loss. The Company will reassess the classification of the Sermonix Pre-Funded Warrant at each reporting date.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December 31, 2025, the Sermonix Pre-Funded Warrant has not been exercised in full or in part and remains outstanding.</w:t>
      </w:r>
    </w:p>
    <w:p>
      <w:pPr>
        <w:pStyle w:val="TextBody"/>
        <w:bidi w:val="0"/>
        <w:spacing w:before="360" w:after="283"/>
        <w:jc w:val="both"/>
        <w:rPr>
          <w:rFonts w:ascii="Arial" w:hAnsi="Arial"/>
          <w:b/>
          <w:color w:val="000000"/>
          <w:sz w:val="20"/>
        </w:rPr>
      </w:pPr>
      <w:r>
        <w:rPr>
          <w:rFonts w:ascii="Arial" w:hAnsi="Arial"/>
          <w:b/>
          <w:color w:val="000000"/>
          <w:sz w:val="20"/>
        </w:rPr>
        <w:t>4. Fair Value</w:t>
      </w:r>
    </w:p>
    <w:p>
      <w:pPr>
        <w:pStyle w:val="TextBody"/>
        <w:bidi w:val="0"/>
        <w:spacing w:before="120" w:after="283"/>
        <w:jc w:val="both"/>
        <w:rPr>
          <w:rFonts w:ascii="Arial" w:hAnsi="Arial"/>
          <w:color w:val="000000"/>
          <w:sz w:val="20"/>
        </w:rPr>
      </w:pPr>
      <w:r>
        <w:rPr>
          <w:rFonts w:ascii="Arial" w:hAnsi="Arial"/>
          <w:color w:val="000000"/>
          <w:sz w:val="20"/>
        </w:rPr>
        <w:t>The following table summarizes the Company’s assets and liabilities measured at fair value on a recurring basis and their respective input levels based on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4"/>
        <w:gridCol w:w="426"/>
        <w:gridCol w:w="211"/>
        <w:gridCol w:w="691"/>
        <w:gridCol w:w="426"/>
        <w:gridCol w:w="426"/>
        <w:gridCol w:w="211"/>
        <w:gridCol w:w="691"/>
        <w:gridCol w:w="426"/>
        <w:gridCol w:w="426"/>
        <w:gridCol w:w="211"/>
        <w:gridCol w:w="691"/>
        <w:gridCol w:w="426"/>
        <w:gridCol w:w="426"/>
        <w:gridCol w:w="211"/>
        <w:gridCol w:w="691"/>
        <w:gridCol w:w="471"/>
      </w:tblGrid>
      <w:tr>
        <w:trPr/>
        <w:tc>
          <w:tcPr>
            <w:tcW w:w="314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 subject to fair value</w:t>
              <w:br/>
              <w:t>   measurements on a recurring basis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53,910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71,209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tbl>
      <w:tblPr>
        <w:tblW w:w="8218" w:type="dxa"/>
        <w:jc w:val="left"/>
        <w:tblInd w:w="0" w:type="dxa"/>
        <w:tblLayout w:type="fixed"/>
        <w:tblCellMar>
          <w:top w:w="28" w:type="dxa"/>
          <w:left w:w="28" w:type="dxa"/>
          <w:bottom w:w="28" w:type="dxa"/>
          <w:right w:w="28" w:type="dxa"/>
        </w:tblCellMar>
      </w:tblPr>
      <w:tblGrid>
        <w:gridCol w:w="3601"/>
        <w:gridCol w:w="146"/>
        <w:gridCol w:w="250"/>
        <w:gridCol w:w="410"/>
        <w:gridCol w:w="146"/>
        <w:gridCol w:w="146"/>
        <w:gridCol w:w="211"/>
        <w:gridCol w:w="691"/>
        <w:gridCol w:w="146"/>
        <w:gridCol w:w="146"/>
        <w:gridCol w:w="250"/>
        <w:gridCol w:w="410"/>
        <w:gridCol w:w="146"/>
        <w:gridCol w:w="146"/>
        <w:gridCol w:w="211"/>
        <w:gridCol w:w="691"/>
        <w:gridCol w:w="4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 xml:space="preserve">Total assets subject to fair value </w:t>
              <w:br/>
              <w:t>   measurements on a recurring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32,559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U.S government debt and agency securities and commercial paper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240" w:after="283"/>
        <w:jc w:val="both"/>
        <w:rPr>
          <w:rFonts w:ascii="Arial" w:hAnsi="Arial"/>
          <w:color w:val="000000"/>
          <w:sz w:val="20"/>
        </w:rPr>
      </w:pPr>
      <w:r>
        <w:rPr>
          <w:rFonts w:ascii="Arial" w:hAnsi="Arial"/>
          <w:color w:val="000000"/>
          <w:sz w:val="20"/>
        </w:rPr>
        <w:t>The fair value of the Sermonix Pre-Funded Warrant (see Note 3) was determined based on the fair value of the Company’s common stock, adjusted for a discount for lack of marketability, and was classified as Level 3 due to the use of unobservable market data for identical or similar liabilities. The fair value of the Milestone Liability was determined based on the probability weighted present value of the net milestone payment and was classified as Level 3 due to the use of unobservable market data for identical or similar liabilities. The key inputs into the fair value of the Sermonix Pre-Funded Warrant and Milestone Liability at issuance and at December 31, 2025 were as follows:</w:t>
      </w:r>
    </w:p>
    <w:p>
      <w:pPr>
        <w:pStyle w:val="TextBody"/>
        <w:bidi w:val="0"/>
        <w:jc w:val="left"/>
        <w:rPr/>
      </w:pPr>
      <w:r>
        <w:rPr/>
        <w:t> </w:t>
      </w:r>
    </w:p>
    <w:tbl>
      <w:tblPr>
        <w:tblW w:w="7045" w:type="dxa"/>
        <w:jc w:val="left"/>
        <w:tblInd w:w="0" w:type="dxa"/>
        <w:tblLayout w:type="fixed"/>
        <w:tblCellMar>
          <w:top w:w="28" w:type="dxa"/>
          <w:left w:w="28" w:type="dxa"/>
          <w:bottom w:w="28" w:type="dxa"/>
          <w:right w:w="28" w:type="dxa"/>
        </w:tblCellMar>
      </w:tblPr>
      <w:tblGrid>
        <w:gridCol w:w="2881"/>
        <w:gridCol w:w="146"/>
        <w:gridCol w:w="489"/>
        <w:gridCol w:w="1086"/>
        <w:gridCol w:w="359"/>
        <w:gridCol w:w="193"/>
        <w:gridCol w:w="425"/>
        <w:gridCol w:w="1150"/>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 Pre-Funded Warrant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18,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Holding period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0.20</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 Liability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18,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18"/>
              </w:rPr>
            </w:pPr>
            <w:r>
              <w:rPr>
                <w:rFonts w:ascii="Helvetica LT Pro;sans-serif" w:hAnsi="Helvetica LT Pro;sans-serif"/>
                <w:color w:val="000000"/>
                <w:sz w:val="18"/>
              </w:rPr>
              <w:t>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of financial instruments between Level 1, Level 2, and Level 3.</w:t>
      </w:r>
    </w:p>
    <w:p>
      <w:pPr>
        <w:pStyle w:val="TextBody"/>
        <w:bidi w:val="0"/>
        <w:spacing w:before="240" w:after="283"/>
        <w:jc w:val="center"/>
        <w:rPr>
          <w:rFonts w:ascii="Arial" w:hAnsi="Arial"/>
          <w:color w:val="000000"/>
          <w:sz w:val="20"/>
        </w:rPr>
      </w:pPr>
      <w:r>
        <w:rPr>
          <w:rFonts w:ascii="Arial" w:hAnsi="Arial"/>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 sets forth a summary of the changes in the fair value of the Sermonix Pre-Funded Warrant and Milestone Liability for the year ended December 31, 2025 (in thousands):</w:t>
      </w:r>
    </w:p>
    <w:p>
      <w:pPr>
        <w:pStyle w:val="TextBody"/>
        <w:bidi w:val="0"/>
        <w:jc w:val="both"/>
        <w:rPr/>
      </w:pPr>
      <w:r>
        <w:rPr/>
        <w:t> </w:t>
      </w:r>
    </w:p>
    <w:tbl>
      <w:tblPr>
        <w:tblW w:w="6225" w:type="dxa"/>
        <w:jc w:val="left"/>
        <w:tblInd w:w="0" w:type="dxa"/>
        <w:tblLayout w:type="fixed"/>
        <w:tblCellMar>
          <w:top w:w="28" w:type="dxa"/>
          <w:left w:w="28" w:type="dxa"/>
          <w:bottom w:w="28" w:type="dxa"/>
          <w:right w:w="28" w:type="dxa"/>
        </w:tblCellMar>
      </w:tblPr>
      <w:tblGrid>
        <w:gridCol w:w="1561"/>
        <w:gridCol w:w="146"/>
        <w:gridCol w:w="610"/>
        <w:gridCol w:w="1880"/>
        <w:gridCol w:w="146"/>
        <w:gridCol w:w="146"/>
        <w:gridCol w:w="379"/>
        <w:gridCol w:w="1166"/>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 Pre-Funded Warrant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 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Change in 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fair value of the Level 3 liabilities may change significantly as additional data is obtained.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24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All the commercial paper and U.S. government debt and agency securities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240" w:after="283"/>
        <w:jc w:val="center"/>
        <w:rPr>
          <w:rFonts w:ascii="Arial" w:hAnsi="Arial"/>
          <w:color w:val="000000"/>
          <w:sz w:val="20"/>
        </w:rPr>
      </w:pPr>
      <w:r>
        <w:rPr>
          <w:rFonts w:ascii="Arial" w:hAnsi="Arial"/>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 of December 31, 2025,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December 31, 2025 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5.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6200" w:type="dxa"/>
        <w:jc w:val="left"/>
        <w:tblInd w:w="0" w:type="dxa"/>
        <w:tblLayout w:type="fixed"/>
        <w:tblCellMar>
          <w:top w:w="28" w:type="dxa"/>
          <w:left w:w="28" w:type="dxa"/>
          <w:bottom w:w="28" w:type="dxa"/>
          <w:right w:w="28" w:type="dxa"/>
        </w:tblCellMar>
      </w:tblPr>
      <w:tblGrid>
        <w:gridCol w:w="2911"/>
        <w:gridCol w:w="146"/>
        <w:gridCol w:w="287"/>
        <w:gridCol w:w="883"/>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Depreciation expense was $1</w:t>
      </w:r>
      <w:r>
        <w:rPr>
          <w:rFonts w:ascii="Times New Roman" w:hAnsi="Times New Roman"/>
          <w:color w:val="000000"/>
          <w:sz w:val="20"/>
        </w:rPr>
        <w:t xml:space="preserve"> </w:t>
      </w:r>
      <w:r>
        <w:rPr>
          <w:rFonts w:ascii="Arial" w:hAnsi="Arial"/>
          <w:color w:val="000000"/>
          <w:sz w:val="20"/>
        </w:rPr>
        <w:t>million and $1</w:t>
      </w:r>
      <w:r>
        <w:rPr>
          <w:rFonts w:ascii="Times New Roman" w:hAnsi="Times New Roman"/>
          <w:color w:val="000000"/>
          <w:sz w:val="20"/>
        </w:rPr>
        <w:t xml:space="preserve"> </w:t>
      </w:r>
      <w:r>
        <w:rPr>
          <w:rFonts w:ascii="Arial" w:hAnsi="Arial"/>
          <w:color w:val="000000"/>
          <w:sz w:val="20"/>
        </w:rPr>
        <w:t>million for the years ended December 31, 2025 and 2024, respectively.</w:t>
      </w:r>
    </w:p>
    <w:p>
      <w:pPr>
        <w:pStyle w:val="TextBody"/>
        <w:bidi w:val="0"/>
        <w:spacing w:before="360" w:after="283"/>
        <w:jc w:val="both"/>
        <w:rPr>
          <w:rFonts w:ascii="Arial" w:hAnsi="Arial"/>
          <w:b/>
          <w:color w:val="000000"/>
          <w:sz w:val="20"/>
        </w:rPr>
      </w:pPr>
      <w:r>
        <w:rPr>
          <w:rFonts w:ascii="Arial" w:hAnsi="Arial"/>
          <w:b/>
          <w:color w:val="000000"/>
          <w:sz w:val="20"/>
        </w:rPr>
        <w:t>6. Accrued Liabilities</w:t>
      </w:r>
    </w:p>
    <w:p>
      <w:pPr>
        <w:pStyle w:val="TextBody"/>
        <w:bidi w:val="0"/>
        <w:spacing w:before="12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640" w:type="dxa"/>
        <w:jc w:val="left"/>
        <w:tblInd w:w="0" w:type="dxa"/>
        <w:tblLayout w:type="fixed"/>
        <w:tblCellMar>
          <w:top w:w="28" w:type="dxa"/>
          <w:left w:w="28" w:type="dxa"/>
          <w:bottom w:w="28" w:type="dxa"/>
          <w:right w:w="28" w:type="dxa"/>
        </w:tblCellMar>
      </w:tblPr>
      <w:tblGrid>
        <w:gridCol w:w="3391"/>
        <w:gridCol w:w="146"/>
        <w:gridCol w:w="309"/>
        <w:gridCol w:w="861"/>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color w:val="000000"/>
          <w:sz w:val="20"/>
        </w:rPr>
      </w:pPr>
      <w:r>
        <w:rPr>
          <w:rFonts w:ascii="Arial" w:hAnsi="Arial"/>
          <w:b/>
          <w:color w:val="000000"/>
          <w:sz w:val="20"/>
        </w:rPr>
        <w:t>7. Segment Reporting</w:t>
      </w:r>
    </w:p>
    <w:p>
      <w:pPr>
        <w:pStyle w:val="TextBody"/>
        <w:bidi w:val="0"/>
        <w:spacing w:before="12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pStyle w:val="TextBody"/>
        <w:bidi w:val="0"/>
        <w:spacing w:before="240" w:after="283"/>
        <w:jc w:val="center"/>
        <w:rPr>
          <w:rFonts w:ascii="Arial" w:hAnsi="Arial"/>
          <w:color w:val="000000"/>
          <w:sz w:val="20"/>
        </w:rPr>
      </w:pPr>
      <w:r>
        <w:rPr>
          <w:rFonts w:ascii="Arial" w:hAnsi="Arial"/>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table below is a summary of the segment profit or loss, including significant segment expenses (in thousands):</w:t>
      </w:r>
    </w:p>
    <w:p>
      <w:pPr>
        <w:pStyle w:val="TextBody"/>
        <w:bidi w:val="0"/>
        <w:jc w:val="both"/>
        <w:rPr/>
      </w:pPr>
      <w:r>
        <w:rPr/>
        <w:t> </w:t>
      </w:r>
    </w:p>
    <w:tbl>
      <w:tblPr>
        <w:tblW w:w="7729" w:type="dxa"/>
        <w:jc w:val="left"/>
        <w:tblInd w:w="0" w:type="dxa"/>
        <w:tblLayout w:type="fixed"/>
        <w:tblCellMar>
          <w:top w:w="28" w:type="dxa"/>
          <w:left w:w="28" w:type="dxa"/>
          <w:bottom w:w="28" w:type="dxa"/>
          <w:right w:w="28" w:type="dxa"/>
        </w:tblCellMar>
      </w:tblPr>
      <w:tblGrid>
        <w:gridCol w:w="4646"/>
        <w:gridCol w:w="146"/>
        <w:gridCol w:w="211"/>
        <w:gridCol w:w="856"/>
        <w:gridCol w:w="166"/>
        <w:gridCol w:w="146"/>
        <w:gridCol w:w="211"/>
        <w:gridCol w:w="856"/>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Acquired in-process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Lasofoxifene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excluding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66,251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segment expenses</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100,902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(100,902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(96,940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000000"/>
          <w:sz w:val="13"/>
        </w:rPr>
        <w:t>(a)</w:t>
      </w:r>
      <w:r>
        <w:rPr>
          <w:rFonts w:ascii="Arial" w:hAnsi="Arial"/>
          <w:color w:val="000000"/>
          <w:sz w:val="20"/>
        </w:rPr>
        <w:t>Other segment expenses includes stock-based compensation and depreciation expenses.</w:t>
      </w:r>
    </w:p>
    <w:p>
      <w:pPr>
        <w:pStyle w:val="TextBody"/>
        <w:bidi w:val="0"/>
        <w:spacing w:before="360" w:after="283"/>
        <w:jc w:val="both"/>
        <w:rPr>
          <w:rFonts w:ascii="Arial" w:hAnsi="Arial"/>
          <w:b/>
          <w:color w:val="000000"/>
          <w:sz w:val="20"/>
        </w:rPr>
      </w:pPr>
      <w:r>
        <w:rPr>
          <w:rFonts w:ascii="Arial" w:hAnsi="Arial"/>
          <w:b/>
          <w:color w:val="000000"/>
          <w:sz w:val="20"/>
        </w:rPr>
        <w:t>8. Commitments and Contingencies</w:t>
      </w:r>
    </w:p>
    <w:p>
      <w:pPr>
        <w:pStyle w:val="TextBody"/>
        <w:bidi w:val="0"/>
        <w:spacing w:before="120" w:after="283"/>
        <w:jc w:val="both"/>
        <w:rPr>
          <w:rFonts w:ascii="Arial" w:hAnsi="Arial"/>
          <w:b/>
          <w:i/>
          <w:color w:val="000000"/>
          <w:sz w:val="20"/>
        </w:rPr>
      </w:pPr>
      <w:r>
        <w:rPr>
          <w:rFonts w:ascii="Arial" w:hAnsi="Arial"/>
          <w:b/>
          <w:i/>
          <w:color w:val="000000"/>
          <w:sz w:val="20"/>
        </w:rPr>
        <w:t>Legal Proceedings</w:t>
      </w:r>
    </w:p>
    <w:p>
      <w:pPr>
        <w:pStyle w:val="TextBody"/>
        <w:bidi w:val="0"/>
        <w:spacing w:before="120" w:after="283"/>
        <w:jc w:val="both"/>
        <w:rPr>
          <w:rFonts w:ascii="Times New Roman" w:hAnsi="Times New Roman"/>
          <w:sz w:val="20"/>
        </w:rPr>
      </w:pPr>
      <w:r>
        <w:rPr>
          <w:rFonts w:ascii="Arial" w:hAnsi="Arial"/>
          <w:color w:val="000000"/>
          <w:sz w:val="20"/>
        </w:rPr>
        <w:t>From time to time, the Company may be subject to various legal proceedings or claims that arise in the ordinary course of business. The Company accrues a liability when the Company's management believes that it is both probable that a liability has been incurred and the amount of loss can be reasonably estimated. There were no</w:t>
      </w:r>
      <w:r>
        <w:rPr>
          <w:rFonts w:ascii="Times New Roman" w:hAnsi="Times New Roman"/>
          <w:color w:val="000000"/>
          <w:sz w:val="20"/>
        </w:rPr>
        <w:t xml:space="preserve"> </w:t>
      </w:r>
      <w:r>
        <w:rPr>
          <w:rFonts w:ascii="Arial" w:hAnsi="Arial"/>
          <w:color w:val="000000"/>
          <w:sz w:val="20"/>
        </w:rPr>
        <w:t>material litigation-related accruals recorded as of December 31, 2025.</w:t>
      </w:r>
    </w:p>
    <w:p>
      <w:pPr>
        <w:pStyle w:val="TextBody"/>
        <w:bidi w:val="0"/>
        <w:spacing w:before="36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 years</w:t>
      </w:r>
      <w:r>
        <w:rPr>
          <w:rFonts w:ascii="Times New Roman" w:hAnsi="Times New Roman"/>
          <w:color w:val="000000"/>
          <w:sz w:val="20"/>
        </w:rPr>
        <w:t xml:space="preserve"> </w:t>
      </w:r>
      <w:r>
        <w:rPr>
          <w:rFonts w:ascii="Arial" w:hAnsi="Arial"/>
          <w:color w:val="000000"/>
          <w:sz w:val="20"/>
        </w:rPr>
        <w:t>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December 31, 2025, the Company was not party to any finance leases.</w:t>
      </w:r>
    </w:p>
    <w:p>
      <w:pPr>
        <w:pStyle w:val="TextBody"/>
        <w:bidi w:val="0"/>
        <w:spacing w:before="24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813" w:type="dxa"/>
        <w:jc w:val="left"/>
        <w:tblInd w:w="0" w:type="dxa"/>
        <w:tblLayout w:type="fixed"/>
        <w:tblCellMar>
          <w:top w:w="28" w:type="dxa"/>
          <w:left w:w="28" w:type="dxa"/>
          <w:bottom w:w="28" w:type="dxa"/>
          <w:right w:w="28" w:type="dxa"/>
        </w:tblCellMar>
      </w:tblPr>
      <w:tblGrid>
        <w:gridCol w:w="4006"/>
        <w:gridCol w:w="146"/>
        <w:gridCol w:w="389"/>
        <w:gridCol w:w="781"/>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863" w:type="dxa"/>
        <w:jc w:val="left"/>
        <w:tblInd w:w="0" w:type="dxa"/>
        <w:tblLayout w:type="fixed"/>
        <w:tblCellMar>
          <w:top w:w="28" w:type="dxa"/>
          <w:left w:w="28" w:type="dxa"/>
          <w:bottom w:w="28" w:type="dxa"/>
          <w:right w:w="28" w:type="dxa"/>
        </w:tblCellMar>
      </w:tblPr>
      <w:tblGrid>
        <w:gridCol w:w="4216"/>
        <w:gridCol w:w="146"/>
        <w:gridCol w:w="400"/>
        <w:gridCol w:w="770"/>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spacing w:before="40" w:after="283"/>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jc w:val="left"/>
        <w:rPr/>
      </w:pPr>
      <w:r>
        <w:rPr/>
        <w:t> </w:t>
      </w:r>
    </w:p>
    <w:tbl>
      <w:tblPr>
        <w:tblW w:w="4732" w:type="dxa"/>
        <w:jc w:val="left"/>
        <w:tblInd w:w="0" w:type="dxa"/>
        <w:tblLayout w:type="fixed"/>
        <w:tblCellMar>
          <w:top w:w="28" w:type="dxa"/>
          <w:left w:w="28" w:type="dxa"/>
          <w:bottom w:w="28" w:type="dxa"/>
          <w:right w:w="28" w:type="dxa"/>
        </w:tblCellMar>
      </w:tblPr>
      <w:tblGrid>
        <w:gridCol w:w="2281"/>
        <w:gridCol w:w="146"/>
        <w:gridCol w:w="285"/>
        <w:gridCol w:w="588"/>
        <w:gridCol w:w="184"/>
        <w:gridCol w:w="184"/>
        <w:gridCol w:w="285"/>
        <w:gridCol w:w="588"/>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Indemnifications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To date the Company has not incurred material costs to defend lawsuits or settle claims related to these indemnification provisions. The Company enters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w:t>
      </w:r>
    </w:p>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9. Common Stock</w:t>
      </w:r>
    </w:p>
    <w:p>
      <w:pPr>
        <w:pStyle w:val="TextBody"/>
        <w:bidi w:val="0"/>
        <w:spacing w:before="12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40" w:after="283"/>
        <w:jc w:val="center"/>
        <w:rPr>
          <w:rFonts w:ascii="Arial" w:hAnsi="Arial"/>
          <w:color w:val="000000"/>
          <w:sz w:val="20"/>
        </w:rPr>
      </w:pPr>
      <w:r>
        <w:rPr>
          <w:rFonts w:ascii="Arial" w:hAnsi="Arial"/>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02"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54"/>
        <w:gridCol w:w="101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1,023,497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PIPE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60,128,329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1,358,979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2025 PIPE Financing</w:t>
      </w:r>
    </w:p>
    <w:p>
      <w:pPr>
        <w:pStyle w:val="TextBody"/>
        <w:bidi w:val="0"/>
        <w:spacing w:before="120" w:after="283"/>
        <w:jc w:val="both"/>
        <w:rPr>
          <w:rFonts w:ascii="Times New Roman" w:hAnsi="Times New Roman"/>
          <w:sz w:val="20"/>
        </w:rPr>
      </w:pPr>
      <w:r>
        <w:rPr>
          <w:rFonts w:ascii="Arial" w:hAnsi="Arial"/>
          <w:color w:val="000000"/>
          <w:sz w:val="20"/>
        </w:rPr>
        <w:t>In December 2025, the Company entered into a securities purchase agreement with investors, pursuant to which the Company issued, by way of a private placement (the “Private Placement”) an aggregate of (i) 5,356,547</w:t>
      </w:r>
      <w:r>
        <w:rPr>
          <w:rFonts w:ascii="Times New Roman" w:hAnsi="Times New Roman"/>
          <w:color w:val="000000"/>
          <w:sz w:val="20"/>
        </w:rPr>
        <w:t xml:space="preserve"> </w:t>
      </w:r>
      <w:r>
        <w:rPr>
          <w:rFonts w:ascii="Arial" w:hAnsi="Arial"/>
          <w:color w:val="000000"/>
          <w:sz w:val="20"/>
        </w:rPr>
        <w:t>shares of the Company’s common stock, (ii) pre-funded warrants (the “PIPE Pre-Funded Warrants”) to purchase 8,816,684</w:t>
      </w:r>
      <w:r>
        <w:rPr>
          <w:rFonts w:ascii="Times New Roman" w:hAnsi="Times New Roman"/>
          <w:color w:val="000000"/>
          <w:sz w:val="20"/>
        </w:rPr>
        <w:t xml:space="preserve"> </w:t>
      </w:r>
      <w:r>
        <w:rPr>
          <w:rFonts w:ascii="Arial" w:hAnsi="Arial"/>
          <w:color w:val="000000"/>
          <w:sz w:val="20"/>
        </w:rPr>
        <w:t>shares of common stock, (iii) warrants (the “Series A Common Warrants”) to purchase 23,031,494</w:t>
      </w:r>
      <w:r>
        <w:rPr>
          <w:rFonts w:ascii="Times New Roman" w:hAnsi="Times New Roman"/>
          <w:color w:val="000000"/>
          <w:sz w:val="20"/>
        </w:rPr>
        <w:t xml:space="preserve"> </w:t>
      </w:r>
      <w:r>
        <w:rPr>
          <w:rFonts w:ascii="Arial" w:hAnsi="Arial"/>
          <w:color w:val="000000"/>
          <w:sz w:val="20"/>
        </w:rPr>
        <w:t>shares of common stock and/or shares underlying pre-funded warrants and (iv) warrants (the “Series B Common Warrants”) to purchase 21,259,842</w:t>
      </w:r>
      <w:r>
        <w:rPr>
          <w:rFonts w:ascii="Times New Roman" w:hAnsi="Times New Roman"/>
          <w:color w:val="000000"/>
          <w:sz w:val="20"/>
        </w:rPr>
        <w:t xml:space="preserve"> </w:t>
      </w:r>
      <w:r>
        <w:rPr>
          <w:rFonts w:ascii="Arial" w:hAnsi="Arial"/>
          <w:color w:val="000000"/>
          <w:sz w:val="20"/>
        </w:rPr>
        <w:t>shares of common stock and/or shares underlying pre-funded warrants. The aggregate gross proceeds from the Private Placement was $90.0</w:t>
      </w:r>
      <w:r>
        <w:rPr>
          <w:rFonts w:ascii="Times New Roman" w:hAnsi="Times New Roman"/>
          <w:color w:val="000000"/>
          <w:sz w:val="20"/>
        </w:rPr>
        <w:t xml:space="preserve"> </w:t>
      </w:r>
      <w:r>
        <w:rPr>
          <w:rFonts w:ascii="Arial" w:hAnsi="Arial"/>
          <w:color w:val="000000"/>
          <w:sz w:val="20"/>
        </w:rPr>
        <w:t>million. Issuance costs of $7.6</w:t>
      </w:r>
      <w:r>
        <w:rPr>
          <w:rFonts w:ascii="Times New Roman" w:hAnsi="Times New Roman"/>
          <w:color w:val="000000"/>
          <w:sz w:val="20"/>
        </w:rPr>
        <w:t xml:space="preserve"> </w:t>
      </w:r>
      <w:r>
        <w:rPr>
          <w:rFonts w:ascii="Arial" w:hAnsi="Arial"/>
          <w:color w:val="000000"/>
          <w:sz w:val="20"/>
        </w:rPr>
        <w:t>million are reflected as deduction from additional paid-in capital.</w:t>
      </w:r>
    </w:p>
    <w:p>
      <w:pPr>
        <w:pStyle w:val="TextBody"/>
        <w:bidi w:val="0"/>
        <w:spacing w:before="240" w:after="283"/>
        <w:jc w:val="both"/>
        <w:rPr>
          <w:rFonts w:ascii="Times New Roman" w:hAnsi="Times New Roman"/>
          <w:sz w:val="20"/>
        </w:rPr>
      </w:pPr>
      <w:r>
        <w:rPr>
          <w:rFonts w:ascii="Arial" w:hAnsi="Arial"/>
          <w:color w:val="000000"/>
          <w:sz w:val="20"/>
        </w:rPr>
        <w:t>The PIPE Pre-Funded Warrants are exercisable at an exercise price of $0.001</w:t>
      </w:r>
      <w:r>
        <w:rPr>
          <w:rFonts w:ascii="Times New Roman" w:hAnsi="Times New Roman"/>
          <w:color w:val="000000"/>
          <w:sz w:val="20"/>
        </w:rPr>
        <w:t xml:space="preserve"> </w:t>
      </w:r>
      <w:r>
        <w:rPr>
          <w:rFonts w:ascii="Arial" w:hAnsi="Arial"/>
          <w:color w:val="000000"/>
          <w:sz w:val="20"/>
        </w:rPr>
        <w:t>per share, subject to customary adjustments and are exercisable at any time on or after issuance subject to the restriction discussed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A Common Warrants have an exercise price of $6.35</w:t>
      </w:r>
      <w:r>
        <w:rPr>
          <w:rFonts w:ascii="Times New Roman" w:hAnsi="Times New Roman"/>
          <w:color w:val="000000"/>
          <w:sz w:val="20"/>
        </w:rPr>
        <w:t xml:space="preserve"> </w:t>
      </w:r>
      <w:r>
        <w:rPr>
          <w:rFonts w:ascii="Arial" w:hAnsi="Arial"/>
          <w:color w:val="000000"/>
          <w:sz w:val="20"/>
        </w:rPr>
        <w:t>per share and are exercisable after the earlier of (1) the latest of (a) June 30, 2026, (b) the date on which the Company publicly announces the enrollment of the 500th subject or the last subject, whichever is earlier, in the ELAINE-3 trial;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B Common Warrants have an exercise price of $7.62</w:t>
      </w:r>
      <w:r>
        <w:rPr>
          <w:rFonts w:ascii="Times New Roman" w:hAnsi="Times New Roman"/>
          <w:color w:val="000000"/>
          <w:sz w:val="20"/>
        </w:rPr>
        <w:t xml:space="preserve"> </w:t>
      </w:r>
      <w:r>
        <w:rPr>
          <w:rFonts w:ascii="Arial" w:hAnsi="Arial"/>
          <w:color w:val="000000"/>
          <w:sz w:val="20"/>
        </w:rPr>
        <w:t>per share and will be exercisable after the later of (1) June 30, 2026 and (2) the date of the completion of the public readout of topline results of the ELAINE-3 trial (the later of (1) and (2), the “Series B Common Warrant Initial Exercise Date”). The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 At issuance and at December 31, 2025, the PIPE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Pre-Funded Warrants, Series A Common Warrants and Series B Common Warrants meet the criteria to be classified as equity instruments.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None of the PIPE Pre-Funded Warrants, the Series A Common Warrants or the Series B Common Warrants can be exercised if, immediately prior to or following such exercise, the applicable investor, together with its affiliates and any other persons whose beneficial ownership of shares of common stock would be aggregated with such investor for purposes of Section 13(d) of the Securities Exchange Act of 1934, as amended (the "Exchange Act"), would beneficially own more than 4.99%, 9.99% or 19.99%, at the election of such investor (in each case, the “PIPE Maximum Percentage”) of the total number of issued and outstanding shares of common stock following such exercise. If, upon exercise of the Series A Common Warrants or Series B Common Warrants, an investor would exceed the PIPE Maximum Percentage, then the Series A Common Warrants and Series B Common Warrants may be exercised for pre-funded warrants to purchase shares of common stock, which pre-funded warrants will have terms substantially the same as the PIPE Pre-Funded Warrants. The PIPE Maximum Percentage may be increased or decreased by an investor with 61 days’ written notice to us; provided, however, that such percentage may in no event exceed (x) 19.99% prior to a vote of our stockholders approving the removal of such exercise limitation or (y) with respect to certain investors, 4.99%</w:t>
      </w:r>
    </w:p>
    <w:p>
      <w:pPr>
        <w:pStyle w:val="TextBody"/>
        <w:bidi w:val="0"/>
        <w:spacing w:before="240" w:after="283"/>
        <w:jc w:val="both"/>
        <w:rPr>
          <w:rFonts w:ascii="Arial" w:hAnsi="Arial"/>
          <w:color w:val="000000"/>
          <w:sz w:val="20"/>
        </w:rPr>
      </w:pPr>
      <w:r>
        <w:rPr>
          <w:rFonts w:ascii="Arial" w:hAnsi="Arial"/>
          <w:color w:val="000000"/>
          <w:sz w:val="20"/>
        </w:rPr>
        <w:t>As of December 31, 2025, no PIPE Pre-Funded Warrants, PIPE Series A Common Warrants or PIPE Series B Common Warrants have been exercised.</w:t>
      </w:r>
    </w:p>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Equity Incentive Plans</w:t>
      </w:r>
    </w:p>
    <w:p>
      <w:pPr>
        <w:pStyle w:val="TextBody"/>
        <w:bidi w:val="0"/>
        <w:spacing w:before="120" w:after="283"/>
        <w:jc w:val="both"/>
        <w:rPr>
          <w:rFonts w:ascii="Times New Roman" w:hAnsi="Times New Roman"/>
          <w:sz w:val="20"/>
        </w:rPr>
      </w:pPr>
      <w:r>
        <w:rPr>
          <w:rFonts w:ascii="Arial" w:hAnsi="Arial"/>
          <w:color w:val="000000"/>
          <w:sz w:val="20"/>
        </w:rPr>
        <w:t>The Company’s 2020 Equity Incentive Plan (the "2020 Plan") provides for annual increases in the number of shares that may be issued under the 2020 Plan on January 1, 2021 and each subsequent January 1 thereafter by a number of shares equal to the least of (1) 323,000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(the "ESPP") provides for annual increases in the number of shares that may be issued under the ESPP on January 1, 2021 and each subsequent January 1 thereafter by a number of shares equal to the least of (1) 64,600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LeonaBio, Inc. 2024 Inducement Equity Incentive Plan (the "2024 Inducement Plan"), and, subject to the adjustment provisions of the 2024 Inducement Plan, reserved 75,000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spacing w:before="240" w:after="283"/>
        <w:jc w:val="both"/>
        <w:rPr>
          <w:rFonts w:ascii="Times New Roman" w:hAnsi="Times New Roman"/>
          <w:sz w:val="20"/>
        </w:rPr>
      </w:pPr>
      <w:r>
        <w:rPr>
          <w:rFonts w:ascii="Arial" w:hAnsi="Arial"/>
          <w:color w:val="000000"/>
          <w:sz w:val="20"/>
        </w:rPr>
        <w:t>Effective January 1, 2026, the Company’s 2020 Plan and ESPP reserves increased by 323,000</w:t>
      </w:r>
      <w:r>
        <w:rPr>
          <w:rFonts w:ascii="Times New Roman" w:hAnsi="Times New Roman"/>
          <w:color w:val="000000"/>
          <w:sz w:val="20"/>
        </w:rPr>
        <w:t xml:space="preserve"> </w:t>
      </w:r>
      <w:r>
        <w:rPr>
          <w:rFonts w:ascii="Arial" w:hAnsi="Arial"/>
          <w:color w:val="000000"/>
          <w:sz w:val="20"/>
        </w:rPr>
        <w:t>shares and 64,600</w:t>
      </w:r>
      <w:r>
        <w:rPr>
          <w:rFonts w:ascii="Times New Roman" w:hAnsi="Times New Roman"/>
          <w:color w:val="000000"/>
          <w:sz w:val="20"/>
        </w:rPr>
        <w:t xml:space="preserve"> </w:t>
      </w:r>
      <w:r>
        <w:rPr>
          <w:rFonts w:ascii="Arial" w:hAnsi="Arial"/>
          <w:color w:val="000000"/>
          <w:sz w:val="20"/>
        </w:rPr>
        <w:t>shares, respectively.</w:t>
      </w:r>
    </w:p>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10. Stock-based Compensation</w:t>
      </w:r>
    </w:p>
    <w:p>
      <w:pPr>
        <w:pStyle w:val="TextBody"/>
        <w:bidi w:val="0"/>
        <w:spacing w:before="12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5967" w:type="dxa"/>
        <w:jc w:val="left"/>
        <w:tblInd w:w="0" w:type="dxa"/>
        <w:tblLayout w:type="fixed"/>
        <w:tblCellMar>
          <w:top w:w="28" w:type="dxa"/>
          <w:left w:w="28" w:type="dxa"/>
          <w:bottom w:w="28" w:type="dxa"/>
          <w:right w:w="28" w:type="dxa"/>
        </w:tblCellMar>
      </w:tblPr>
      <w:tblGrid>
        <w:gridCol w:w="3236"/>
        <w:gridCol w:w="146"/>
        <w:gridCol w:w="224"/>
        <w:gridCol w:w="622"/>
        <w:gridCol w:w="155"/>
        <w:gridCol w:w="155"/>
        <w:gridCol w:w="224"/>
        <w:gridCol w:w="734"/>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2,316</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6,102</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Valuation Assumptions</w:t>
      </w:r>
    </w:p>
    <w:p>
      <w:pPr>
        <w:pStyle w:val="TextBody"/>
        <w:bidi w:val="0"/>
        <w:spacing w:before="12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Capital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40" w:after="283"/>
        <w:jc w:val="both"/>
        <w:rPr>
          <w:rFonts w:ascii="Times New Roman" w:hAnsi="Times New Roman"/>
          <w:sz w:val="20"/>
        </w:rPr>
      </w:pPr>
      <w:r>
        <w:rPr>
          <w:rFonts w:ascii="Arial" w:hAnsi="Arial"/>
          <w:color w:val="000000"/>
          <w:sz w:val="20"/>
        </w:rPr>
        <w:t>The fair value of each stock option was estimated using the Black</w:t>
        <w:noBreakHyphen/>
        <w:t>Scholes option</w:t>
        <w:noBreakHyphen/>
        <w:t>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4856" w:type="dxa"/>
        <w:jc w:val="left"/>
        <w:tblInd w:w="0" w:type="dxa"/>
        <w:tblLayout w:type="fixed"/>
        <w:tblCellMar>
          <w:top w:w="28" w:type="dxa"/>
          <w:left w:w="28" w:type="dxa"/>
          <w:bottom w:w="28" w:type="dxa"/>
          <w:right w:w="28" w:type="dxa"/>
        </w:tblCellMar>
      </w:tblPr>
      <w:tblGrid>
        <w:gridCol w:w="2266"/>
        <w:gridCol w:w="146"/>
        <w:gridCol w:w="154"/>
        <w:gridCol w:w="730"/>
        <w:gridCol w:w="302"/>
        <w:gridCol w:w="154"/>
        <w:gridCol w:w="154"/>
        <w:gridCol w:w="619"/>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grant date fair value of RSUs is based upon the fair market value of the Company’s common stock based on its closing price as reported on the date of grant on the Nasdaq Capital Market.</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fair value of options granted during the years ended December 31, 2025 and 2024</w:t>
      </w:r>
      <w:r>
        <w:rPr>
          <w:rFonts w:ascii="Times New Roman" w:hAnsi="Times New Roman"/>
          <w:color w:val="000000"/>
          <w:sz w:val="20"/>
        </w:rPr>
        <w:t xml:space="preserve"> </w:t>
      </w:r>
      <w:r>
        <w:rPr>
          <w:rFonts w:ascii="Arial" w:hAnsi="Arial"/>
          <w:color w:val="000000"/>
          <w:sz w:val="20"/>
        </w:rPr>
        <w:t>was $1.6</w:t>
      </w:r>
      <w:r>
        <w:rPr>
          <w:rFonts w:ascii="Times New Roman" w:hAnsi="Times New Roman"/>
          <w:color w:val="000000"/>
          <w:sz w:val="20"/>
        </w:rPr>
        <w:t xml:space="preserve"> </w:t>
      </w:r>
      <w:r>
        <w:rPr>
          <w:rFonts w:ascii="Arial" w:hAnsi="Arial"/>
          <w:color w:val="000000"/>
          <w:sz w:val="20"/>
        </w:rPr>
        <w:t>million and $10.6</w:t>
      </w:r>
      <w:r>
        <w:rPr>
          <w:rFonts w:ascii="Times New Roman" w:hAnsi="Times New Roman"/>
          <w:color w:val="000000"/>
          <w:sz w:val="20"/>
        </w:rPr>
        <w:t xml:space="preserve"> </w:t>
      </w:r>
      <w:r>
        <w:rPr>
          <w:rFonts w:ascii="Arial" w:hAnsi="Arial"/>
          <w:color w:val="000000"/>
          <w:sz w:val="20"/>
        </w:rPr>
        <w:t>million, respectively. The fair value of RSUs granted during the year ended December 31, 2025 and 2024 was $0.2</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Stock Option Activity</w:t>
      </w:r>
    </w:p>
    <w:p>
      <w:pPr>
        <w:pStyle w:val="TextBody"/>
        <w:bidi w:val="0"/>
        <w:spacing w:before="120" w:after="283"/>
        <w:jc w:val="both"/>
        <w:rPr>
          <w:rFonts w:ascii="Arial" w:hAnsi="Arial"/>
          <w:color w:val="000000"/>
          <w:sz w:val="20"/>
        </w:rPr>
      </w:pPr>
      <w:r>
        <w:rPr>
          <w:rFonts w:ascii="Arial" w:hAnsi="Arial"/>
          <w:color w:val="000000"/>
          <w:sz w:val="20"/>
        </w:rPr>
        <w:t>Changes in shares available for grant under the 2020 Plan and the 2024 Inducement Plan during the year ended December 31, 2025 were as follows:</w:t>
      </w:r>
    </w:p>
    <w:p>
      <w:pPr>
        <w:pStyle w:val="TextBody"/>
        <w:bidi w:val="0"/>
        <w:jc w:val="both"/>
        <w:rPr/>
      </w:pPr>
      <w:r>
        <w:rPr/>
        <w:t> </w:t>
      </w:r>
    </w:p>
    <w:tbl>
      <w:tblPr>
        <w:tblW w:w="5680" w:type="dxa"/>
        <w:jc w:val="left"/>
        <w:tblInd w:w="0" w:type="dxa"/>
        <w:tblLayout w:type="fixed"/>
        <w:tblCellMar>
          <w:top w:w="28" w:type="dxa"/>
          <w:left w:w="28" w:type="dxa"/>
          <w:bottom w:w="28" w:type="dxa"/>
          <w:right w:w="28" w:type="dxa"/>
        </w:tblCellMar>
      </w:tblPr>
      <w:tblGrid>
        <w:gridCol w:w="4321"/>
        <w:gridCol w:w="146"/>
        <w:gridCol w:w="146"/>
        <w:gridCol w:w="85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195,277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A summary of stock option activity under the 2020 Plan and the 2024 Inducement Plan for the year ended December 31, 2025 was as follows:</w:t>
      </w:r>
    </w:p>
    <w:p>
      <w:pPr>
        <w:pStyle w:val="TextBody"/>
        <w:bidi w:val="0"/>
        <w:jc w:val="both"/>
        <w:rPr/>
      </w:pPr>
      <w:r>
        <w:rPr/>
        <w:t> </w:t>
      </w:r>
    </w:p>
    <w:tbl>
      <w:tblPr>
        <w:tblW w:w="8118" w:type="dxa"/>
        <w:jc w:val="left"/>
        <w:tblInd w:w="0" w:type="dxa"/>
        <w:tblLayout w:type="fixed"/>
        <w:tblCellMar>
          <w:top w:w="28" w:type="dxa"/>
          <w:left w:w="28" w:type="dxa"/>
          <w:bottom w:w="28" w:type="dxa"/>
          <w:right w:w="28" w:type="dxa"/>
        </w:tblCellMar>
      </w:tblPr>
      <w:tblGrid>
        <w:gridCol w:w="2806"/>
        <w:gridCol w:w="146"/>
        <w:gridCol w:w="146"/>
        <w:gridCol w:w="961"/>
        <w:gridCol w:w="166"/>
        <w:gridCol w:w="146"/>
        <w:gridCol w:w="242"/>
        <w:gridCol w:w="674"/>
        <w:gridCol w:w="146"/>
        <w:gridCol w:w="146"/>
        <w:gridCol w:w="241"/>
        <w:gridCol w:w="795"/>
        <w:gridCol w:w="146"/>
        <w:gridCol w:w="146"/>
        <w:gridCol w:w="269"/>
        <w:gridCol w:w="75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years ended December 31, 2025 and 2024</w:t>
      </w:r>
      <w:r>
        <w:rPr>
          <w:rFonts w:ascii="Times New Roman" w:hAnsi="Times New Roman"/>
          <w:color w:val="000000"/>
          <w:sz w:val="20"/>
        </w:rPr>
        <w:t xml:space="preserve"> </w:t>
      </w:r>
      <w:r>
        <w:rPr>
          <w:rFonts w:ascii="Arial" w:hAnsi="Arial"/>
          <w:color w:val="000000"/>
          <w:sz w:val="20"/>
        </w:rPr>
        <w:t>was $7.3</w:t>
      </w:r>
      <w:r>
        <w:rPr>
          <w:rFonts w:ascii="Times New Roman" w:hAnsi="Times New Roman"/>
          <w:color w:val="000000"/>
          <w:sz w:val="20"/>
        </w:rPr>
        <w:t xml:space="preserve"> </w:t>
      </w:r>
      <w:r>
        <w:rPr>
          <w:rFonts w:ascii="Arial" w:hAnsi="Arial"/>
          <w:color w:val="000000"/>
          <w:sz w:val="20"/>
        </w:rPr>
        <w:t>million and $11.0</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December 31, 2025. The aggregate intrinsic value of options exercised was $0</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during the year ended December 31, 2025 and 2024, respectively, determined as of the date of option exercise. As of December 31, 2025, there was $4.5</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2.49</w:t>
      </w:r>
      <w:r>
        <w:rPr>
          <w:rFonts w:ascii="Times New Roman" w:hAnsi="Times New Roman"/>
          <w:color w:val="000000"/>
          <w:sz w:val="20"/>
        </w:rPr>
        <w:t xml:space="preserve"> </w:t>
      </w:r>
      <w:r>
        <w:rPr>
          <w:rFonts w:ascii="Arial" w:hAnsi="Arial"/>
          <w:color w:val="000000"/>
          <w:sz w:val="20"/>
        </w:rPr>
        <w:t>years. The Company utilizes newly issued shares to satisfy option exercises.</w:t>
      </w:r>
    </w:p>
    <w:p>
      <w:pPr>
        <w:pStyle w:val="TextBody"/>
        <w:bidi w:val="0"/>
        <w:spacing w:before="240" w:after="283"/>
        <w:jc w:val="both"/>
        <w:rPr>
          <w:rFonts w:ascii="Arial" w:hAnsi="Arial"/>
          <w:color w:val="000000"/>
          <w:sz w:val="20"/>
        </w:rPr>
      </w:pPr>
      <w:r>
        <w:rPr>
          <w:rFonts w:ascii="Arial" w:hAnsi="Arial"/>
          <w:color w:val="000000"/>
          <w:sz w:val="20"/>
        </w:rPr>
        <w:t>Stock options outstanding and exercisable under the 2020 Plan and the 2024 Inducement Plan consisted of the following at December 31, 2025:</w:t>
      </w:r>
    </w:p>
    <w:p>
      <w:pPr>
        <w:pStyle w:val="TextBody"/>
        <w:bidi w:val="0"/>
        <w:jc w:val="both"/>
        <w:rPr/>
      </w:pPr>
      <w:r>
        <w:rPr/>
        <w:t> </w:t>
      </w:r>
    </w:p>
    <w:tbl>
      <w:tblPr>
        <w:tblW w:w="4587" w:type="dxa"/>
        <w:jc w:val="left"/>
        <w:tblInd w:w="0" w:type="dxa"/>
        <w:tblLayout w:type="fixed"/>
        <w:tblCellMar>
          <w:top w:w="28" w:type="dxa"/>
          <w:left w:w="28" w:type="dxa"/>
          <w:bottom w:w="28" w:type="dxa"/>
          <w:right w:w="28" w:type="dxa"/>
        </w:tblCellMar>
      </w:tblPr>
      <w:tblGrid>
        <w:gridCol w:w="1561"/>
        <w:gridCol w:w="146"/>
        <w:gridCol w:w="146"/>
        <w:gridCol w:w="965"/>
        <w:gridCol w:w="146"/>
        <w:gridCol w:w="146"/>
        <w:gridCol w:w="155"/>
        <w:gridCol w:w="851"/>
        <w:gridCol w:w="47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3.13</w:t>
            </w:r>
            <w:r>
              <w:rPr>
                <w:rFonts w:ascii="Times New Roman" w:hAnsi="Times New Roman"/>
                <w:color w:val="000000"/>
                <w:sz w:val="20"/>
              </w:rPr>
              <w:t> </w:t>
            </w:r>
            <w:r>
              <w:rPr>
                <w:rFonts w:ascii="Arial" w:hAnsi="Arial"/>
                <w:color w:val="000000"/>
                <w:sz w:val="20"/>
              </w:rPr>
              <w:t>to 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103,161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10.40</w:t>
            </w:r>
            <w:r>
              <w:rPr>
                <w:rFonts w:ascii="Times New Roman" w:hAnsi="Times New Roman"/>
                <w:color w:val="000000"/>
                <w:sz w:val="20"/>
              </w:rPr>
              <w:t> </w:t>
            </w:r>
            <w:r>
              <w:rPr>
                <w:rFonts w:ascii="Arial" w:hAnsi="Arial"/>
                <w:color w:val="000000"/>
                <w:sz w:val="20"/>
              </w:rPr>
              <w:t>to 42.20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289,359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183,174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200.55</w:t>
            </w:r>
            <w:r>
              <w:rPr>
                <w:rFonts w:ascii="Times New Roman" w:hAnsi="Times New Roman"/>
                <w:color w:val="000000"/>
                <w:sz w:val="20"/>
              </w:rPr>
              <w:t> </w:t>
            </w:r>
            <w:r>
              <w:rPr>
                <w:rFonts w:ascii="Arial" w:hAnsi="Arial"/>
                <w:color w:val="000000"/>
                <w:sz w:val="20"/>
              </w:rPr>
              <w:t>to 294.10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601,353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Arial" w:hAnsi="Arial"/>
          <w:b/>
          <w:i/>
          <w:color w:val="212121"/>
          <w:sz w:val="20"/>
        </w:rPr>
      </w:pPr>
      <w:r>
        <w:rPr>
          <w:rFonts w:ascii="Arial" w:hAnsi="Arial"/>
          <w:b/>
          <w:i/>
          <w:color w:val="212121"/>
          <w:sz w:val="20"/>
        </w:rPr>
        <w:t>Restricted Stock Unit Activity</w:t>
      </w:r>
    </w:p>
    <w:p>
      <w:pPr>
        <w:pStyle w:val="TextBody"/>
        <w:bidi w:val="0"/>
        <w:spacing w:before="120" w:after="283"/>
        <w:jc w:val="both"/>
        <w:rPr>
          <w:rFonts w:ascii="Arial" w:hAnsi="Arial"/>
          <w:color w:val="212121"/>
          <w:sz w:val="20"/>
        </w:rPr>
      </w:pPr>
      <w:r>
        <w:rPr>
          <w:rFonts w:ascii="Arial" w:hAnsi="Arial"/>
          <w:color w:val="212121"/>
          <w:sz w:val="20"/>
        </w:rPr>
        <w:t>A summary of RSU, activity for the year ended December 31, 2025 is as follows:</w:t>
      </w:r>
    </w:p>
    <w:p>
      <w:pPr>
        <w:pStyle w:val="TextBody"/>
        <w:bidi w:val="0"/>
        <w:jc w:val="both"/>
        <w:rPr/>
      </w:pPr>
      <w:r>
        <w:rPr/>
        <w:t> </w:t>
      </w:r>
    </w:p>
    <w:tbl>
      <w:tblPr>
        <w:tblW w:w="5646" w:type="dxa"/>
        <w:jc w:val="left"/>
        <w:tblInd w:w="0" w:type="dxa"/>
        <w:tblLayout w:type="fixed"/>
        <w:tblCellMar>
          <w:top w:w="28" w:type="dxa"/>
          <w:left w:w="28" w:type="dxa"/>
          <w:bottom w:w="28" w:type="dxa"/>
          <w:right w:w="28" w:type="dxa"/>
        </w:tblCellMar>
      </w:tblPr>
      <w:tblGrid>
        <w:gridCol w:w="3091"/>
        <w:gridCol w:w="146"/>
        <w:gridCol w:w="153"/>
        <w:gridCol w:w="793"/>
        <w:gridCol w:w="166"/>
        <w:gridCol w:w="146"/>
        <w:gridCol w:w="292"/>
        <w:gridCol w:w="66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212121"/>
          <w:sz w:val="20"/>
        </w:rPr>
        <w:t>As of December 31, 2025, there was $0.4</w:t>
      </w:r>
      <w:r>
        <w:rPr>
          <w:rFonts w:ascii="Times New Roman" w:hAnsi="Times New Roman"/>
          <w:color w:val="212121"/>
          <w:sz w:val="20"/>
        </w:rPr>
        <w:t xml:space="preserve"> </w:t>
      </w:r>
      <w:r>
        <w:rPr>
          <w:rFonts w:ascii="Arial" w:hAnsi="Arial"/>
          <w:color w:val="212121"/>
          <w:sz w:val="20"/>
        </w:rPr>
        <w:t>million of total unrecognized compensation cost related to non-vested RSUs. The Company expects to recognize this cost over a remaining weighted-average period of 0.17</w:t>
      </w:r>
      <w:r>
        <w:rPr>
          <w:rFonts w:ascii="Times New Roman" w:hAnsi="Times New Roman"/>
          <w:color w:val="212121"/>
          <w:sz w:val="20"/>
        </w:rPr>
        <w:t xml:space="preserve"> </w:t>
      </w:r>
      <w:r>
        <w:rPr>
          <w:rFonts w:ascii="Arial" w:hAnsi="Arial"/>
          <w:color w:val="212121"/>
          <w:sz w:val="20"/>
        </w:rPr>
        <w:t>years.</w:t>
      </w:r>
      <w:r>
        <w:rPr>
          <w:rFonts w:ascii="Times New Roman" w:hAnsi="Times New Roman"/>
          <w:color w:val="212121"/>
          <w:sz w:val="20"/>
        </w:rPr>
        <w:t xml:space="preserve"> </w:t>
      </w:r>
    </w:p>
    <w:p>
      <w:pPr>
        <w:pStyle w:val="TextBody"/>
        <w:bidi w:val="0"/>
        <w:spacing w:before="360" w:after="283"/>
        <w:jc w:val="both"/>
        <w:rPr>
          <w:rFonts w:ascii="Arial" w:hAnsi="Arial"/>
          <w:b/>
          <w:i/>
          <w:color w:val="212121"/>
          <w:sz w:val="20"/>
        </w:rPr>
      </w:pPr>
      <w:r>
        <w:rPr>
          <w:rFonts w:ascii="Arial" w:hAnsi="Arial"/>
          <w:b/>
          <w:i/>
          <w:color w:val="212121"/>
          <w:sz w:val="20"/>
        </w:rPr>
        <w:t>Employee Stock Purchase Plan</w:t>
      </w:r>
    </w:p>
    <w:p>
      <w:pPr>
        <w:pStyle w:val="TextBody"/>
        <w:bidi w:val="0"/>
        <w:spacing w:before="120" w:after="283"/>
        <w:jc w:val="both"/>
        <w:rPr>
          <w:rFonts w:ascii="Times New Roman" w:hAnsi="Times New Roman"/>
          <w:sz w:val="20"/>
        </w:rPr>
      </w:pPr>
      <w:r>
        <w:rPr>
          <w:rFonts w:ascii="Arial" w:hAnsi="Arial"/>
          <w:color w:val="212121"/>
          <w:sz w:val="20"/>
        </w:rPr>
        <w:t xml:space="preserve">Under the ESPP, eligible employees can authorize payroll deductions for amounts up to the lesser of 15% of their qualifying wages or the statutory limit under the U.S. Internal Revenue Code. The ESPP provides for offering periods of six months in duration with one purchase period per offering period beginning May 18 and November 18 of each year. Participants in an offering period will be granted the right to purchase shares of the Company's common stock at a price per share that is 85% of the lesser of the fair market value of the shares at (1) the first day of the offering period or (2) the end of each purchase period within the offering period. A maximum of 10,000 shares of common stock may be purchased by each participant at the purchase date during the offering period. The fair market value of the ESPP options granted is determined using the Black-Scholes model and is amortized on a straight-line basis. Stock-based compensation expense recognized during the years ended December 31, 2025 and 2024 associated with the ESPP was $0 million and $0.1 million, respectively. </w:t>
      </w:r>
      <w:r>
        <w:rPr>
          <w:rFonts w:ascii="Arial" w:hAnsi="Arial"/>
          <w:color w:val="000000"/>
          <w:sz w:val="20"/>
        </w:rPr>
        <w:t>During the year ended December 31, 2025, the Company issued 16,131 shares of common stock to employees under the ESPP.</w:t>
      </w:r>
      <w:r>
        <w:rPr>
          <w:rFonts w:ascii="Times New Roman" w:hAnsi="Times New Roman"/>
          <w:color w:val="000000"/>
          <w:sz w:val="20"/>
        </w:rPr>
        <w:t xml:space="preserve"> </w:t>
      </w:r>
    </w:p>
    <w:p>
      <w:pPr>
        <w:pStyle w:val="TextBody"/>
        <w:bidi w:val="0"/>
        <w:spacing w:before="360" w:after="283"/>
        <w:jc w:val="both"/>
        <w:rPr>
          <w:rFonts w:ascii="Arial" w:hAnsi="Arial"/>
          <w:b/>
          <w:color w:val="212121"/>
          <w:sz w:val="20"/>
        </w:rPr>
      </w:pPr>
      <w:r>
        <w:rPr>
          <w:rFonts w:ascii="Arial" w:hAnsi="Arial"/>
          <w:b/>
          <w:color w:val="212121"/>
          <w:sz w:val="20"/>
        </w:rPr>
        <w:t>11. Income Taxes</w:t>
      </w:r>
    </w:p>
    <w:p>
      <w:pPr>
        <w:pStyle w:val="TextBody"/>
        <w:bidi w:val="0"/>
        <w:spacing w:before="120" w:after="283"/>
        <w:jc w:val="both"/>
        <w:rPr>
          <w:rFonts w:ascii="Arial" w:hAnsi="Arial"/>
          <w:b/>
          <w:i/>
          <w:color w:val="000000"/>
          <w:sz w:val="20"/>
        </w:rPr>
      </w:pPr>
      <w:r>
        <w:rPr>
          <w:rFonts w:ascii="Arial" w:hAnsi="Arial"/>
          <w:b/>
          <w:i/>
          <w:color w:val="000000"/>
          <w:sz w:val="20"/>
        </w:rPr>
        <w:t>Components of Income and Income Tax</w:t>
      </w:r>
    </w:p>
    <w:p>
      <w:pPr>
        <w:pStyle w:val="TextBody"/>
        <w:bidi w:val="0"/>
        <w:spacing w:before="120" w:after="283"/>
        <w:jc w:val="both"/>
        <w:rPr>
          <w:rFonts w:ascii="Arial" w:hAnsi="Arial"/>
          <w:color w:val="000000"/>
          <w:sz w:val="20"/>
        </w:rPr>
      </w:pPr>
      <w:r>
        <w:rPr>
          <w:rFonts w:ascii="Arial" w:hAnsi="Arial"/>
          <w:color w:val="000000"/>
          <w:sz w:val="20"/>
        </w:rPr>
        <w:t>The Company did not record a provision (benefit) for income taxes for the years ended December 31, 2025 and 2024. Net loss is attributable to the following tax jurisdictions (in thousands):</w:t>
      </w:r>
    </w:p>
    <w:p>
      <w:pPr>
        <w:pStyle w:val="TextBody"/>
        <w:bidi w:val="0"/>
        <w:jc w:val="both"/>
        <w:rPr/>
      </w:pPr>
      <w:r>
        <w:rPr/>
        <w:t> </w:t>
      </w:r>
    </w:p>
    <w:tbl>
      <w:tblPr>
        <w:tblW w:w="4284" w:type="dxa"/>
        <w:jc w:val="left"/>
        <w:tblInd w:w="0" w:type="dxa"/>
        <w:tblLayout w:type="fixed"/>
        <w:tblCellMar>
          <w:top w:w="28" w:type="dxa"/>
          <w:left w:w="28" w:type="dxa"/>
          <w:bottom w:w="28" w:type="dxa"/>
          <w:right w:w="28" w:type="dxa"/>
        </w:tblCellMar>
      </w:tblPr>
      <w:tblGrid>
        <w:gridCol w:w="1306"/>
        <w:gridCol w:w="146"/>
        <w:gridCol w:w="211"/>
        <w:gridCol w:w="856"/>
        <w:gridCol w:w="166"/>
        <w:gridCol w:w="146"/>
        <w:gridCol w:w="211"/>
        <w:gridCol w:w="751"/>
        <w:gridCol w:w="4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(96,940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provision for income taxes differs from the amount expected by applying the federal statutory rates to the net loss before taxes as follows:</w:t>
      </w:r>
    </w:p>
    <w:p>
      <w:pPr>
        <w:pStyle w:val="TextBody"/>
        <w:bidi w:val="0"/>
        <w:jc w:val="both"/>
        <w:rPr/>
      </w:pPr>
      <w:r>
        <w:rPr/>
        <w:t> </w:t>
      </w:r>
    </w:p>
    <w:tbl>
      <w:tblPr>
        <w:tblW w:w="5878" w:type="dxa"/>
        <w:jc w:val="left"/>
        <w:tblInd w:w="0" w:type="dxa"/>
        <w:tblLayout w:type="fixed"/>
        <w:tblCellMar>
          <w:top w:w="28" w:type="dxa"/>
          <w:left w:w="28" w:type="dxa"/>
          <w:bottom w:w="28" w:type="dxa"/>
          <w:right w:w="28" w:type="dxa"/>
        </w:tblCellMar>
      </w:tblPr>
      <w:tblGrid>
        <w:gridCol w:w="3286"/>
        <w:gridCol w:w="146"/>
        <w:gridCol w:w="448"/>
        <w:gridCol w:w="1667"/>
        <w:gridCol w:w="33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expenses and 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adopted ASU 2023-09, Income Taxes (Topic 740): Improvements to Income Tax Disclosures for the year ended December 31, 2025 on a prospective basis (in thousands):</w:t>
      </w:r>
    </w:p>
    <w:p>
      <w:pPr>
        <w:pStyle w:val="TextBody"/>
        <w:bidi w:val="0"/>
        <w:jc w:val="both"/>
        <w:rPr/>
      </w:pPr>
      <w:r>
        <w:rPr/>
        <w:t> </w:t>
      </w:r>
    </w:p>
    <w:tbl>
      <w:tblPr>
        <w:tblW w:w="6546" w:type="dxa"/>
        <w:jc w:val="left"/>
        <w:tblInd w:w="0" w:type="dxa"/>
        <w:tblLayout w:type="fixed"/>
        <w:tblCellMar>
          <w:top w:w="28" w:type="dxa"/>
          <w:left w:w="28" w:type="dxa"/>
          <w:bottom w:w="28" w:type="dxa"/>
          <w:right w:w="28" w:type="dxa"/>
        </w:tblCellMar>
      </w:tblPr>
      <w:tblGrid>
        <w:gridCol w:w="3796"/>
        <w:gridCol w:w="146"/>
        <w:gridCol w:w="227"/>
        <w:gridCol w:w="810"/>
        <w:gridCol w:w="179"/>
        <w:gridCol w:w="157"/>
        <w:gridCol w:w="157"/>
        <w:gridCol w:w="583"/>
        <w:gridCol w:w="4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(22,178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Income Taxes, net of Federal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Worldwide change in UTB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360" w:after="283"/>
        <w:jc w:val="both"/>
        <w:rPr>
          <w:rFonts w:ascii="Arial" w:hAnsi="Arial"/>
          <w:b/>
          <w:i/>
          <w:color w:val="000000"/>
          <w:sz w:val="20"/>
        </w:rPr>
      </w:pPr>
      <w:r>
        <w:rPr>
          <w:rFonts w:ascii="Arial" w:hAnsi="Arial"/>
          <w:b/>
          <w:i/>
          <w:color w:val="000000"/>
          <w:sz w:val="20"/>
        </w:rPr>
        <w:t>Deferred Tax Assets and Liabilities</w:t>
      </w:r>
    </w:p>
    <w:p>
      <w:pPr>
        <w:pStyle w:val="TextBody"/>
        <w:bidi w:val="0"/>
        <w:spacing w:before="120" w:after="283"/>
        <w:jc w:val="both"/>
        <w:rPr>
          <w:rFonts w:ascii="Arial" w:hAnsi="Arial"/>
          <w:color w:val="212121"/>
          <w:sz w:val="20"/>
        </w:rPr>
      </w:pPr>
      <w:r>
        <w:rPr>
          <w:rFonts w:ascii="Arial" w:hAnsi="Arial"/>
          <w:color w:val="212121"/>
          <w:sz w:val="20"/>
        </w:rPr>
        <w:t>The components of the Company’s deferred tax assets and liabilities were as follows (in thousands):</w:t>
      </w:r>
    </w:p>
    <w:p>
      <w:pPr>
        <w:pStyle w:val="TextBody"/>
        <w:bidi w:val="0"/>
        <w:jc w:val="both"/>
        <w:rPr/>
      </w:pPr>
      <w:r>
        <w:rPr/>
        <w:t> </w:t>
      </w:r>
    </w:p>
    <w:tbl>
      <w:tblPr>
        <w:tblW w:w="6974" w:type="dxa"/>
        <w:jc w:val="left"/>
        <w:tblInd w:w="0" w:type="dxa"/>
        <w:tblLayout w:type="fixed"/>
        <w:tblCellMar>
          <w:top w:w="28" w:type="dxa"/>
          <w:left w:w="28" w:type="dxa"/>
          <w:bottom w:w="28" w:type="dxa"/>
          <w:right w:w="28" w:type="dxa"/>
        </w:tblCellMar>
      </w:tblPr>
      <w:tblGrid>
        <w:gridCol w:w="3716"/>
        <w:gridCol w:w="146"/>
        <w:gridCol w:w="211"/>
        <w:gridCol w:w="856"/>
        <w:gridCol w:w="166"/>
        <w:gridCol w:w="146"/>
        <w:gridCol w:w="211"/>
        <w:gridCol w:w="751"/>
        <w:gridCol w:w="77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43,414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tax credit</w:t>
              <w:br/>
              <w: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12,362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32,540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92,235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(91,949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212121"/>
          <w:sz w:val="20"/>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2025, the Company has recorded a full valuation allowance on its net deferred tax assets as the Company has concluded that it is not more likely than not that such losses or credits will be utilized. The valuation allowance increased by $20.7</w:t>
      </w:r>
      <w:r>
        <w:rPr>
          <w:rFonts w:ascii="Times New Roman" w:hAnsi="Times New Roman"/>
          <w:color w:val="212121"/>
          <w:sz w:val="20"/>
        </w:rPr>
        <w:t xml:space="preserve"> </w:t>
      </w:r>
      <w:r>
        <w:rPr>
          <w:rFonts w:ascii="Arial" w:hAnsi="Arial"/>
          <w:color w:val="212121"/>
          <w:sz w:val="20"/>
        </w:rPr>
        <w:t>million during 2025 and 2024.</w:t>
      </w:r>
    </w:p>
    <w:p>
      <w:pPr>
        <w:pStyle w:val="TextBody"/>
        <w:bidi w:val="0"/>
        <w:spacing w:before="240" w:after="283"/>
        <w:jc w:val="both"/>
        <w:rPr>
          <w:rFonts w:ascii="Times New Roman" w:hAnsi="Times New Roman"/>
          <w:sz w:val="20"/>
        </w:rPr>
      </w:pPr>
      <w:r>
        <w:rPr>
          <w:rFonts w:ascii="Arial" w:hAnsi="Arial"/>
          <w:color w:val="212121"/>
          <w:sz w:val="20"/>
        </w:rPr>
        <w:t>At December 31, 2025, the Company has federal net operating loss and tax credit carryforwards of $9.5</w:t>
      </w:r>
      <w:r>
        <w:rPr>
          <w:rFonts w:ascii="Times New Roman" w:hAnsi="Times New Roman"/>
          <w:color w:val="212121"/>
          <w:sz w:val="20"/>
        </w:rPr>
        <w:t xml:space="preserve"> </w:t>
      </w:r>
      <w:r>
        <w:rPr>
          <w:rFonts w:ascii="Arial" w:hAnsi="Arial"/>
          <w:color w:val="212121"/>
          <w:sz w:val="20"/>
        </w:rPr>
        <w:t>million and $17.2</w:t>
      </w:r>
      <w:r>
        <w:rPr>
          <w:rFonts w:ascii="Times New Roman" w:hAnsi="Times New Roman"/>
          <w:color w:val="212121"/>
          <w:sz w:val="20"/>
        </w:rPr>
        <w:t xml:space="preserve"> </w:t>
      </w:r>
      <w:r>
        <w:rPr>
          <w:rFonts w:ascii="Arial" w:hAnsi="Arial"/>
          <w:color w:val="212121"/>
          <w:sz w:val="20"/>
        </w:rPr>
        <w:t>million, respectively, which expire over a period of 6</w:t>
      </w:r>
      <w:r>
        <w:rPr>
          <w:rFonts w:ascii="Times New Roman" w:hAnsi="Times New Roman"/>
          <w:color w:val="212121"/>
          <w:sz w:val="20"/>
        </w:rPr>
        <w:t xml:space="preserve"> </w:t>
      </w:r>
      <w:r>
        <w:rPr>
          <w:rFonts w:ascii="Arial" w:hAnsi="Arial"/>
          <w:color w:val="212121"/>
          <w:sz w:val="20"/>
        </w:rPr>
        <w:t>to 12</w:t>
      </w:r>
      <w:r>
        <w:rPr>
          <w:rFonts w:ascii="Times New Roman" w:hAnsi="Times New Roman"/>
          <w:color w:val="212121"/>
          <w:sz w:val="20"/>
        </w:rPr>
        <w:t xml:space="preserve"> </w:t>
      </w:r>
      <w:r>
        <w:rPr>
          <w:rFonts w:ascii="Arial" w:hAnsi="Arial"/>
          <w:color w:val="212121"/>
          <w:sz w:val="20"/>
        </w:rPr>
        <w:t>years. Net operating loss carryforwards of $259.8</w:t>
      </w:r>
      <w:r>
        <w:rPr>
          <w:rFonts w:ascii="Times New Roman" w:hAnsi="Times New Roman"/>
          <w:color w:val="212121"/>
          <w:sz w:val="20"/>
        </w:rPr>
        <w:t xml:space="preserve"> </w:t>
      </w:r>
      <w:r>
        <w:rPr>
          <w:rFonts w:ascii="Arial" w:hAnsi="Arial"/>
          <w:color w:val="212121"/>
          <w:sz w:val="20"/>
        </w:rPr>
        <w:t>million were generated after 2017, and therefore do not expire. As of December 31, 2025, the Company also had state net operating loss carryforwards of $5</w:t>
      </w:r>
      <w:r>
        <w:rPr>
          <w:rFonts w:ascii="Times New Roman" w:hAnsi="Times New Roman"/>
          <w:color w:val="212121"/>
          <w:sz w:val="20"/>
        </w:rPr>
        <w:t xml:space="preserve"> </w:t>
      </w:r>
      <w:r>
        <w:rPr>
          <w:rFonts w:ascii="Arial" w:hAnsi="Arial"/>
          <w:color w:val="212121"/>
          <w:sz w:val="20"/>
        </w:rPr>
        <w:t>million, which expire over a period of 17</w:t>
      </w:r>
      <w:r>
        <w:rPr>
          <w:rFonts w:ascii="Times New Roman" w:hAnsi="Times New Roman"/>
          <w:color w:val="212121"/>
          <w:sz w:val="20"/>
        </w:rPr>
        <w:t xml:space="preserve"> </w:t>
      </w:r>
      <w:r>
        <w:rPr>
          <w:rFonts w:ascii="Arial" w:hAnsi="Arial"/>
          <w:color w:val="212121"/>
          <w:sz w:val="20"/>
        </w:rPr>
        <w:t>to 20</w:t>
      </w:r>
      <w:r>
        <w:rPr>
          <w:rFonts w:ascii="Times New Roman" w:hAnsi="Times New Roman"/>
          <w:color w:val="212121"/>
          <w:sz w:val="20"/>
        </w:rPr>
        <w:t xml:space="preserve"> </w:t>
      </w:r>
      <w:r>
        <w:rPr>
          <w:rFonts w:ascii="Arial" w:hAnsi="Arial"/>
          <w:color w:val="212121"/>
          <w:sz w:val="20"/>
        </w:rPr>
        <w:t>years.</w:t>
      </w:r>
    </w:p>
    <w:p>
      <w:pPr>
        <w:pStyle w:val="TextBody"/>
        <w:bidi w:val="0"/>
        <w:spacing w:before="360" w:after="283"/>
        <w:jc w:val="both"/>
        <w:rPr>
          <w:rFonts w:ascii="Arial" w:hAnsi="Arial"/>
          <w:b/>
          <w:i/>
          <w:color w:val="212121"/>
          <w:sz w:val="20"/>
        </w:rPr>
      </w:pPr>
      <w:r>
        <w:rPr>
          <w:rFonts w:ascii="Arial" w:hAnsi="Arial"/>
          <w:b/>
          <w:i/>
          <w:color w:val="212121"/>
          <w:sz w:val="20"/>
        </w:rPr>
        <w:t>Uncertain Tax Positions</w:t>
      </w:r>
    </w:p>
    <w:p>
      <w:pPr>
        <w:pStyle w:val="TextBody"/>
        <w:bidi w:val="0"/>
        <w:spacing w:before="120" w:after="283"/>
        <w:jc w:val="both"/>
        <w:rPr>
          <w:rFonts w:ascii="Arial" w:hAnsi="Arial"/>
          <w:color w:val="212121"/>
          <w:sz w:val="20"/>
        </w:rPr>
      </w:pPr>
      <w:r>
        <w:rPr>
          <w:rFonts w:ascii="Arial" w:hAnsi="Arial"/>
          <w:color w:val="212121"/>
          <w:sz w:val="20"/>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pStyle w:val="TextBody"/>
        <w:bidi w:val="0"/>
        <w:spacing w:before="240" w:after="283"/>
        <w:jc w:val="both"/>
        <w:rPr>
          <w:rFonts w:ascii="Times New Roman" w:hAnsi="Times New Roman"/>
          <w:sz w:val="20"/>
        </w:rPr>
      </w:pPr>
      <w:r>
        <w:rPr>
          <w:rFonts w:ascii="Arial" w:hAnsi="Arial"/>
          <w:color w:val="212121"/>
          <w:sz w:val="20"/>
        </w:rPr>
        <w:t>A reconciliation of the beginning and ending amount of unrecognized tax benefits for uncertain tax positions were as follows (in thousands):</w:t>
      </w:r>
      <w:r>
        <w:rPr>
          <w:rFonts w:ascii="Times New Roman" w:hAnsi="Times New Roman"/>
          <w:color w:val="212121"/>
          <w:sz w:val="20"/>
        </w:rPr>
        <w:t xml:space="preserve"> </w:t>
      </w:r>
    </w:p>
    <w:p>
      <w:pPr>
        <w:pStyle w:val="TextBody"/>
        <w:bidi w:val="0"/>
        <w:jc w:val="both"/>
        <w:rPr/>
      </w:pPr>
      <w:r>
        <w:rPr/>
        <w:t> </w:t>
      </w:r>
    </w:p>
    <w:tbl>
      <w:tblPr>
        <w:tblW w:w="6575" w:type="dxa"/>
        <w:jc w:val="left"/>
        <w:tblInd w:w="0" w:type="dxa"/>
        <w:tblLayout w:type="fixed"/>
        <w:tblCellMar>
          <w:top w:w="28" w:type="dxa"/>
          <w:left w:w="28" w:type="dxa"/>
          <w:bottom w:w="28" w:type="dxa"/>
          <w:right w:w="28" w:type="dxa"/>
        </w:tblCellMar>
      </w:tblPr>
      <w:tblGrid>
        <w:gridCol w:w="4126"/>
        <w:gridCol w:w="146"/>
        <w:gridCol w:w="236"/>
        <w:gridCol w:w="657"/>
        <w:gridCol w:w="163"/>
        <w:gridCol w:w="163"/>
        <w:gridCol w:w="236"/>
        <w:gridCol w:w="657"/>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 for tax positions taken in prior</w:t>
              <w:br/>
              <w:t>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 for tax positions taken in the current</w:t>
              <w:br/>
              <w: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4,311</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212121"/>
          <w:sz w:val="20"/>
        </w:rPr>
        <w:t>If the unrecognized tax benefits for uncertain tax positions as of December 31, 2025 are recognized, there will be no impact to the effective tax rate due to the valuation allowance. The Company recognizes interest and penalties related to unrecognized tax benefits within the income tax expense line in the accompanying consolidated financial statements. At December 31, 2025, there were no</w:t>
      </w:r>
      <w:r>
        <w:rPr>
          <w:rFonts w:ascii="Times New Roman" w:hAnsi="Times New Roman"/>
          <w:color w:val="212121"/>
          <w:sz w:val="20"/>
        </w:rPr>
        <w:t xml:space="preserve"> </w:t>
      </w:r>
      <w:r>
        <w:rPr>
          <w:rFonts w:ascii="Arial" w:hAnsi="Arial"/>
          <w:color w:val="212121"/>
          <w:sz w:val="20"/>
        </w:rPr>
        <w:t>material interest and penalties on uncertain tax benefits. The Company does not anticipate any significant changes to its unrecognized tax benefits in the next 12 months.</w:t>
      </w:r>
    </w:p>
    <w:p>
      <w:pPr>
        <w:pStyle w:val="TextBody"/>
        <w:bidi w:val="0"/>
        <w:spacing w:before="360" w:after="283"/>
        <w:jc w:val="both"/>
        <w:rPr>
          <w:rFonts w:ascii="Arial" w:hAnsi="Arial"/>
          <w:b/>
          <w:color w:val="212121"/>
          <w:sz w:val="20"/>
        </w:rPr>
      </w:pPr>
      <w:r>
        <w:rPr>
          <w:rFonts w:ascii="Arial" w:hAnsi="Arial"/>
          <w:b/>
          <w:color w:val="212121"/>
          <w:sz w:val="20"/>
        </w:rPr>
        <w:t>12. Employee Benefit Plans</w:t>
      </w:r>
    </w:p>
    <w:p>
      <w:pPr>
        <w:pStyle w:val="TextBody"/>
        <w:bidi w:val="0"/>
        <w:spacing w:before="120" w:after="283"/>
        <w:jc w:val="both"/>
        <w:rPr>
          <w:rFonts w:ascii="Times New Roman" w:hAnsi="Times New Roman"/>
          <w:sz w:val="20"/>
        </w:rPr>
      </w:pPr>
      <w:r>
        <w:rPr>
          <w:rFonts w:ascii="Arial" w:hAnsi="Arial"/>
          <w:color w:val="212121"/>
          <w:sz w:val="20"/>
        </w:rPr>
        <w:t>The Company has a 401(k) Plan for all of its employees. The 401(k) Plan allows eligible employees to defer, at the employee’s discretion, up to 100% of their pretax compensation up to the Internal Revenue Service annual limit. The Company made matching contributions of $0.2</w:t>
      </w:r>
      <w:r>
        <w:rPr>
          <w:rFonts w:ascii="Times New Roman" w:hAnsi="Times New Roman"/>
          <w:color w:val="212121"/>
          <w:sz w:val="20"/>
        </w:rPr>
        <w:t xml:space="preserve"> </w:t>
      </w:r>
      <w:r>
        <w:rPr>
          <w:rFonts w:ascii="Arial" w:hAnsi="Arial"/>
          <w:color w:val="212121"/>
          <w:sz w:val="20"/>
        </w:rPr>
        <w:t>million and $0.5</w:t>
      </w:r>
      <w:r>
        <w:rPr>
          <w:rFonts w:ascii="Times New Roman" w:hAnsi="Times New Roman"/>
          <w:color w:val="212121"/>
          <w:sz w:val="20"/>
        </w:rPr>
        <w:t xml:space="preserve"> </w:t>
      </w:r>
      <w:r>
        <w:rPr>
          <w:rFonts w:ascii="Arial" w:hAnsi="Arial"/>
          <w:color w:val="212121"/>
          <w:sz w:val="20"/>
        </w:rPr>
        <w:t>million during the years ended December 31, 2025 and 2024, respectively.</w:t>
      </w:r>
    </w:p>
    <w:p>
      <w:pPr>
        <w:pStyle w:val="TextBody"/>
        <w:bidi w:val="0"/>
        <w:spacing w:before="240" w:after="283"/>
        <w:jc w:val="center"/>
        <w:rPr>
          <w:rFonts w:ascii="Arial" w:hAnsi="Arial"/>
          <w:color w:val="000000"/>
          <w:sz w:val="20"/>
        </w:rPr>
      </w:pPr>
      <w:r>
        <w:rPr>
          <w:rFonts w:ascii="Arial" w:hAnsi="Arial"/>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212121"/>
          <w:sz w:val="20"/>
        </w:rPr>
      </w:pPr>
      <w:r>
        <w:rPr>
          <w:rFonts w:ascii="Arial" w:hAnsi="Arial"/>
          <w:b/>
          <w:color w:val="212121"/>
          <w:sz w:val="20"/>
        </w:rPr>
        <w:t>13. Net Loss Per Share Attributable to Common Stockholders</w:t>
      </w:r>
    </w:p>
    <w:p>
      <w:pPr>
        <w:pStyle w:val="TextBody"/>
        <w:bidi w:val="0"/>
        <w:spacing w:before="12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spacing w:before="120" w:after="283"/>
        <w:jc w:val="both"/>
        <w:rPr/>
      </w:pPr>
      <w:r>
        <w:rPr/>
        <w:t> </w:t>
      </w:r>
    </w:p>
    <w:tbl>
      <w:tblPr>
        <w:tblW w:w="6979"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961"/>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961,156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62,259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51,057,406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1,024,266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Arial" w:hAnsi="Arial"/>
          <w:b/>
          <w:color w:val="212121"/>
          <w:sz w:val="20"/>
        </w:rPr>
      </w:pPr>
      <w:r>
        <w:rPr>
          <w:rFonts w:ascii="Arial" w:hAnsi="Arial"/>
          <w:b/>
          <w:color w:val="212121"/>
          <w:sz w:val="20"/>
        </w:rPr>
        <w:t>14. Corporate Restructuring</w:t>
      </w:r>
    </w:p>
    <w:p>
      <w:pPr>
        <w:pStyle w:val="TextBody"/>
        <w:bidi w:val="0"/>
        <w:spacing w:before="120" w:after="283"/>
        <w:jc w:val="both"/>
        <w:rPr>
          <w:rFonts w:ascii="Times New Roman" w:hAnsi="Times New Roman"/>
          <w:sz w:val="20"/>
        </w:rPr>
      </w:pPr>
      <w:r>
        <w:rPr>
          <w:rFonts w:ascii="Arial" w:hAnsi="Arial"/>
          <w:color w:val="000000"/>
          <w:sz w:val="20"/>
        </w:rPr>
        <w:t>On September 15, 2024, the Company committed to the Restructuring. (see Note 2). In connection with the Restructuring, the Company incurred costs of $2.9</w:t>
      </w:r>
      <w:r>
        <w:rPr>
          <w:rFonts w:ascii="Times New Roman" w:hAnsi="Times New Roman"/>
          <w:color w:val="000000"/>
          <w:sz w:val="20"/>
        </w:rPr>
        <w:t xml:space="preserve"> </w:t>
      </w:r>
      <w:r>
        <w:rPr>
          <w:rFonts w:ascii="Arial" w:hAnsi="Arial"/>
          <w:color w:val="000000"/>
          <w:sz w:val="20"/>
        </w:rPr>
        <w:t>million, consisting primarily of cash severance costs and termination benefits, which the Company recognized during the year ended December 31, 2024. The Company substantially completed the Restructuring by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December 31, 2024, the accrued liability balance associated with the Restructuring was $0.4</w:t>
      </w:r>
      <w:r>
        <w:rPr>
          <w:rFonts w:ascii="Times New Roman" w:hAnsi="Times New Roman"/>
          <w:color w:val="000000"/>
          <w:sz w:val="20"/>
        </w:rPr>
        <w:t xml:space="preserve"> </w:t>
      </w:r>
      <w:r>
        <w:rPr>
          <w:rFonts w:ascii="Arial" w:hAnsi="Arial"/>
          <w:color w:val="000000"/>
          <w:sz w:val="20"/>
        </w:rPr>
        <w:t>million and was included in the accrued expenses line of the accompanying consolidated balance sheet. Cash paid during the year ended December 31, 2024 associated with the termination benefits was $2.5</w:t>
      </w:r>
      <w:r>
        <w:rPr>
          <w:rFonts w:ascii="Times New Roman" w:hAnsi="Times New Roman"/>
          <w:color w:val="000000"/>
          <w:sz w:val="20"/>
        </w:rPr>
        <w:t xml:space="preserve"> </w:t>
      </w:r>
      <w:r>
        <w:rPr>
          <w:rFonts w:ascii="Arial" w:hAnsi="Arial"/>
          <w:color w:val="000000"/>
          <w:sz w:val="20"/>
        </w:rPr>
        <w:t>million. The remaining $0.4</w:t>
      </w:r>
      <w:r>
        <w:rPr>
          <w:rFonts w:ascii="Times New Roman" w:hAnsi="Times New Roman"/>
          <w:color w:val="000000"/>
          <w:sz w:val="20"/>
        </w:rPr>
        <w:t xml:space="preserve"> </w:t>
      </w:r>
      <w:r>
        <w:rPr>
          <w:rFonts w:ascii="Arial" w:hAnsi="Arial"/>
          <w:color w:val="000000"/>
          <w:sz w:val="20"/>
        </w:rPr>
        <w:t>million accrued as of December 31, 2024 was settled during the twelve months ended December 31, 2025.</w:t>
      </w:r>
    </w:p>
    <w:p>
      <w:pPr>
        <w:pStyle w:val="TextBody"/>
        <w:bidi w:val="0"/>
        <w:spacing w:before="360" w:after="283"/>
        <w:jc w:val="both"/>
        <w:rPr>
          <w:rFonts w:ascii="Arial" w:hAnsi="Arial"/>
          <w:b/>
          <w:color w:val="000000"/>
          <w:sz w:val="20"/>
        </w:rPr>
      </w:pPr>
      <w:r>
        <w:rPr>
          <w:rFonts w:ascii="Arial" w:hAnsi="Arial"/>
          <w:b/>
          <w:color w:val="000000"/>
          <w:sz w:val="20"/>
        </w:rPr>
        <w:t>15. Subsequent events</w:t>
      </w:r>
    </w:p>
    <w:p>
      <w:pPr>
        <w:pStyle w:val="TextBody"/>
        <w:bidi w:val="0"/>
        <w:spacing w:before="120" w:after="283"/>
        <w:jc w:val="both"/>
        <w:rPr>
          <w:rFonts w:ascii="Arial" w:hAnsi="Arial"/>
          <w:color w:val="000000"/>
          <w:sz w:val="20"/>
        </w:rPr>
      </w:pPr>
      <w:r>
        <w:rPr>
          <w:rFonts w:ascii="Arial" w:hAnsi="Arial"/>
          <w:color w:val="000000"/>
          <w:sz w:val="20"/>
        </w:rPr>
        <w:t>The Company evaluated subsequent events and transactions that occurred after the balance sheet date through the date that the consolidated financial statements were issued. Based upon this review, or within these consolidated financial statements, other than as disclosed below, the Company did not identify any subsequent events that would have required recognition or disclosure in the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u w:val="single"/>
        </w:rPr>
      </w:pPr>
      <w:r>
        <w:rPr>
          <w:rFonts w:ascii="Arial" w:hAnsi="Arial"/>
          <w:b/>
          <w:color w:val="000000"/>
          <w:sz w:val="20"/>
          <w:u w:val="single"/>
        </w:rPr>
        <w:t>Special Meeting</w:t>
      </w:r>
    </w:p>
    <w:p>
      <w:pPr>
        <w:pStyle w:val="TextBody"/>
        <w:bidi w:val="0"/>
        <w:spacing w:before="120" w:after="283"/>
        <w:jc w:val="both"/>
        <w:rPr>
          <w:rFonts w:ascii="Times New Roman" w:hAnsi="Times New Roman"/>
          <w:sz w:val="20"/>
        </w:rPr>
      </w:pPr>
      <w:r>
        <w:rPr>
          <w:rFonts w:ascii="Arial" w:hAnsi="Arial"/>
          <w:color w:val="000000"/>
          <w:sz w:val="20"/>
        </w:rPr>
        <w:t>On February 23, 2026, the Company filed with the SEC a definitive proxy statement (the “Proxy Statement”) with respect to its special meeting of stockholders to be held on March 18, 2026 at 8:00 a.m. Pacific Time (the “Special Meeting”) to vote upon the proposals detailed in the Proxy Statement including(1) to approve the issuance of 5,502,402</w:t>
      </w:r>
      <w:r>
        <w:rPr>
          <w:rFonts w:ascii="Times New Roman" w:hAnsi="Times New Roman"/>
          <w:color w:val="000000"/>
          <w:sz w:val="20"/>
        </w:rPr>
        <w:t xml:space="preserve"> </w:t>
      </w:r>
      <w:r>
        <w:rPr>
          <w:rFonts w:ascii="Arial" w:hAnsi="Arial"/>
          <w:color w:val="000000"/>
          <w:sz w:val="20"/>
        </w:rPr>
        <w:t>shares of common stock pursuant to the exercise of the Sermonix Pre-Funded Warrant in accordance with Nasdaq Rule 5635(a)(2), (2) to approve the issuance of shares of common stock to Sermonix pursuant to an exercise of the Sermonix Pre-Funded Warrant if, immediately following such exercise, Sermonix, together with its affiliates and any other persons whose beneficial ownership of shares of common stock would be aggregated with Sermonix for purposes of Section 13(d) of the Exchange Act, would beneficially own in excess of 19.99% of the Company's outstanding common stock, in accordance with Nasdaq Rule 5635(b), (3) to approve the issuance of shares of common stock to Perceptive Life Sciences Master Fund, Ltd and Perceptive Xontogeny Venture Fund II, LP (collectively, “Perceptive”) pursuant to the exercise of warrants if, immediately following such exercise, Perceptive, together with any other persons whose beneficial ownership of shares of common stock would be aggregated with Perceptive for purposes of Section 13(d) of the Exchange Act, would beneficially own in excess of 19.99% of the Company's outstanding common stock, in accordance with Nasdaq Rule 5635(b), (4) to approve the LeonaBio, Inc. 2026 Equity Incentive Plan, (5) to amend the Company's amended and restated certificate of incorporation to increase the number of authorized shares of common stock and (6) to adjourn the Special Meeting, if necessary or appropriate in the view of the board of directors, including to solicit additional proxies if there are insufficient votes at the time of the Special Meeting to adopt any of Proposal 1, Proposal 2, Proposal 3, Proposal 4 or Proposal 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At the Special Meeting, the Company’s stockholders voted on each proposal presented, as described in the Proxy Statement, and approved each proposal. No other items were presented for stockholder approval at the Special Meeting.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bookmarkStart w:id="23" w:name="item_9_changes_in_disagreements_with_acc"/>
      <w:bookmarkEnd w:id="23"/>
      <w:r>
        <w:rPr>
          <w:rFonts w:ascii="Arial" w:hAnsi="Arial"/>
          <w:b/>
          <w:color w:val="000000"/>
          <w:sz w:val="20"/>
        </w:rPr>
        <w:t>Item 9. Changes in and Disagreements with Accountants on Accounting and Financial Disclosure.</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Times New Roman" w:hAnsi="Times New Roman"/>
          <w:sz w:val="20"/>
        </w:rPr>
      </w:pPr>
      <w:bookmarkStart w:id="24" w:name="item_9a_controls_procedures"/>
      <w:bookmarkEnd w:id="24"/>
      <w:r>
        <w:rPr>
          <w:rFonts w:ascii="Arial" w:hAnsi="Arial"/>
          <w:b/>
          <w:color w:val="000000"/>
          <w:sz w:val="20"/>
        </w:rPr>
        <w:t>Item 9A. Controls and Procedures.</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principal financial and accounting officer, as appropriate, to allow timely decisions regarding required disclosure.</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and supervision of our chief executive officer and our principal financial and accounting officer, have evaluated the effectiveness of our disclosure controls and procedures (as defined in Rules 13a-15(e) and 15d-15(e) under the Exchange Act) as of the end of the period covered by this Annual Report on Form 10-K. Based on such evaluation, our chief executive officer and principal financial and accounting officer have concluded that as of such date, our disclosure controls and procedures were, in design and operation, effective at a reasonable assurance level.</w:t>
      </w:r>
    </w:p>
    <w:p>
      <w:pPr>
        <w:pStyle w:val="TextBody"/>
        <w:bidi w:val="0"/>
        <w:spacing w:before="360" w:after="283"/>
        <w:jc w:val="both"/>
        <w:rPr>
          <w:rFonts w:ascii="Arial" w:hAnsi="Arial"/>
          <w:b/>
          <w:i/>
          <w:color w:val="000000"/>
          <w:sz w:val="20"/>
        </w:rPr>
      </w:pPr>
      <w:r>
        <w:rPr>
          <w:rFonts w:ascii="Arial" w:hAnsi="Arial"/>
          <w:b/>
          <w:i/>
          <w:color w:val="000000"/>
          <w:sz w:val="20"/>
        </w:rPr>
        <w:t>Management’s annual report on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Our management is responsible for establishing and maintaining adequate internal control over financial reporting, as such term is defined in Exchange Act Rule 13a-15(f) and Rule 15d-15(f). Our management conducted an evaluation of the effectiveness of our internal control over financial reporting as of December 31, 2025 based on the criteria established in Internal Control - Integrated Framework (2013) issued by the Committee of Sponsoring Organizations of the Treadway Commission. As a result of that assessment, our management has concluded that our internal control over financial reporting was effective as of December 31, 2025.</w:t>
      </w:r>
    </w:p>
    <w:p>
      <w:pPr>
        <w:pStyle w:val="TextBody"/>
        <w:bidi w:val="0"/>
        <w:spacing w:before="240" w:after="283"/>
        <w:jc w:val="both"/>
        <w:rPr>
          <w:rFonts w:ascii="Arial" w:hAnsi="Arial"/>
          <w:color w:val="000000"/>
          <w:sz w:val="20"/>
        </w:rPr>
      </w:pPr>
      <w:r>
        <w:rPr>
          <w:rFonts w:ascii="Arial" w:hAnsi="Arial"/>
          <w:color w:val="000000"/>
          <w:sz w:val="20"/>
        </w:rPr>
        <w:t>This Annual Report on Form 10-K does not include an attestation report of our independent registered public accounting firm on our internal control over financial reporting due to us qualifying as a non-accelerated filer.</w:t>
      </w:r>
    </w:p>
    <w:p>
      <w:pPr>
        <w:pStyle w:val="TextBody"/>
        <w:bidi w:val="0"/>
        <w:spacing w:before="360" w:after="283"/>
        <w:jc w:val="both"/>
        <w:rPr>
          <w:rFonts w:ascii="Arial" w:hAnsi="Arial"/>
          <w:b/>
          <w:i/>
          <w:color w:val="000000"/>
          <w:sz w:val="20"/>
        </w:rPr>
      </w:pPr>
      <w:r>
        <w:rPr>
          <w:rFonts w:ascii="Arial" w:hAnsi="Arial"/>
          <w:b/>
          <w:i/>
          <w:color w:val="000000"/>
          <w:sz w:val="20"/>
        </w:rPr>
        <w:t>Changes in Internal Control</w:t>
      </w:r>
    </w:p>
    <w:p>
      <w:pPr>
        <w:pStyle w:val="TextBody"/>
        <w:bidi w:val="0"/>
        <w:spacing w:before="120" w:after="283"/>
        <w:jc w:val="both"/>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 13a-15(d) and 15d-15(d) of the Exchange Act that occurred during the period covered by this Annual Report on Form 10-K that have materially affected, or are reasonably likely to materially affect, our internal control over financial reporting.</w:t>
      </w:r>
    </w:p>
    <w:p>
      <w:pPr>
        <w:pStyle w:val="TextBody"/>
        <w:bidi w:val="0"/>
        <w:spacing w:before="360" w:after="283"/>
        <w:jc w:val="both"/>
        <w:rPr>
          <w:rFonts w:ascii="Arial" w:hAnsi="Arial"/>
          <w:b/>
          <w:i/>
          <w:color w:val="000000"/>
          <w:sz w:val="20"/>
        </w:rPr>
      </w:pPr>
      <w:r>
        <w:rPr>
          <w:rFonts w:ascii="Arial" w:hAnsi="Arial"/>
          <w:b/>
          <w:i/>
          <w:color w:val="000000"/>
          <w:sz w:val="20"/>
        </w:rPr>
        <w:t>Inherent Limitations on the Effectiveness of Controls</w:t>
      </w:r>
    </w:p>
    <w:p>
      <w:pPr>
        <w:pStyle w:val="TextBody"/>
        <w:bidi w:val="0"/>
        <w:spacing w:before="120" w:after="283"/>
        <w:jc w:val="both"/>
        <w:rPr>
          <w:rFonts w:ascii="Arial" w:hAnsi="Arial"/>
          <w:color w:val="000000"/>
          <w:sz w:val="20"/>
        </w:rPr>
      </w:pPr>
      <w:r>
        <w:rPr>
          <w:rFonts w:ascii="Arial" w:hAnsi="Arial"/>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25" w:name="item_9b_or_information"/>
      <w:bookmarkEnd w:id="25"/>
      <w:r>
        <w:rPr>
          <w:rFonts w:ascii="Arial" w:hAnsi="Arial"/>
          <w:b/>
          <w:color w:val="000000"/>
          <w:sz w:val="20"/>
        </w:rPr>
        <w:t>Item 9B. Other</w:t>
      </w:r>
      <w:r>
        <w:rPr>
          <w:rFonts w:ascii="Times New Roman" w:hAnsi="Times New Roman"/>
          <w:color w:val="000000"/>
          <w:sz w:val="20"/>
        </w:rPr>
        <w:t xml:space="preserve"> </w:t>
      </w:r>
      <w:r>
        <w:rPr>
          <w:rFonts w:ascii="Arial" w:hAnsi="Arial"/>
          <w:b/>
          <w:color w:val="000000"/>
          <w:sz w:val="20"/>
        </w:rPr>
        <w:t>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During our last fiscal quarter, no director or officer, as defined in Rule 16a-1 (f)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360" w:after="283"/>
        <w:jc w:val="both"/>
        <w:rPr>
          <w:rFonts w:ascii="Times New Roman" w:hAnsi="Times New Roman"/>
          <w:sz w:val="20"/>
        </w:rPr>
      </w:pPr>
      <w:bookmarkStart w:id="26" w:name="item_9c_disclosure_regarding_foreign_jur"/>
      <w:bookmarkEnd w:id="26"/>
      <w:r>
        <w:rPr>
          <w:rFonts w:ascii="Arial" w:hAnsi="Arial"/>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Arial" w:hAnsi="Arial"/>
          <w:b/>
          <w:color w:val="000000"/>
          <w:sz w:val="20"/>
        </w:rPr>
        <w:t>PART III</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bookmarkStart w:id="28" w:name="item_10_directors_executive"/>
      <w:bookmarkEnd w:id="28"/>
      <w:r>
        <w:rPr>
          <w:rFonts w:ascii="Arial" w:hAnsi="Arial"/>
          <w:b/>
          <w:color w:val="000000"/>
          <w:sz w:val="20"/>
        </w:rPr>
        <w:t>Item 10. Directors, Executive Officers and Corporate Governance</w:t>
      </w:r>
    </w:p>
    <w:p>
      <w:pPr>
        <w:pStyle w:val="TextBody"/>
        <w:bidi w:val="0"/>
        <w:spacing w:before="120" w:after="283"/>
        <w:jc w:val="both"/>
        <w:rPr>
          <w:rFonts w:ascii="Arial" w:hAnsi="Arial"/>
          <w:b/>
          <w:color w:val="000000"/>
          <w:sz w:val="20"/>
        </w:rPr>
      </w:pPr>
      <w:r>
        <w:rPr>
          <w:rFonts w:ascii="Arial" w:hAnsi="Arial"/>
          <w:b/>
          <w:color w:val="000000"/>
          <w:sz w:val="20"/>
        </w:rPr>
        <w:t>Composition of the Board of Directors</w:t>
      </w:r>
    </w:p>
    <w:p>
      <w:pPr>
        <w:pStyle w:val="TextBody"/>
        <w:bidi w:val="0"/>
        <w:spacing w:before="240" w:after="283"/>
        <w:jc w:val="both"/>
        <w:rPr>
          <w:rFonts w:ascii="Times New Roman" w:hAnsi="Times New Roman"/>
          <w:sz w:val="20"/>
        </w:rPr>
      </w:pPr>
      <w:r>
        <w:rPr>
          <w:rFonts w:ascii="Arial" w:hAnsi="Arial"/>
          <w:color w:val="000000"/>
          <w:sz w:val="20"/>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sets forth the names, ages as of March 24, 2026, and certain other information for each of our directors:</w:t>
      </w:r>
      <w:r>
        <w:rPr>
          <w:rFonts w:ascii="Times New Roman" w:hAnsi="Times New Roman"/>
          <w:color w:val="000000"/>
          <w:sz w:val="20"/>
        </w:rPr>
        <w:t xml:space="preserve"> </w:t>
      </w:r>
    </w:p>
    <w:p>
      <w:pPr>
        <w:pStyle w:val="TextBody"/>
        <w:bidi w:val="0"/>
        <w:jc w:val="both"/>
        <w:rPr/>
      </w:pPr>
      <w:r>
        <w:rPr/>
        <w:t> </w:t>
      </w:r>
    </w:p>
    <w:tbl>
      <w:tblPr>
        <w:tblW w:w="7022" w:type="dxa"/>
        <w:jc w:val="left"/>
        <w:tblInd w:w="0" w:type="dxa"/>
        <w:tblLayout w:type="fixed"/>
        <w:tblCellMar>
          <w:top w:w="28" w:type="dxa"/>
          <w:left w:w="28" w:type="dxa"/>
          <w:bottom w:w="28" w:type="dxa"/>
          <w:right w:w="28" w:type="dxa"/>
        </w:tblCellMar>
      </w:tblPr>
      <w:tblGrid>
        <w:gridCol w:w="2551"/>
        <w:gridCol w:w="146"/>
        <w:gridCol w:w="146"/>
        <w:gridCol w:w="286"/>
        <w:gridCol w:w="146"/>
        <w:gridCol w:w="146"/>
        <w:gridCol w:w="360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Position(s)</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Joseph Edelman</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John M. Fluke, Jr.</w:t>
            </w:r>
            <w:r>
              <w:rPr>
                <w:rFonts w:ascii="Arial" w:hAnsi="Arial"/>
                <w:color w:val="000000"/>
                <w:sz w:val="11"/>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James A. Johnson</w:t>
            </w:r>
            <w:r>
              <w:rPr>
                <w:rFonts w:ascii="Arial" w:hAnsi="Arial"/>
                <w:color w:val="000000"/>
                <w:sz w:val="11"/>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Barbara Kosacz</w:t>
            </w:r>
            <w:r>
              <w:rPr>
                <w:rFonts w:ascii="Arial" w:hAnsi="Arial"/>
                <w:color w:val="000000"/>
                <w:sz w:val="11"/>
              </w:rPr>
              <w:t>(1)(6)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Mark Litton,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President, Chief Executive Officer, and Director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Michael Panzara, M.D.,M.P.H.</w:t>
            </w:r>
            <w:r>
              <w:rPr>
                <w:rFonts w:ascii="Arial" w:hAnsi="Arial"/>
                <w:color w:val="000000"/>
                <w:sz w:val="11"/>
              </w:rPr>
              <w:t>(1)(7)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Grant Pickering</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Director</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Kelly A. Romano</w:t>
            </w:r>
            <w:r>
              <w:rPr>
                <w:rFonts w:ascii="Arial" w:hAnsi="Arial"/>
                <w:color w:val="000000"/>
                <w:sz w:val="11"/>
              </w:rPr>
              <w:t>(2)(8)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Chairwoman of the Board of Directors</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spacing w:before="0" w:after="0"/>
        <w:jc w:val="both"/>
        <w:rPr>
          <w:rFonts w:ascii="Arial" w:hAnsi="Arial"/>
          <w:color w:val="000000"/>
          <w:sz w:val="20"/>
        </w:rPr>
      </w:pPr>
      <w:r>
        <w:rPr>
          <w:rFonts w:ascii="Arial" w:hAnsi="Arial"/>
          <w:color w:val="000000"/>
          <w:sz w:val="20"/>
        </w:rPr>
        <w:t xml:space="preserve">Member of our nominating and corporate governance committee.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Member of our audit committee.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 xml:space="preserve">Member of our compensation committee. </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 xml:space="preserve">Chairman of our audit committee. </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Member of our compliance committee.</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Chairwoman of our compensation committee.</w:t>
      </w:r>
    </w:p>
    <w:p>
      <w:pPr>
        <w:pStyle w:val="TextBody"/>
        <w:bidi w:val="0"/>
        <w:spacing w:before="120" w:after="283"/>
        <w:jc w:val="both"/>
        <w:rPr>
          <w:rFonts w:ascii="Arial" w:hAnsi="Arial"/>
          <w:color w:val="000000"/>
          <w:sz w:val="20"/>
        </w:rPr>
      </w:pPr>
      <w:r>
        <w:rPr>
          <w:rFonts w:ascii="Arial" w:hAnsi="Arial"/>
          <w:color w:val="000000"/>
          <w:sz w:val="20"/>
        </w:rPr>
        <w:t>(7)</w:t>
      </w:r>
    </w:p>
    <w:p>
      <w:pPr>
        <w:pStyle w:val="TextBody"/>
        <w:bidi w:val="0"/>
        <w:spacing w:before="120" w:after="283"/>
        <w:jc w:val="both"/>
        <w:rPr>
          <w:rFonts w:ascii="Arial" w:hAnsi="Arial"/>
          <w:color w:val="000000"/>
          <w:sz w:val="20"/>
        </w:rPr>
      </w:pPr>
      <w:r>
        <w:rPr>
          <w:rFonts w:ascii="Arial" w:hAnsi="Arial"/>
          <w:color w:val="000000"/>
          <w:sz w:val="20"/>
        </w:rPr>
        <w:t xml:space="preserve">Chairman of our compliance committee. </w:t>
      </w:r>
    </w:p>
    <w:p>
      <w:pPr>
        <w:pStyle w:val="TextBody"/>
        <w:bidi w:val="0"/>
        <w:spacing w:before="120" w:after="283"/>
        <w:jc w:val="both"/>
        <w:rPr>
          <w:rFonts w:ascii="Arial" w:hAnsi="Arial"/>
          <w:color w:val="000000"/>
          <w:sz w:val="20"/>
        </w:rPr>
      </w:pPr>
      <w:r>
        <w:rPr>
          <w:rFonts w:ascii="Arial" w:hAnsi="Arial"/>
          <w:color w:val="000000"/>
          <w:sz w:val="20"/>
        </w:rPr>
        <w:t>(8)</w:t>
      </w:r>
    </w:p>
    <w:p>
      <w:pPr>
        <w:pStyle w:val="TextBody"/>
        <w:bidi w:val="0"/>
        <w:spacing w:before="120" w:after="283"/>
        <w:jc w:val="both"/>
        <w:rPr>
          <w:rFonts w:ascii="Arial" w:hAnsi="Arial"/>
          <w:color w:val="000000"/>
          <w:sz w:val="20"/>
        </w:rPr>
      </w:pPr>
      <w:r>
        <w:rPr>
          <w:rFonts w:ascii="Arial" w:hAnsi="Arial"/>
          <w:color w:val="000000"/>
          <w:sz w:val="20"/>
        </w:rPr>
        <w:t>Chairwoman of our nominating and corporate governance committee.</w:t>
      </w:r>
    </w:p>
    <w:p>
      <w:pPr>
        <w:pStyle w:val="TextBody"/>
        <w:bidi w:val="0"/>
        <w:spacing w:before="240" w:after="283"/>
        <w:jc w:val="both"/>
        <w:rPr>
          <w:rFonts w:ascii="Arial" w:hAnsi="Arial"/>
          <w:color w:val="000000"/>
          <w:sz w:val="20"/>
        </w:rPr>
      </w:pPr>
      <w:r>
        <w:rPr>
          <w:rFonts w:ascii="Arial" w:hAnsi="Arial"/>
          <w:color w:val="000000"/>
          <w:sz w:val="20"/>
        </w:rPr>
        <w:t>There are no family relationships among any of the directors or executive officers. Pursuant to the terms of the PIPE Securities Purchase Agreement, each of Commodore and TCGX are entitled to designate one board member, subject to certain conditions, and we have agreed to use our reasonable best efforts to cause the resignation of two (2) current members of our board of directors by the six (6) month anniversary of the PIPE Closing Date in connection with such designations. Refer to Item 13 of this report for additional information.</w:t>
      </w:r>
    </w:p>
    <w:p>
      <w:pPr>
        <w:pStyle w:val="TextBody"/>
        <w:bidi w:val="0"/>
        <w:spacing w:before="360" w:after="283"/>
        <w:jc w:val="both"/>
        <w:rPr>
          <w:rFonts w:ascii="Arial" w:hAnsi="Arial"/>
          <w:b/>
          <w:i/>
          <w:color w:val="000000"/>
          <w:sz w:val="20"/>
        </w:rPr>
      </w:pPr>
      <w:r>
        <w:rPr>
          <w:rFonts w:ascii="Arial" w:hAnsi="Arial"/>
          <w:b/>
          <w:i/>
          <w:color w:val="000000"/>
          <w:sz w:val="20"/>
        </w:rPr>
        <w:t>Joseph Edelman</w:t>
      </w:r>
    </w:p>
    <w:p>
      <w:pPr>
        <w:pStyle w:val="TextBody"/>
        <w:bidi w:val="0"/>
        <w:spacing w:before="120" w:after="283"/>
        <w:jc w:val="both"/>
        <w:rPr>
          <w:rFonts w:ascii="Arial" w:hAnsi="Arial"/>
          <w:color w:val="000000"/>
          <w:sz w:val="20"/>
        </w:rPr>
      </w:pPr>
      <w:r>
        <w:rPr>
          <w:rFonts w:ascii="Arial" w:hAnsi="Arial"/>
          <w:color w:val="000000"/>
          <w:sz w:val="20"/>
        </w:rPr>
        <w:t>Joseph Edelman has served on our board of directors since May 2020. Mr. Edelman is the founder and chief executive officer of Perceptive Advisors LLC ("Perceptive Advisors"), a hedge fund that specializes in investing in biotechnology stocks, and serves on the board of directors of Perceptive Capital Solutions Corp. He founded Perceptive Advisors in 1999, aiming to support progress in the life sciences industry by identifying opportunities and directing financial resources toward the most promising technologies in modern healthcare. Mr. Edelman earned an M.B.A. from the Leonard N. Stern School of Business at New York University in 1986 and a B.A., magna cum laude, in psychology from the University of California San Diego in 1978. We believe that Mr. Edelman’s experience as a board member and investor in many successful biotechnology companies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John M. Fluke, Jr.</w:t>
      </w:r>
    </w:p>
    <w:p>
      <w:pPr>
        <w:pStyle w:val="TextBody"/>
        <w:bidi w:val="0"/>
        <w:spacing w:before="240" w:after="283"/>
        <w:jc w:val="center"/>
        <w:rPr>
          <w:rFonts w:ascii="Arial" w:hAnsi="Arial"/>
          <w:color w:val="000000"/>
          <w:sz w:val="20"/>
        </w:rPr>
      </w:pPr>
      <w:r>
        <w:rPr>
          <w:rFonts w:ascii="Arial" w:hAnsi="Arial"/>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John M. Fluke, Jr. has served on our board of directors since December 2014. Mr. Fluke is chairman of Fluke Capital Management, 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that Mr. Fluke’s extensive leadership experience and background as an investor in many successful companies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James A. Johnson</w:t>
      </w:r>
    </w:p>
    <w:p>
      <w:pPr>
        <w:pStyle w:val="TextBody"/>
        <w:bidi w:val="0"/>
        <w:spacing w:before="120" w:after="283"/>
        <w:jc w:val="both"/>
        <w:rPr>
          <w:rFonts w:ascii="Arial" w:hAnsi="Arial"/>
          <w:color w:val="000000"/>
          <w:sz w:val="20"/>
        </w:rPr>
      </w:pPr>
      <w:r>
        <w:rPr>
          <w:rFonts w:ascii="Arial" w:hAnsi="Arial"/>
          <w:color w:val="000000"/>
          <w:sz w:val="20"/>
        </w:rPr>
        <w:t>James A. Johnson has served on our board of directors since August 2020. Mr. Johnson previously served as the chief financial officer of Nohla Therapeutics, a cell therapy company, from January 2018 to August 2019. Prior to Nohla, Mr. Johnson served as the chief financial officer of NanoString Technologies, a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(renamed Armata Pharmaceuticals) and as Vice President of Finance at Immunex Corporation during its evolution from product development to commercial operations. Mr. Johnson received a B.A. in business administration from the University of Washington in 1979. We believe that Mr. Johnson’s depth of experience in the biopharmaceuticals industry, including as chief financial officer of a number of publicly traded biopharmaceutical companies,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Barbara Kosacz</w:t>
      </w:r>
    </w:p>
    <w:p>
      <w:pPr>
        <w:pStyle w:val="TextBody"/>
        <w:bidi w:val="0"/>
        <w:spacing w:before="120" w:after="283"/>
        <w:jc w:val="both"/>
        <w:rPr>
          <w:rFonts w:ascii="Times New Roman" w:hAnsi="Times New Roman"/>
          <w:sz w:val="20"/>
        </w:rPr>
      </w:pPr>
      <w:r>
        <w:rPr>
          <w:rFonts w:ascii="Arial" w:hAnsi="Arial"/>
          <w:color w:val="000000"/>
          <w:sz w:val="20"/>
        </w:rPr>
        <w:t>Barbara Kosacz has served on our board of directors since March 2021. Ms. Kosacz served as chief operating officer and general counsel at Kronos Bio, Inc., a clinical-stage biopharmaceutical company, from July 2020 until February 2024. Prior to joining Kronos Bio, Ms. Kosacz was a partner at Cooley LLP from November 1997 to December 2000, and again from November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the Board of Trustees of the Keck Graduate Institute, the business advisory board of Locust Walk Partners, and as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Royalty Corporation, a public biotechnology royalty aggregation company, and a member of the board of directors of the Scripps Research Institute. She also served as a member of the board of directors of Phoenix Biotech Acquisition Corp., a blank check company formed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 purpose of acquiring or merging with one or more businesses, from October 2021 to February 2024. Ms. Kosacz received her B.A. from Stanford University and her J.D. from the University of California, Berkeley School of Law. We believe that Ms. Kosacz’s extensive experience as an advisor to life sciences companies qualifies her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Mark Litton</w:t>
      </w:r>
    </w:p>
    <w:p>
      <w:pPr>
        <w:pStyle w:val="TextBody"/>
        <w:bidi w:val="0"/>
        <w:spacing w:before="120" w:after="283"/>
        <w:jc w:val="both"/>
        <w:rPr>
          <w:rFonts w:ascii="Arial" w:hAnsi="Arial"/>
          <w:color w:val="000000"/>
          <w:sz w:val="20"/>
        </w:rPr>
      </w:pPr>
      <w:r>
        <w:rPr>
          <w:rFonts w:ascii="Arial" w:hAnsi="Arial"/>
          <w:color w:val="000000"/>
          <w:sz w:val="20"/>
        </w:rPr>
        <w:t>Mark Litton, Ph.D., has served as our president and chief executive officer and member of our board of directors since October 2021 and previously served as our chief operating officer from July 2019 to October 2021.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We believe that Dr. Litton’s experience in the biopharmaceutical industry and the perspective and experience he brings as our chief executive officer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Michael Panzara, M.D., M.P.H.</w:t>
      </w:r>
    </w:p>
    <w:p>
      <w:pPr>
        <w:pStyle w:val="TextBody"/>
        <w:bidi w:val="0"/>
        <w:spacing w:before="120" w:after="283"/>
        <w:jc w:val="both"/>
        <w:rPr>
          <w:rFonts w:ascii="Arial" w:hAnsi="Arial"/>
          <w:color w:val="000000"/>
          <w:sz w:val="20"/>
        </w:rPr>
      </w:pPr>
      <w:r>
        <w:rPr>
          <w:rFonts w:ascii="Arial" w:hAnsi="Arial"/>
          <w:color w:val="000000"/>
          <w:sz w:val="20"/>
        </w:rPr>
        <w:t>Michael Panzara, M.D., M.P.H., has served on our board of directors since March 2022. Dr. Panzara served as chief medical officer at Neurvati Neurosciences, Inc., a Blackstone Life Sciences portfolio company, from October 2022 to March 2026. Previously, Dr. Panzara served as chief medical 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School of Public Health in 2002, an M.D. from Stanford University School of Medicine in 1994, and a B.A. in biology from the University of Pennsylvania in 1989. We believe that Dr. Panzara’s extensive experience in the healthcare and biopharmaceutical industries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Grant Pickering</w:t>
      </w:r>
    </w:p>
    <w:p>
      <w:pPr>
        <w:pStyle w:val="TextBody"/>
        <w:bidi w:val="0"/>
        <w:spacing w:before="120" w:after="283"/>
        <w:jc w:val="both"/>
        <w:rPr>
          <w:rFonts w:ascii="Times New Roman" w:hAnsi="Times New Roman"/>
          <w:sz w:val="20"/>
        </w:rPr>
      </w:pPr>
      <w:r>
        <w:rPr>
          <w:rFonts w:ascii="Arial" w:hAnsi="Arial"/>
          <w:color w:val="000000"/>
          <w:sz w:val="20"/>
        </w:rPr>
        <w:t>Grant Pickering has served on our board of directors since January 2022. Mr. Pickering co-founded and serves as chief executive 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BioTherapeutics, Inc., a biopharmaceutical company. Prior to that he served as senior vice president of operations of Dendreon Corporation, a publicly traded biotechnology company. Mr. Pickering earned an M.B.A. from Georgetown University in 1997 with high honors and a B.S. in marketing from Penn State University in 1989. We believe that Mr. Pickering’s experience in the healthcare, biopharmaceutical, and biotechnology industries qualifies him to serve on our board of directors.</w:t>
      </w:r>
    </w:p>
    <w:p>
      <w:pPr>
        <w:pStyle w:val="TextBody"/>
        <w:bidi w:val="0"/>
        <w:spacing w:before="360" w:after="283"/>
        <w:jc w:val="both"/>
        <w:rPr>
          <w:rFonts w:ascii="Arial" w:hAnsi="Arial"/>
          <w:b/>
          <w:i/>
          <w:color w:val="000000"/>
          <w:sz w:val="20"/>
        </w:rPr>
      </w:pPr>
      <w:r>
        <w:rPr>
          <w:rFonts w:ascii="Arial" w:hAnsi="Arial"/>
          <w:b/>
          <w:i/>
          <w:color w:val="000000"/>
          <w:sz w:val="20"/>
        </w:rPr>
        <w:t>Kelly A. Romano</w:t>
      </w:r>
    </w:p>
    <w:p>
      <w:pPr>
        <w:pStyle w:val="TextBody"/>
        <w:bidi w:val="0"/>
        <w:spacing w:before="120" w:after="283"/>
        <w:jc w:val="both"/>
        <w:rPr>
          <w:rFonts w:ascii="Arial" w:hAnsi="Arial"/>
          <w:color w:val="000000"/>
          <w:sz w:val="20"/>
        </w:rPr>
      </w:pPr>
      <w:r>
        <w:rPr>
          <w:rFonts w:ascii="Arial" w:hAnsi="Arial"/>
          <w:color w:val="000000"/>
          <w:sz w:val="20"/>
        </w:rPr>
        <w:t>Kelly A. Romano has served as chairwoman of our board of directors since August 2021 and as a member of our board of directors since December 2020. Ms. Romano brings over 30 years of executive operating experience with technology companies, with a background in commercial buildings and aerospace. Ms. Romano is the chief executive officer of BlueRipple Capital, LLC, a consultancy firm she founded in May 2018 and the founder and chair of the board of directors of Grizzly MEP since August 2025. Ms. Romano previously served as an operating partner at AE Industrial Partners, a private equity firm focused on aerospace and industrial investments, from August 2020 to July 2023. Ms. Romano also served on the Executive Advisory Board at Gryphon Investors, a middle-market private equity firm, from December 2016 to November 2023. Previously, she spent 32 years working at United Technologies Corp. (UTC) and held a number of senior executive global positions, including president of Intelligent Building Technologies in UTC Building &amp; Industrial Systems and president of Building Systems &amp; Services at Carrier Corporation. Ms. Romano is also a member of several boards of directors, including UGI Corporation, Dorman Products, Inc., and Potter Global Technologies. Ms. Romano earned a B.S. in business administration from the State University of New York at Buffalo, an M.B.A. from Syracuse University, and is a graduate of the Northwestern University Kellogg School of Management’s Corporate Board Governance Executive Program, as well as senior executive programs at Darden School of Management, University of Virginia. We believe that Ms. Romano’s executive operating experience and aptitude for understanding growing companies qualifies her to serve on our board of directors</w:t>
      </w:r>
    </w:p>
    <w:p>
      <w:pPr>
        <w:pStyle w:val="TextBody"/>
        <w:bidi w:val="0"/>
        <w:spacing w:before="240" w:after="283"/>
        <w:jc w:val="center"/>
        <w:rPr>
          <w:rFonts w:ascii="Arial" w:hAnsi="Arial"/>
          <w:color w:val="000000"/>
          <w:sz w:val="20"/>
        </w:rPr>
      </w:pPr>
      <w:r>
        <w:rPr>
          <w:rFonts w:ascii="Arial" w:hAnsi="Arial"/>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Executive Officers</w:t>
      </w:r>
    </w:p>
    <w:p>
      <w:pPr>
        <w:pStyle w:val="TextBody"/>
        <w:bidi w:val="0"/>
        <w:spacing w:before="120" w:after="283"/>
        <w:jc w:val="both"/>
        <w:rPr>
          <w:rFonts w:ascii="Times New Roman" w:hAnsi="Times New Roman"/>
          <w:sz w:val="20"/>
        </w:rPr>
      </w:pPr>
      <w:r>
        <w:rPr>
          <w:rFonts w:ascii="Arial" w:hAnsi="Arial"/>
          <w:color w:val="000000"/>
          <w:sz w:val="20"/>
        </w:rPr>
        <w:t>The following table sets forth the names, ages and positions of our executive officers as of March 24, 2026.</w:t>
      </w:r>
      <w:r>
        <w:rPr>
          <w:rFonts w:ascii="Times New Roman" w:hAnsi="Times New Roman"/>
          <w:color w:val="000000"/>
          <w:sz w:val="20"/>
        </w:rPr>
        <w:t xml:space="preserve"> </w:t>
      </w:r>
    </w:p>
    <w:p>
      <w:pPr>
        <w:pStyle w:val="TextBody"/>
        <w:bidi w:val="0"/>
        <w:jc w:val="both"/>
        <w:rPr/>
      </w:pPr>
      <w:r>
        <w:rPr/>
        <w:t> </w:t>
      </w:r>
    </w:p>
    <w:tbl>
      <w:tblPr>
        <w:tblW w:w="9040" w:type="dxa"/>
        <w:jc w:val="left"/>
        <w:tblInd w:w="0" w:type="dxa"/>
        <w:tblLayout w:type="fixed"/>
        <w:tblCellMar>
          <w:top w:w="28" w:type="dxa"/>
          <w:left w:w="28" w:type="dxa"/>
          <w:bottom w:w="28" w:type="dxa"/>
          <w:right w:w="28" w:type="dxa"/>
        </w:tblCellMar>
      </w:tblPr>
      <w:tblGrid>
        <w:gridCol w:w="2191"/>
        <w:gridCol w:w="146"/>
        <w:gridCol w:w="451"/>
        <w:gridCol w:w="146"/>
        <w:gridCol w:w="6106"/>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6"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Name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1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Position(s)</w:t>
            </w:r>
          </w:p>
        </w:tc>
      </w:tr>
      <w:tr>
        <w:trPr/>
        <w:tc>
          <w:tcPr>
            <w:tcW w:w="2191" w:type="dxa"/>
            <w:tcBorders/>
            <w:shd w:fill="CCEEFF" w:val="clear"/>
            <w:tcMar>
              <w:top w:w="0" w:type="dxa"/>
              <w:left w:w="0" w:type="dxa"/>
              <w:bottom w:w="0" w:type="dxa"/>
              <w:right w:w="0" w:type="dxa"/>
            </w:tcMar>
            <w:vAlign w:val="center"/>
          </w:tcPr>
          <w:p>
            <w:pPr>
              <w:pStyle w:val="TableContents"/>
              <w:bidi w:val="0"/>
              <w:spacing w:before="55" w:after="30"/>
              <w:jc w:val="left"/>
              <w:rPr>
                <w:rFonts w:ascii="Arial" w:hAnsi="Arial"/>
                <w:color w:val="000000"/>
                <w:sz w:val="20"/>
              </w:rPr>
            </w:pPr>
            <w:r>
              <w:rPr>
                <w:rFonts w:ascii="Arial" w:hAnsi="Arial"/>
                <w:color w:val="000000"/>
                <w:sz w:val="20"/>
              </w:rPr>
              <w:t>Mark Litton,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EFF" w:val="clear"/>
            <w:tcMar>
              <w:top w:w="0" w:type="dxa"/>
              <w:left w:w="0" w:type="dxa"/>
              <w:bottom w:w="0" w:type="dxa"/>
              <w:right w:w="0" w:type="dxa"/>
            </w:tcMar>
            <w:vAlign w:val="center"/>
          </w:tcPr>
          <w:p>
            <w:pPr>
              <w:pStyle w:val="TableContents"/>
              <w:bidi w:val="0"/>
              <w:spacing w:before="55" w:after="30"/>
              <w:jc w:val="center"/>
              <w:rPr>
                <w:rFonts w:ascii="Arial" w:hAnsi="Arial"/>
                <w:color w:val="000000"/>
                <w:sz w:val="20"/>
              </w:rPr>
            </w:pPr>
            <w:r>
              <w:rPr>
                <w:rFonts w:ascii="Arial" w:hAnsi="Arial"/>
                <w:color w:val="000000"/>
                <w:sz w:val="20"/>
              </w:rPr>
              <w:t>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shd w:fill="CCEEFF" w:val="clear"/>
            <w:tcMar>
              <w:top w:w="0" w:type="dxa"/>
              <w:left w:w="0" w:type="dxa"/>
              <w:bottom w:w="0" w:type="dxa"/>
              <w:right w:w="0" w:type="dxa"/>
            </w:tcMar>
            <w:vAlign w:val="center"/>
          </w:tcPr>
          <w:p>
            <w:pPr>
              <w:pStyle w:val="TableContents"/>
              <w:bidi w:val="0"/>
              <w:spacing w:before="55" w:after="30"/>
              <w:jc w:val="left"/>
              <w:rPr>
                <w:rFonts w:ascii="Times New Roman" w:hAnsi="Times New Roman"/>
                <w:sz w:val="20"/>
              </w:rPr>
            </w:pPr>
            <w:r>
              <w:rPr>
                <w:rFonts w:ascii="Arial" w:hAnsi="Arial"/>
                <w:color w:val="000000"/>
                <w:sz w:val="20"/>
              </w:rPr>
              <w:t>President, Chief Executive Officer and Director</w:t>
            </w:r>
            <w:r>
              <w:rPr>
                <w:rFonts w:ascii="Times New Roman" w:hAnsi="Times New Roman"/>
                <w:color w:val="000000"/>
                <w:sz w:val="20"/>
              </w:rPr>
              <w:t xml:space="preserve"> </w:t>
            </w:r>
          </w:p>
        </w:tc>
      </w:tr>
      <w:tr>
        <w:trPr/>
        <w:tc>
          <w:tcPr>
            <w:tcW w:w="219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Javier San Martin,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75" w:after="30"/>
              <w:jc w:val="left"/>
              <w:rPr>
                <w:rFonts w:ascii="Times New Roman" w:hAnsi="Times New Roman"/>
                <w:sz w:val="20"/>
              </w:rPr>
            </w:pPr>
            <w:r>
              <w:rPr>
                <w:rFonts w:ascii="Arial" w:hAnsi="Arial"/>
                <w:color w:val="000000"/>
                <w:sz w:val="20"/>
              </w:rPr>
              <w:t>Chief Medical Officer</w:t>
            </w:r>
            <w:r>
              <w:rPr>
                <w:rFonts w:ascii="Times New Roman" w:hAnsi="Times New Roman"/>
                <w:color w:val="000000"/>
                <w:sz w:val="20"/>
              </w:rPr>
              <w:t xml:space="preserve"> </w:t>
            </w:r>
          </w:p>
        </w:tc>
      </w:tr>
      <w:tr>
        <w:trPr/>
        <w:tc>
          <w:tcPr>
            <w:tcW w:w="2191" w:type="dxa"/>
            <w:tcBorders/>
            <w:shd w:fill="CCEE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Kevin Church, Ph.D.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EFF" w:val="clear"/>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shd w:fill="CCEEFF" w:val="clear"/>
            <w:tcMar>
              <w:top w:w="0" w:type="dxa"/>
              <w:left w:w="0" w:type="dxa"/>
              <w:bottom w:w="0" w:type="dxa"/>
              <w:right w:w="0" w:type="dxa"/>
            </w:tcMar>
            <w:vAlign w:val="center"/>
          </w:tcPr>
          <w:p>
            <w:pPr>
              <w:pStyle w:val="TableContents"/>
              <w:bidi w:val="0"/>
              <w:spacing w:before="75" w:after="30"/>
              <w:jc w:val="left"/>
              <w:rPr>
                <w:rFonts w:ascii="Times New Roman" w:hAnsi="Times New Roman"/>
                <w:sz w:val="20"/>
              </w:rPr>
            </w:pPr>
            <w:r>
              <w:rPr>
                <w:rFonts w:ascii="Arial" w:hAnsi="Arial"/>
                <w:color w:val="000000"/>
                <w:sz w:val="20"/>
              </w:rPr>
              <w:t>Chief Scientific Officer</w:t>
            </w:r>
            <w:r>
              <w:rPr>
                <w:rFonts w:ascii="Times New Roman" w:hAnsi="Times New Roman"/>
                <w:color w:val="000000"/>
                <w:sz w:val="20"/>
              </w:rPr>
              <w:t xml:space="preserve"> </w:t>
            </w:r>
          </w:p>
        </w:tc>
      </w:tr>
      <w:tr>
        <w:trPr/>
        <w:tc>
          <w:tcPr>
            <w:tcW w:w="2191" w:type="dxa"/>
            <w:tcBorders/>
            <w:shd w:fill="FFFF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Mark Worthington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General Counsel, Chief Compliance Officer and Corporate Secretary</w:t>
            </w:r>
            <w:r>
              <w:rPr>
                <w:rFonts w:ascii="Times New Roman" w:hAnsi="Times New Roman"/>
                <w:color w:val="000000"/>
                <w:sz w:val="20"/>
              </w:rPr>
              <w:t xml:space="preserve"> </w:t>
            </w:r>
          </w:p>
        </w:tc>
      </w:tr>
      <w:tr>
        <w:trPr/>
        <w:tc>
          <w:tcPr>
            <w:tcW w:w="2191" w:type="dxa"/>
            <w:tcBorders/>
            <w:shd w:fill="CCEE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Robert Renninger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EFF" w:val="clear"/>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6" w:type="dxa"/>
            <w:tcBorders/>
            <w:shd w:fill="CCEEFF" w:val="clear"/>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Chief Financial Officer</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There are no family relationships among any of the directors or executive officers.</w:t>
      </w:r>
    </w:p>
    <w:p>
      <w:pPr>
        <w:pStyle w:val="TextBody"/>
        <w:bidi w:val="0"/>
        <w:spacing w:before="240" w:after="283"/>
        <w:jc w:val="both"/>
        <w:rPr>
          <w:rFonts w:ascii="Times New Roman" w:hAnsi="Times New Roman"/>
          <w:sz w:val="20"/>
        </w:rPr>
      </w:pPr>
      <w:r>
        <w:rPr>
          <w:rFonts w:ascii="Arial" w:hAnsi="Arial"/>
          <w:color w:val="000000"/>
          <w:sz w:val="20"/>
        </w:rPr>
        <w:t>The following is biographical information for our executive officers, other than Dr. Litton, whose biographical information is included above.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Javier San Martin</w:t>
      </w:r>
    </w:p>
    <w:p>
      <w:pPr>
        <w:pStyle w:val="TextBody"/>
        <w:bidi w:val="0"/>
        <w:spacing w:before="120" w:after="283"/>
        <w:jc w:val="both"/>
        <w:rPr>
          <w:rFonts w:ascii="Arial" w:hAnsi="Arial"/>
          <w:color w:val="000000"/>
          <w:sz w:val="20"/>
        </w:rPr>
      </w:pPr>
      <w:r>
        <w:rPr>
          <w:rFonts w:ascii="Arial" w:hAnsi="Arial"/>
          <w:color w:val="000000"/>
          <w:sz w:val="20"/>
        </w:rPr>
        <w:t>Javier San Martin has served as our Chief Medical Officer since April 2024. Prior to that, he served as Chief Medical Officer at Arrowhead Pharmaceuticals, a biopharmaceutical company, from November 2019 to January 2024, where he guided development teams to advance that company’s RNAi-based therapeutics in the metabolic and liver disease area. Prior to Arrowhead, he served as Senior Vice President and Head of Global Clinical Development at Ultragenyx Pharmaceutical, a biopharmaceutical company, from 2013 to 2019, where he led the development of Crysvita® (burosumab-twza), the first drug approved to treat the rare, inherited disease of x-linked hypophosphatemia. Before that, Dr. San Martin served as Senior Vice President of Clinical Development at Alder Biopharmaceuticals, from 2012 to 2013, where he managed medical, regulatory, and clinical operations. Earlier, he led two major development programs as Global Development Leader for Amgen’s Bone Therapeutic Area and directed the anti-sclerostin antibody clinical program Eventiy® (romosozumab-aqqg) through the end of Phase 2 and was responsible for development and approval of Prolia® (denosumab) for the treatment of postmenopausal osteoporosis. Prior to Amgen, Dr. San Martin spent seven years at Eli Lilly working on Phase 3b and Phase 4 clinical trials to support the successful launch and medical affairs activities for Evista® and Forteo®. Dr. San Martin received his medical degree from the University of Buenos Aires Medical School and completed his residence in internal medicine at CEMIC University of Buenos Aires.</w:t>
      </w:r>
    </w:p>
    <w:p>
      <w:pPr>
        <w:pStyle w:val="TextBody"/>
        <w:bidi w:val="0"/>
        <w:spacing w:before="360" w:after="283"/>
        <w:jc w:val="both"/>
        <w:rPr>
          <w:rFonts w:ascii="Arial" w:hAnsi="Arial"/>
          <w:b/>
          <w:i/>
          <w:color w:val="000000"/>
          <w:sz w:val="20"/>
        </w:rPr>
      </w:pPr>
      <w:r>
        <w:rPr>
          <w:rFonts w:ascii="Arial" w:hAnsi="Arial"/>
          <w:b/>
          <w:i/>
          <w:color w:val="000000"/>
          <w:sz w:val="20"/>
        </w:rPr>
        <w:t>Kevin Church, Ph.D.</w:t>
      </w:r>
    </w:p>
    <w:p>
      <w:pPr>
        <w:pStyle w:val="TextBody"/>
        <w:bidi w:val="0"/>
        <w:spacing w:before="120" w:after="283"/>
        <w:jc w:val="both"/>
        <w:rPr>
          <w:rFonts w:ascii="Arial" w:hAnsi="Arial"/>
          <w:color w:val="000000"/>
          <w:sz w:val="20"/>
        </w:rPr>
      </w:pPr>
      <w:r>
        <w:rPr>
          <w:rFonts w:ascii="Arial" w:hAnsi="Arial"/>
          <w:color w:val="000000"/>
          <w:sz w:val="20"/>
        </w:rPr>
        <w:t>Kevin Church, Ph.D., has served as our chief scientific officer since January 2023. Prior to this, Dr. Church held various roles at the Company, including executive vice president of research from October 2021 to January 2023,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pStyle w:val="TextBody"/>
        <w:bidi w:val="0"/>
        <w:spacing w:before="240" w:after="283"/>
        <w:jc w:val="center"/>
        <w:rPr>
          <w:rFonts w:ascii="Arial" w:hAnsi="Arial"/>
          <w:color w:val="000000"/>
          <w:sz w:val="20"/>
        </w:rPr>
      </w:pPr>
      <w:r>
        <w:rPr>
          <w:rFonts w:ascii="Arial" w:hAnsi="Arial"/>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Mark Worthington</w:t>
      </w:r>
    </w:p>
    <w:p>
      <w:pPr>
        <w:pStyle w:val="TextBody"/>
        <w:bidi w:val="0"/>
        <w:spacing w:before="120" w:after="283"/>
        <w:jc w:val="both"/>
        <w:rPr>
          <w:rFonts w:ascii="Arial" w:hAnsi="Arial"/>
          <w:color w:val="000000"/>
          <w:sz w:val="20"/>
        </w:rPr>
      </w:pPr>
      <w:r>
        <w:rPr>
          <w:rFonts w:ascii="Arial" w:hAnsi="Arial"/>
          <w:color w:val="000000"/>
          <w:sz w:val="20"/>
        </w:rPr>
        <w:t>Mark Worthington has served as our general counsel since June 2021, after working with us as outside corporate counsel for several years. Prior to joining the Company, Mr. Worthington served as a partner with Summit Law Group in Seattle, Washington from September 1997 to May 2021, where he practiced corporate and securities law, chaired the corporate/securities practice and served as the co-managing partner. 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College of the Law, San Francisco, in 1993 and his B.A. in American Studies from Stanford University in 1988</w:t>
      </w:r>
    </w:p>
    <w:p>
      <w:pPr>
        <w:pStyle w:val="TextBody"/>
        <w:bidi w:val="0"/>
        <w:spacing w:before="360" w:after="283"/>
        <w:jc w:val="both"/>
        <w:rPr>
          <w:rFonts w:ascii="Arial" w:hAnsi="Arial"/>
          <w:b/>
          <w:i/>
          <w:color w:val="000000"/>
          <w:sz w:val="20"/>
        </w:rPr>
      </w:pPr>
      <w:r>
        <w:rPr>
          <w:rFonts w:ascii="Arial" w:hAnsi="Arial"/>
          <w:b/>
          <w:i/>
          <w:color w:val="000000"/>
          <w:sz w:val="20"/>
        </w:rPr>
        <w:t>Robert Renninger</w:t>
      </w:r>
    </w:p>
    <w:p>
      <w:pPr>
        <w:pStyle w:val="TextBody"/>
        <w:bidi w:val="0"/>
        <w:spacing w:before="120" w:after="283"/>
        <w:jc w:val="both"/>
        <w:rPr>
          <w:rFonts w:ascii="Arial" w:hAnsi="Arial"/>
          <w:color w:val="000000"/>
          <w:sz w:val="20"/>
        </w:rPr>
      </w:pPr>
      <w:r>
        <w:rPr>
          <w:rFonts w:ascii="Arial" w:hAnsi="Arial"/>
          <w:color w:val="000000"/>
          <w:sz w:val="20"/>
        </w:rPr>
        <w:t>Robert Renninger has served as our Chief Financial Officer since December 2025. From February 2025 to December 2025, he served as senior vice president, finance and accounting, and previously served as our vice president of finance from January 2022 to February 2025, as our senior director of finance from September 2020 to January 2022, and as our director of finance from July 2020 to September 2020. Mr. Renninger served as financial controller of Infobip (formerly OpenMarket), a global communications platform, from July 2019 to July 2020. He also served as technical controller of Baker Hughes, an energy company, from September 2017 to May 2019. Mr. Renninger also served in various roles at Ernst &amp; Young, LLP, a global accounting firm, from September 2007 through September 2017, including most recently as senior manager. Mr. Renninger received his Master of accounting from the University of Michigan in 2007 and his B.A. in accounting from Seattle University in 2006. Mr. Renninger has over 15 years of experience serving in various finance, accounting, and auditing positions for companies in the pharmaceutical, technology, and energy sectors.</w:t>
      </w:r>
    </w:p>
    <w:p>
      <w:pPr>
        <w:pStyle w:val="TextBody"/>
        <w:bidi w:val="0"/>
        <w:spacing w:before="360" w:after="283"/>
        <w:jc w:val="both"/>
        <w:rPr>
          <w:rFonts w:ascii="Arial" w:hAnsi="Arial"/>
          <w:b/>
          <w:color w:val="000000"/>
          <w:sz w:val="20"/>
        </w:rPr>
      </w:pPr>
      <w:r>
        <w:rPr>
          <w:rFonts w:ascii="Arial" w:hAnsi="Arial"/>
          <w:b/>
          <w:color w:val="000000"/>
          <w:sz w:val="20"/>
        </w:rPr>
        <w:t>Governance</w:t>
      </w:r>
    </w:p>
    <w:p>
      <w:pPr>
        <w:pStyle w:val="TextBody"/>
        <w:bidi w:val="0"/>
        <w:spacing w:before="120" w:after="283"/>
        <w:jc w:val="both"/>
        <w:rPr>
          <w:rFonts w:ascii="Times New Roman" w:hAnsi="Times New Roman"/>
          <w:sz w:val="20"/>
        </w:rPr>
      </w:pPr>
      <w:r>
        <w:rPr>
          <w:rFonts w:ascii="Arial" w:hAnsi="Arial"/>
          <w:b/>
          <w:i/>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w:t>
      </w:r>
      <w:r>
        <w:rPr>
          <w:rFonts w:ascii="Arial" w:hAnsi="Arial"/>
          <w:sz w:val="20"/>
        </w:rPr>
        <w:t>https://investors.leonabio.com/corporate-governance/governance-overview</w:t>
      </w:r>
      <w:r>
        <w:rPr>
          <w:rFonts w:ascii="Arial" w:hAnsi="Arial"/>
          <w:color w:val="000000"/>
          <w:sz w:val="20"/>
        </w:rPr>
        <w:t>. We will post amendments to our code of business conduct and ethics or waivers of our code of business conduct and ethics for directors and executive officers on the same website.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Audit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A copy of the charter of our audit committee is available on our website at https://investors.leonabio.com/corporate-governance/governance-overview. Our board of directors has determined that each of Messrs. Johnson and Fluke and Ms. Romano is independent for audit committee purposes, as that term is defined in the rules of the SEC and the applicable Nasdaq rules, and has sufficient knowledge in financial and auditing matters to serve on the audit committee. During our fiscal year ended December 31, 2025, our audit committee held four meetings (including regularly scheduled and special meetings).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Our audit committee: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selects, retains, compensates, evaluates, oversees and, where appropriate, terminates our independent registered public accounting firm;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and approves the scope and plans for the audits and the audit fees and approves all non-audit and tax services to be performed by the independent audit;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evaluates the independence and qualification of the independent registered public accounting firm;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internal controls and integrity of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financial information presentation, earnings press releases and guidance;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oversees the design, implementation and performance of our internal audit function, if any;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sets hiring policies with regard to the hiring of employees and former employees of our independent auditor and oversees compliance with such policies;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and monitors compliance with our Investment Policy and approves any amendments or deviations;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approves and monitors related party transactions;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develops, approves, reviews and monitors compliance with our code of business conduct and ethics;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adopts and oversees procedures to address complaints regarding accounting, internal accounting controls or auditing matters;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and discusses with our management and the independent auditor our compliance with various laws;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reviews and discusses with management, our independent auditor and our compliance committee, guidelines and policies to identify, monitor, and address enterprise risks, including the risks and exposures associated with cybersecurity, information security and privacy matters, and risks relating to securities laws, anti-corruption compliance and conflicts of interest, and conducts, in conjunction with management and our compliance committee, compliance risk analyses;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engages independent legal, accounting and other advisors;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determines appropriate funding for compensation to independent registered accounting firms, advisors and related expenses;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reviews the adequacy of the audit committee charter and recommends any proposed changes to our board of directors.</w:t>
      </w:r>
    </w:p>
    <w:p>
      <w:pPr>
        <w:pStyle w:val="TextBody"/>
        <w:bidi w:val="0"/>
        <w:spacing w:before="360" w:after="283"/>
        <w:jc w:val="both"/>
        <w:rPr>
          <w:rFonts w:ascii="Arial" w:hAnsi="Arial"/>
          <w:b/>
          <w:color w:val="000000"/>
          <w:sz w:val="20"/>
        </w:rPr>
      </w:pPr>
      <w:r>
        <w:rPr>
          <w:rFonts w:ascii="Arial" w:hAnsi="Arial"/>
          <w:b/>
          <w:color w:val="000000"/>
          <w:sz w:val="20"/>
        </w:rPr>
        <w:t>Insider Trading Policy</w:t>
      </w:r>
    </w:p>
    <w:p>
      <w:pPr>
        <w:pStyle w:val="TextBody"/>
        <w:bidi w:val="0"/>
        <w:spacing w:before="120" w:after="283"/>
        <w:jc w:val="both"/>
        <w:rPr>
          <w:rFonts w:ascii="Times New Roman" w:hAnsi="Times New Roman"/>
          <w:sz w:val="20"/>
        </w:rPr>
      </w:pPr>
      <w:r>
        <w:rPr>
          <w:rFonts w:ascii="Arial" w:hAnsi="Arial"/>
          <w:color w:val="000000"/>
          <w:sz w:val="20"/>
        </w:rPr>
        <w:t>We have adopted</w:t>
      </w:r>
      <w:r>
        <w:rPr>
          <w:rFonts w:ascii="Times New Roman" w:hAnsi="Times New Roman"/>
          <w:color w:val="000000"/>
          <w:sz w:val="20"/>
        </w:rPr>
        <w:t xml:space="preserve"> </w:t>
      </w:r>
      <w:r>
        <w:rPr>
          <w:rFonts w:ascii="Arial" w:hAnsi="Arial"/>
          <w:color w:val="000000"/>
          <w:sz w:val="20"/>
        </w:rPr>
        <w:t>an insider trading policy that governs the purchase, sale, and other dispositions of our securities by our directors, officers, employees and other covered individuals, that we believe is reasonably designed to promote compliance with applicable insider trading laws, rules and regulations and the listing standards of Nasdaq. A copy of our insider trading policy was filed as an exhibit to this Annual Report. In addition, with regard to trading in our own securities, it is our policy to comply with the federal securities laws and the applicable exchange listing requirements. Under our insider trading policy, our employees, including our executive officers, consultants, contractors, advisors,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pStyle w:val="TextBody"/>
        <w:bidi w:val="0"/>
        <w:spacing w:before="360" w:after="283"/>
        <w:jc w:val="both"/>
        <w:rPr>
          <w:rFonts w:ascii="Times New Roman" w:hAnsi="Times New Roman"/>
          <w:sz w:val="20"/>
        </w:rPr>
      </w:pPr>
      <w:bookmarkStart w:id="29" w:name="item_11_executive_compensation"/>
      <w:bookmarkEnd w:id="29"/>
      <w:r>
        <w:rPr>
          <w:rFonts w:ascii="Arial" w:hAnsi="Arial"/>
          <w:b/>
          <w:color w:val="000000"/>
          <w:sz w:val="20"/>
        </w:rPr>
        <w:t>Item 11.Executive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Processes And Procedures for Compensation Decisions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executive compensation programs are designed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motivate, incentivize and retain employees at the executive level who contribute to our long-term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provide compensation packages to our executives that are fair and competitive and reward high levels of performance and the achievement of our business objectives;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more closely align our executives’ interests with those of our stockholders by focusing on long-term equity incentives that correlate with the growth of sustainable long-term value for our stockholders.</w:t>
      </w:r>
    </w:p>
    <w:p>
      <w:pPr>
        <w:pStyle w:val="TextBody"/>
        <w:bidi w:val="0"/>
        <w:spacing w:before="240" w:after="283"/>
        <w:jc w:val="both"/>
        <w:rPr>
          <w:rFonts w:ascii="Times New Roman" w:hAnsi="Times New Roman"/>
          <w:sz w:val="20"/>
        </w:rPr>
      </w:pPr>
      <w:r>
        <w:rPr>
          <w:rFonts w:ascii="Arial" w:hAnsi="Arial"/>
          <w:color w:val="000000"/>
          <w:sz w:val="20"/>
        </w:rPr>
        <w:t>Our compensation committee is responsible for making compensation decisions for executive officers other than our chief executive officer, but may, in its discretion, choose to make compensation recommendations to the full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compensation committee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This section discusses the material components of the executive compensation program for our named executive officers who are named in the subsection titled “2024 – 2025 Summary Compensation Table” below. For 2025, our “named executive officers” and their positions were as follows: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 Litton, Ph.D., our president and chief executive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Javier San Martin, M.D., our chief medical officer;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 Worthington, our general counsel, chief compliance officer and corporate secretary.</w:t>
      </w:r>
    </w:p>
    <w:p>
      <w:pPr>
        <w:pStyle w:val="TextBody"/>
        <w:bidi w:val="0"/>
        <w:spacing w:before="240" w:after="283"/>
        <w:jc w:val="both"/>
        <w:rPr>
          <w:rFonts w:ascii="Arial" w:hAnsi="Arial"/>
          <w:color w:val="000000"/>
          <w:sz w:val="20"/>
        </w:rPr>
      </w:pPr>
      <w:r>
        <w:rPr>
          <w:rFonts w:ascii="Arial" w:hAnsi="Arial"/>
          <w:color w:val="000000"/>
          <w:sz w:val="20"/>
        </w:rPr>
        <w:t>All share amounts in this section reflect the Company’s 10-for-1 reverse stock split that became effective on September 17, 2025.</w:t>
      </w:r>
    </w:p>
    <w:p>
      <w:pPr>
        <w:pStyle w:val="TextBody"/>
        <w:bidi w:val="0"/>
        <w:spacing w:before="240" w:after="283"/>
        <w:jc w:val="center"/>
        <w:rPr>
          <w:rFonts w:ascii="Arial" w:hAnsi="Arial"/>
          <w:color w:val="000000"/>
          <w:sz w:val="20"/>
        </w:rPr>
      </w:pPr>
      <w:r>
        <w:rPr>
          <w:rFonts w:ascii="Arial" w:hAnsi="Arial"/>
          <w:color w:val="000000"/>
          <w:sz w:val="20"/>
        </w:rPr>
        <w:t>180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2024 – 2025 Summary Compensation Table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following table represents information regarding the total compensation awarded to, earned by or paid to our named executive officers for the years ended December 31, 2025 and December 31,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6"/>
        <w:gridCol w:w="146"/>
        <w:gridCol w:w="146"/>
        <w:gridCol w:w="406"/>
        <w:gridCol w:w="146"/>
        <w:gridCol w:w="146"/>
        <w:gridCol w:w="146"/>
        <w:gridCol w:w="601"/>
        <w:gridCol w:w="146"/>
        <w:gridCol w:w="146"/>
        <w:gridCol w:w="146"/>
        <w:gridCol w:w="601"/>
        <w:gridCol w:w="146"/>
        <w:gridCol w:w="146"/>
        <w:gridCol w:w="151"/>
        <w:gridCol w:w="624"/>
        <w:gridCol w:w="146"/>
        <w:gridCol w:w="146"/>
        <w:gridCol w:w="149"/>
        <w:gridCol w:w="739"/>
        <w:gridCol w:w="146"/>
        <w:gridCol w:w="146"/>
        <w:gridCol w:w="213"/>
        <w:gridCol w:w="881"/>
        <w:gridCol w:w="146"/>
        <w:gridCol w:w="146"/>
        <w:gridCol w:w="1030"/>
        <w:gridCol w:w="146"/>
        <w:gridCol w:w="146"/>
        <w:gridCol w:w="721"/>
        <w:gridCol w:w="195"/>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 and Principal Position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Salary</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Bonus</w:t>
              <w:br/>
              <w:t>($) (1)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 Awards</w:t>
              <w:br/>
              <w:t>($) (2)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Awards</w:t>
              <w:br/>
              <w:t>($) (3)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Non-Equity Incentive</w:t>
              <w:br/>
              <w:t>Plan Compensation ($) (4)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All Other</w:t>
              <w:br/>
              <w:t>Compensation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 ($)</w:t>
            </w:r>
          </w:p>
        </w:tc>
        <w:tc>
          <w:tcPr>
            <w:tcW w:w="19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Litton,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518,135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25,085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1,423,814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President and 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1,991,260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25,085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3,175,009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Javier San Martin, M.D.,</w:t>
              <w:br/>
              <w:t>Chief Medical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27,907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182,143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810,134</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Worthington,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140,601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29,335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731,477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General Counsel, Chief Compliance Officer and Corporate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606,498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24,523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1,337,509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In January 2025, the compensation committee, and with respect to Dr. Litton, the board of directors, approved a retention bonus program under the Company’s Executive Incentive Compensation Plan, which program was amended in February 2025. As amended, the retention bonus program provided that each employee would be entitled to receive a cash bonus equal to the greater of (i) 50% of the employee’s 2025 annual target bonus and (ii) 10% of the employee’s 2025 annual base salary, due on the earliest of (i) September 20, 2025, (ii) consummation of a contemplated strategic transaction and (iii) the date the Company wound up its affairs. The bonuses reflected in this column were paid to the executives on September 30, 2025.</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In accordance with Securities and Exchange Commission rules, amounts in this column reflect the aggregate grant date fair value of time-based and performance RSU awards granted during 2024 and 2025 computed in accordance with ASC 718, rather than the amounts paid or realized by the named executive officer. The performance RSU award amounts reflect the probable outcome of the performance conditions, in accordance with ASC 718. For a discussion of valuation assumptions, see Note 9 and the sections titled “Stock-based Compensation” to our financial statements included in this Annual Report. The fair value of the performance RSU awards at the grant date has been calculated assuming that the highest level of performance conditions will be achieved for each award.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 xml:space="preserve">In accordance with Securities and Exchange Commission rules, amounts in this column reflect the aggregate grant date fair value of stock options granted during 2024 and 2025 computed in accordance with ASC 718, rather than the amounts paid or realized by the named executive officer. For a discussion of valuation assumptions, see Note 9 and the sections titled “Stock-based Compensation” to our financial statements included in this Annual Report. </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 xml:space="preserve">Represents cash bonuses earned by the named executive officers pursuant to our Executive Incentive Compensation Plan for 2024 performance, paid in 2025. </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 xml:space="preserve">Represents payments made on the executive’s behalf for basic life insurance and contributions to vested and unvested defined contribution plans. </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Represents payments made on the executive’s behalf for basic life insurance.</w:t>
      </w:r>
    </w:p>
    <w:p>
      <w:pPr>
        <w:pStyle w:val="TextBody"/>
        <w:bidi w:val="0"/>
        <w:spacing w:before="240" w:after="283"/>
        <w:jc w:val="both"/>
        <w:rPr>
          <w:rFonts w:ascii="Times New Roman" w:hAnsi="Times New Roman"/>
          <w:sz w:val="20"/>
        </w:rPr>
      </w:pPr>
      <w:r>
        <w:rPr>
          <w:rFonts w:ascii="Arial" w:hAnsi="Arial"/>
          <w:color w:val="000000"/>
          <w:sz w:val="20"/>
        </w:rPr>
        <w:t>Outstanding Equity Awards at December 31,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following table shows grants of stock options and RSUs to each of our named executive officers outstanding at December 31,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25"/>
        <w:gridCol w:w="146"/>
        <w:gridCol w:w="1126"/>
        <w:gridCol w:w="146"/>
        <w:gridCol w:w="189"/>
        <w:gridCol w:w="682"/>
        <w:gridCol w:w="146"/>
        <w:gridCol w:w="146"/>
        <w:gridCol w:w="302"/>
        <w:gridCol w:w="719"/>
        <w:gridCol w:w="146"/>
        <w:gridCol w:w="146"/>
        <w:gridCol w:w="238"/>
        <w:gridCol w:w="868"/>
        <w:gridCol w:w="146"/>
        <w:gridCol w:w="146"/>
        <w:gridCol w:w="1072"/>
        <w:gridCol w:w="146"/>
        <w:gridCol w:w="222"/>
        <w:gridCol w:w="530"/>
        <w:gridCol w:w="146"/>
        <w:gridCol w:w="146"/>
        <w:gridCol w:w="181"/>
        <w:gridCol w:w="749"/>
        <w:gridCol w:w="196"/>
      </w:tblGrid>
      <w:tr>
        <w:trPr/>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54" w:type="dxa"/>
            <w:gridSpan w:val="1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 Securities Underlying Unexercised Options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70"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Stock Awards (unvested)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0"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Vesting</w:t>
              <w:br/>
              <w:t>Commencement</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Exercisable</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Unexercisable</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Option Exercise</w:t>
              <w:br/>
              <w:t>Price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Expiration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 or</w:t>
              <w:br/>
              <w:t>Units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Market Value</w:t>
              <w:br/>
              <w:t> of Shares or</w:t>
              <w:br/>
              <w:t>Units ($)(4)</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Litton,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8/26/2020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833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1,180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35,204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2/14/2034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27,121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22,254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168,463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133,526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9/24/2035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Javier San Martin,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4/15/2024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16,675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23,325 (6)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4/14/2034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9/30/2034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9,039 (1)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7,418 (3)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56,154</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9/24/2025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44,508 (5)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9/23/2035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Mark Worthington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312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416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11,912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6,977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5,726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43,346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34,358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9/23/2035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spacing w:before="0" w:after="0"/>
        <w:jc w:val="both"/>
        <w:rPr>
          <w:rFonts w:ascii="Arial" w:hAnsi="Arial"/>
          <w:color w:val="000000"/>
          <w:sz w:val="20"/>
        </w:rPr>
      </w:pPr>
      <w:r>
        <w:rPr>
          <w:rFonts w:ascii="Arial" w:hAnsi="Arial"/>
          <w:color w:val="000000"/>
          <w:sz w:val="20"/>
        </w:rPr>
        <w:t xml:space="preserve">Stock option vests over four years, with 1/48 vesting on the monthly anniversary of the vesting commencement date, subject to continued service with us through the applicable vesting date.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Stock option vests over three years, with 1/36 vesting on the monthly anniversary of the vesting commencement date, subject to continued service with us through the applicable vesting date.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100% of the RSUs will vest on the one-year anniversary of the vesting commencement date.</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market value of RSUs that have not vested is based on the closing price of the Company’s common stock on Nasdaq on December 31, 2025, which was $7.57 per share.</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Stock option scheduled to vest only upon satisfaction of both a milestone requirement and a service-based requirement. The milestone requirement was satisfied on December 23, 2025. The service-based requirement will be satisfied as to 50% of the total number of shares granted under the option on December 23, 2026 and as to 1/36th of the remaining 50% on each monthly anniversary thereafter.</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Stock option vests as to 25% on the first anniversary of the vesting commencement date, with the remaining stock options vesting monthly thereafter.</w:t>
      </w:r>
    </w:p>
    <w:p>
      <w:pPr>
        <w:pStyle w:val="TextBody"/>
        <w:bidi w:val="0"/>
        <w:spacing w:before="240" w:after="283"/>
        <w:jc w:val="both"/>
        <w:rPr>
          <w:rFonts w:ascii="Times New Roman" w:hAnsi="Times New Roman"/>
          <w:sz w:val="20"/>
        </w:rPr>
      </w:pPr>
      <w:r>
        <w:rPr>
          <w:rFonts w:ascii="Arial" w:hAnsi="Arial"/>
          <w:color w:val="000000"/>
          <w:sz w:val="20"/>
        </w:rPr>
        <w:t>Executive Employment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Each of our named executive officers has executed our standard form of confidential information, invention assignment and arbitration agreement.</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Dr. Mark Litton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February 2025, the board of directors, upon recommendation of our compensation committee, approved a continuation of Dr. Litton’s annual base salary at $625,000, effective as of January 1, 2025. In March 2026, the board of directors, upon recommendation of our compensation committee, approved an increase of Dr. Litton’s annual base salary to $667,000, effective as of January 1, 2026. Dr. Litton’s target annual bonus amount under the Company’s bonus plan remains at 55% of his annual base salary.</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Javier San Martin</w:t>
      </w:r>
    </w:p>
    <w:p>
      <w:pPr>
        <w:pStyle w:val="TextBody"/>
        <w:bidi w:val="0"/>
        <w:spacing w:before="120" w:after="283"/>
        <w:jc w:val="both"/>
        <w:rPr>
          <w:rFonts w:ascii="Arial" w:hAnsi="Arial"/>
          <w:color w:val="000000"/>
          <w:sz w:val="20"/>
        </w:rPr>
      </w:pPr>
      <w:r>
        <w:rPr>
          <w:rFonts w:ascii="Arial" w:hAnsi="Arial"/>
          <w:color w:val="000000"/>
          <w:sz w:val="20"/>
        </w:rPr>
        <w:t>In March 2024, we entered into an offer letter with Dr. San Martin, our chief medical officer. The offer letter has no specific term and provides that Dr. San Martin is an at-will employee. In March 2026, our compensation committee approved an increase of Dr. San Martin’s annual base salary to $540,000, effective as of January 1, 2026. Dr. San Martin’s target annual bonus amount under the Company’s bonus plan remains at 40% of his annual base salary.</w:t>
      </w:r>
    </w:p>
    <w:p>
      <w:pPr>
        <w:pStyle w:val="TextBody"/>
        <w:bidi w:val="0"/>
        <w:spacing w:before="360" w:after="283"/>
        <w:jc w:val="both"/>
        <w:rPr>
          <w:rFonts w:ascii="Arial" w:hAnsi="Arial"/>
          <w:b/>
          <w:i/>
          <w:color w:val="000000"/>
          <w:sz w:val="20"/>
        </w:rPr>
      </w:pPr>
      <w:r>
        <w:rPr>
          <w:rFonts w:ascii="Arial" w:hAnsi="Arial"/>
          <w:b/>
          <w:i/>
          <w:color w:val="000000"/>
          <w:sz w:val="20"/>
        </w:rPr>
        <w:t>Mark Worthington</w:t>
      </w:r>
    </w:p>
    <w:p>
      <w:pPr>
        <w:pStyle w:val="TextBody"/>
        <w:bidi w:val="0"/>
        <w:spacing w:before="120" w:after="283"/>
        <w:jc w:val="both"/>
        <w:rPr>
          <w:rFonts w:ascii="Arial" w:hAnsi="Arial"/>
          <w:color w:val="000000"/>
          <w:sz w:val="20"/>
        </w:rPr>
      </w:pPr>
      <w:r>
        <w:rPr>
          <w:rFonts w:ascii="Arial" w:hAnsi="Arial"/>
          <w:color w:val="000000"/>
          <w:sz w:val="20"/>
        </w:rPr>
        <w:t>In May 2021, we entered into an offer letter with Mr. Worthington, our general counsel, chief compliance officer and corporate secretary. The offer letter has no specific term and provides that Mr. Worthington is an at-will employee. In March 2026, our compensation committee approved an increase of Mr. Worthington’s annual base salary to $475,000, effective as of January 1, 2026. Mr. Worthington’s target annual bonus amount under the Company’s bonus plan remains at 40% of his annual base salary.</w:t>
      </w:r>
    </w:p>
    <w:p>
      <w:pPr>
        <w:pStyle w:val="TextBody"/>
        <w:bidi w:val="0"/>
        <w:spacing w:before="240" w:after="283"/>
        <w:jc w:val="both"/>
        <w:rPr>
          <w:rFonts w:ascii="Arial" w:hAnsi="Arial"/>
          <w:color w:val="000000"/>
          <w:sz w:val="20"/>
        </w:rPr>
      </w:pPr>
      <w:r>
        <w:rPr>
          <w:rFonts w:ascii="Arial" w:hAnsi="Arial"/>
          <w:color w:val="000000"/>
          <w:sz w:val="20"/>
        </w:rPr>
        <w:t>Change In Control and Severance Agreements</w:t>
      </w:r>
    </w:p>
    <w:p>
      <w:pPr>
        <w:pStyle w:val="TextBody"/>
        <w:bidi w:val="0"/>
        <w:spacing w:before="240" w:after="283"/>
        <w:jc w:val="both"/>
        <w:rPr>
          <w:rFonts w:ascii="Times New Roman" w:hAnsi="Times New Roman"/>
          <w:sz w:val="20"/>
        </w:rPr>
      </w:pPr>
      <w:r>
        <w:rPr>
          <w:rFonts w:ascii="Arial" w:hAnsi="Arial"/>
          <w:color w:val="000000"/>
          <w:sz w:val="20"/>
        </w:rPr>
        <w:t>In June 2021 we entered into a change in control and severance agreement with Mr. Worthington, in January 2022 we entered into an amended change in control and severance agreement with Dr. Litton, and in April 2024 we entered into a change in control and severance agreement with Dr. San Martin. These agreements provide for certain severance and change in control benefits as described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lump-sum payment equal to 9 months (or 12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payment of premiums for coverage under the Consolidated Omnibus Budget Reconciliation Act of 1985, as amended (COBRA), for the named executive officer and his eligible dependents, if any, for up to 9 months (or up to 12 months for Dr. Litton);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the case of Dr. Litton, 25% accelerated vesting and exercisability of the shares subject to the stock option award granted to Dr. Litton on August 15, 2019, that are outstanding and unvested as of the date of such termination.</w:t>
      </w:r>
    </w:p>
    <w:p>
      <w:pPr>
        <w:pStyle w:val="TextBody"/>
        <w:bidi w:val="0"/>
        <w:spacing w:before="240" w:after="283"/>
        <w:jc w:val="both"/>
        <w:rPr>
          <w:rFonts w:ascii="Times New Roman" w:hAnsi="Times New Roman"/>
          <w:sz w:val="20"/>
        </w:rPr>
      </w:pPr>
      <w:r>
        <w:rPr>
          <w:rFonts w:ascii="Arial" w:hAnsi="Arial"/>
          <w:color w:val="000000"/>
          <w:sz w:val="20"/>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release of claims in our favor:</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 lump-sum payment equal to 12 months (or 18 months in the case of Dr. Litton) of the named executive officer’s annual base salary as in effect immediately prior to such termination (or if </w:t>
      </w:r>
    </w:p>
    <w:p>
      <w:pPr>
        <w:pStyle w:val="TextBody"/>
        <w:bidi w:val="0"/>
        <w:spacing w:before="240" w:after="283"/>
        <w:jc w:val="center"/>
        <w:rPr>
          <w:rFonts w:ascii="Arial" w:hAnsi="Arial"/>
          <w:color w:val="000000"/>
          <w:sz w:val="20"/>
        </w:rPr>
      </w:pPr>
      <w:r>
        <w:rPr>
          <w:rFonts w:ascii="Arial" w:hAnsi="Arial"/>
          <w:color w:val="000000"/>
          <w:sz w:val="20"/>
        </w:rPr>
        <w:t>183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such termination is due to a resignation for good reason based on a material reduction in base salary, then as in effect immediately prior to the reduction) or if greater, at the level in effect immediately prior to the change in control;</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 lump-sum payment equal to 100% (or 150% in the case of Dr. Litton) of the named executive officer’s target annual bonus as in effect for the fiscal year in which such termination occurs or if greater, at the level in effect immediately prior to the change in control;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payment of premiums for coverage under COBRA for the named executive officer and the named executive officer’s eligible dependents, if any, for up to 12 months (or up to 18 months for Dr. Litton);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 accelerated vesting and exercisability of all Company equity awards with service-based vesting (but that are not subject to performance-based vesting) that are outstanding and unvested as of the date of the qualifying termination.</w:t>
      </w:r>
    </w:p>
    <w:p>
      <w:pPr>
        <w:pStyle w:val="TextBody"/>
        <w:bidi w:val="0"/>
        <w:spacing w:before="240" w:after="283"/>
        <w:jc w:val="both"/>
        <w:rPr>
          <w:rFonts w:ascii="Times New Roman" w:hAnsi="Times New Roman"/>
          <w:sz w:val="20"/>
        </w:rPr>
      </w:pPr>
      <w:r>
        <w:rPr>
          <w:rFonts w:ascii="Arial" w:hAnsi="Arial"/>
          <w:color w:val="000000"/>
          <w:sz w:val="20"/>
        </w:rPr>
        <w:t>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reason condition, and we must have failed to materially remedy such event within 30 days after receipt of such notice.</w:t>
      </w:r>
    </w:p>
    <w:p>
      <w:pPr>
        <w:pStyle w:val="TextBody"/>
        <w:bidi w:val="0"/>
        <w:spacing w:before="360" w:after="283"/>
        <w:jc w:val="both"/>
        <w:rPr>
          <w:rFonts w:ascii="Arial" w:hAnsi="Arial"/>
          <w:b/>
          <w:color w:val="000000"/>
          <w:sz w:val="20"/>
        </w:rPr>
      </w:pPr>
      <w:r>
        <w:rPr>
          <w:rFonts w:ascii="Arial" w:hAnsi="Arial"/>
          <w:b/>
          <w:color w:val="000000"/>
          <w:sz w:val="20"/>
        </w:rPr>
        <w:t>Equity Awards</w:t>
      </w:r>
    </w:p>
    <w:p>
      <w:pPr>
        <w:pStyle w:val="TextBody"/>
        <w:bidi w:val="0"/>
        <w:spacing w:before="120" w:after="283"/>
        <w:jc w:val="both"/>
        <w:rPr>
          <w:rFonts w:ascii="Arial" w:hAnsi="Arial"/>
          <w:i/>
          <w:color w:val="000000"/>
          <w:sz w:val="20"/>
        </w:rPr>
      </w:pPr>
      <w:r>
        <w:rPr>
          <w:rFonts w:ascii="Arial" w:hAnsi="Arial"/>
          <w:i/>
          <w:color w:val="000000"/>
          <w:sz w:val="20"/>
        </w:rPr>
        <w:t>2025 Time-Based Options and RSUs</w:t>
      </w:r>
    </w:p>
    <w:p>
      <w:pPr>
        <w:pStyle w:val="TextBody"/>
        <w:bidi w:val="0"/>
        <w:spacing w:before="120" w:after="283"/>
        <w:jc w:val="both"/>
        <w:rPr>
          <w:rFonts w:ascii="Arial" w:hAnsi="Arial"/>
          <w:color w:val="000000"/>
          <w:sz w:val="20"/>
        </w:rPr>
      </w:pPr>
      <w:r>
        <w:rPr>
          <w:rFonts w:ascii="Arial" w:hAnsi="Arial"/>
          <w:color w:val="000000"/>
          <w:sz w:val="20"/>
        </w:rPr>
        <w:t>In February 2025, our compensation committee approved, or recommended that our board of directors approve, grants of stock options under our 2020 Equity Incentive Plan to our named executive officers. Dr. San Martin and Mr. Worthington were awarded stock options equal to 11,127 and 8,589 shares, respectively, which vest monthly over four years, subject to continued service with us through the applicable vesting date. In February 2025, our compensation committee recommended, and our board of directors approved, a grant of stock options under our 2020 Equity Incentive Plan of 33,381 shares to Dr. Litton, which vest monthly over four years, subject to continued service with us through the applicable vesting date. Each of the named executive officer’s options are also subject to acceleration pursuant to the terms of his change in control and severance agreement, as described above.</w:t>
      </w:r>
    </w:p>
    <w:p>
      <w:pPr>
        <w:pStyle w:val="TextBody"/>
        <w:bidi w:val="0"/>
        <w:spacing w:before="240" w:after="283"/>
        <w:jc w:val="both"/>
        <w:rPr>
          <w:rFonts w:ascii="Arial" w:hAnsi="Arial"/>
          <w:color w:val="000000"/>
          <w:sz w:val="20"/>
        </w:rPr>
      </w:pPr>
      <w:r>
        <w:rPr>
          <w:rFonts w:ascii="Arial" w:hAnsi="Arial"/>
          <w:color w:val="000000"/>
          <w:sz w:val="20"/>
        </w:rPr>
        <w:t>In February 2025, our compensation committee approved, or recommended that our board of directors approve, grants of RSUs under our 2020 Equity Incentive Plan to our named executive officers. Dr. San Martin and Mr. Worthington were awarded 7,418 and 5,726 RSUs, respectively, which vested as to 100% on the one-year anniversary of the applicable vesting commencement date. In February 2025, our compensation committee recommended, and our board of directors approved, a grant of 22,254 RSUs under our 2020 Equity Incentive Plan to Dr. Litton, which vested as to 100% on the one-year anniversary of the applicable vesting commencement date. Each of the named executive officer’s RSU awards are also subject to acceleration pursuant to the terms of his change in control and severance agreement, as described above.</w:t>
      </w:r>
    </w:p>
    <w:p>
      <w:pPr>
        <w:pStyle w:val="TextBody"/>
        <w:bidi w:val="0"/>
        <w:spacing w:before="360" w:after="283"/>
        <w:jc w:val="both"/>
        <w:rPr>
          <w:rFonts w:ascii="Arial" w:hAnsi="Arial"/>
          <w:b/>
          <w:i/>
          <w:color w:val="000000"/>
          <w:sz w:val="20"/>
        </w:rPr>
      </w:pPr>
      <w:r>
        <w:rPr>
          <w:rFonts w:ascii="Arial" w:hAnsi="Arial"/>
          <w:b/>
          <w:i/>
          <w:color w:val="000000"/>
          <w:sz w:val="20"/>
        </w:rPr>
        <w:t>Retention Awards</w:t>
      </w:r>
    </w:p>
    <w:p>
      <w:pPr>
        <w:pStyle w:val="TextBody"/>
        <w:bidi w:val="0"/>
        <w:spacing w:before="120" w:after="283"/>
        <w:jc w:val="both"/>
        <w:rPr>
          <w:rFonts w:ascii="Arial" w:hAnsi="Arial"/>
          <w:color w:val="000000"/>
          <w:sz w:val="20"/>
        </w:rPr>
      </w:pPr>
      <w:r>
        <w:rPr>
          <w:rFonts w:ascii="Arial" w:hAnsi="Arial"/>
          <w:color w:val="000000"/>
          <w:sz w:val="20"/>
        </w:rPr>
        <w:t>In October 2024, our compensation committee approved, or recommended that our board of directors approve, the grant of retention equity awards under our 2020 Equity Incentive Plan to each of Dr. Litton, Dr. San Martin and Mr. Worthington in the form of stock options and RSUs.</w:t>
      </w:r>
    </w:p>
    <w:p>
      <w:pPr>
        <w:pStyle w:val="TextBody"/>
        <w:bidi w:val="0"/>
        <w:spacing w:before="240" w:after="283"/>
        <w:jc w:val="both"/>
        <w:rPr>
          <w:rFonts w:ascii="Arial" w:hAnsi="Arial"/>
          <w:color w:val="000000"/>
          <w:sz w:val="20"/>
        </w:rPr>
      </w:pPr>
      <w:r>
        <w:rPr>
          <w:rFonts w:ascii="Arial" w:hAnsi="Arial"/>
          <w:color w:val="000000"/>
          <w:sz w:val="20"/>
        </w:rPr>
        <w:t>Our compensation committee awarded to Dr. San Martin 14,000 stock options and 14,000 RSUs and Mr. Worthington 11,000 stock options and 11,000 RSUs, and our board of directors awarded to Dr. Litton 32,500 stock options and 32,500 RSUs, which vested in accordance with the following schedule: one-third (1/3rd) of each award vested on each of December 31, 2024, June 30, 2025 and December 31, 2025, subject to continued service with us through the applicable vesting date.</w:t>
      </w:r>
    </w:p>
    <w:p>
      <w:pPr>
        <w:pStyle w:val="TextBody"/>
        <w:bidi w:val="0"/>
        <w:spacing w:before="240" w:after="283"/>
        <w:jc w:val="both"/>
        <w:rPr>
          <w:rFonts w:ascii="Arial" w:hAnsi="Arial"/>
          <w:color w:val="000000"/>
          <w:sz w:val="20"/>
        </w:rPr>
      </w:pPr>
      <w:r>
        <w:rPr>
          <w:rFonts w:ascii="Arial" w:hAnsi="Arial"/>
          <w:color w:val="000000"/>
          <w:sz w:val="20"/>
        </w:rPr>
        <w:t>In addition to the accelerated vesting provisions of our 2020 Equity Incentive Plan described below and, once the performance milestones were met, of the applicable named executive officer’s change in control and severance agreement, as described above, upon a Qualifying Merger (as defined in the applicable award agreement and generally meaning a transaction with a privately held corporation the primary purpose of which is a go-public transaction for the private company, and where the Company or its successor is publicly traded following the transaction), each of the aforementioned retention equity awards would accelerate vesting in full, subject to the applicable named executive officer’s continued service to us through the date of such Qualifying Merger.</w:t>
      </w:r>
    </w:p>
    <w:p>
      <w:pPr>
        <w:pStyle w:val="TextBody"/>
        <w:bidi w:val="0"/>
        <w:spacing w:before="240" w:after="283"/>
        <w:jc w:val="both"/>
        <w:rPr>
          <w:rFonts w:ascii="Times New Roman" w:hAnsi="Times New Roman"/>
          <w:sz w:val="20"/>
        </w:rPr>
      </w:pPr>
      <w:r>
        <w:rPr>
          <w:rFonts w:ascii="Arial" w:hAnsi="Arial"/>
          <w:color w:val="000000"/>
          <w:sz w:val="20"/>
        </w:rPr>
        <w:t>In September 2025, the compensation committee approved, or, with respect to Dr. Litton, recommended that the board of directors approve, grants of stock options under our 2020 Equity Incentive Plan to each of Dr. Litton, Dr. San Martin and Mr. Worthington. Our compensation committee awarded to Dr. San Martin and Mr. Worthington 44,508 stock options and 34,358 stock options, respectively, and our board of directors awarded Dr. Litton 133,526 stock options. Such options were scheduled to vest only upon satisfaction of both a milestone requirement and a service-based requirement. In December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compensation committee determined that the milestone requirement was met due to the Company then having cash resources of at least $30 million available for Phase 3 clinical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service-based requirement will be satisfied as to fifty percent (50%) of the total number of shares granted under the stock options on the one-year anniversary of the compensation committee’s determination that the milestone requirement was met and as to one thirty-sixth (1/36th) of the remaining fifty percent (50%) of the total number of shares granted under the stock options each month thereafter on the same day of the month as the date of the compensation committee’s determination (and if there is no corresponding day, the last day of the month), subject to the recipient continuing to be a service provider through the applicable vesting dates.</w:t>
      </w:r>
    </w:p>
    <w:p>
      <w:pPr>
        <w:pStyle w:val="TextBody"/>
        <w:bidi w:val="0"/>
        <w:spacing w:before="240" w:after="283"/>
        <w:jc w:val="both"/>
        <w:rPr>
          <w:rFonts w:ascii="Arial" w:hAnsi="Arial"/>
          <w:color w:val="000000"/>
          <w:sz w:val="20"/>
        </w:rPr>
      </w:pPr>
      <w:r>
        <w:rPr>
          <w:rFonts w:ascii="Arial" w:hAnsi="Arial"/>
          <w:color w:val="000000"/>
          <w:sz w:val="20"/>
        </w:rPr>
        <w:t>In addition to the accelerated vesting provisions of our 2020 EIP described below and, once the performance milestones were met, of the applicable named executive officer’s change in control and severance agreement, as described above, upon a Qualifying Merger (as defined in the applicable award agreement and generally having the same meaning as described above), each of the September 2025 retention equity awards will accelerate vesting in full, subject to the applicable named executive officer’s continued service to us through the date of such Qualifying Merger. In addition, if, after the performance milestones were met, there is a sale or exclusive license or sublicense of a Company asset with respect to which all or a portion of the net proceeds are distributed to Company stockholders, the vesting of the September 2025 retention equity awards accelerate vesting in full, subject to the applicable named executive officer’s continued service to us through the date of such asset transaction.</w:t>
      </w:r>
    </w:p>
    <w:p>
      <w:pPr>
        <w:pStyle w:val="TextBody"/>
        <w:bidi w:val="0"/>
        <w:spacing w:before="360" w:after="283"/>
        <w:jc w:val="both"/>
        <w:rPr>
          <w:rFonts w:ascii="Arial" w:hAnsi="Arial"/>
          <w:b/>
          <w:i/>
          <w:color w:val="000000"/>
          <w:sz w:val="20"/>
        </w:rPr>
      </w:pPr>
      <w:r>
        <w:rPr>
          <w:rFonts w:ascii="Arial" w:hAnsi="Arial"/>
          <w:b/>
          <w:i/>
          <w:color w:val="000000"/>
          <w:sz w:val="20"/>
        </w:rPr>
        <w:t>Certain RSU Awards Granted in Prior Years</w:t>
      </w:r>
    </w:p>
    <w:p>
      <w:pPr>
        <w:pStyle w:val="TextBody"/>
        <w:bidi w:val="0"/>
        <w:spacing w:before="120" w:after="283"/>
        <w:jc w:val="both"/>
        <w:rPr>
          <w:rFonts w:ascii="Times New Roman" w:hAnsi="Times New Roman"/>
          <w:sz w:val="20"/>
        </w:rPr>
      </w:pPr>
      <w:r>
        <w:rPr>
          <w:rFonts w:ascii="Arial" w:hAnsi="Arial"/>
          <w:color w:val="000000"/>
          <w:sz w:val="20"/>
        </w:rPr>
        <w:t>Our compensation committee approved a grant of 3,000 RSUs to Mr. Worthington, and our board of directors approved a grant of 6,000 RSUs to Dr. Litton, in November 2021, under the Company’s 2020 Equity Incentive Plan to provide additional performance incentives aligned with key strategic goals.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December 2022, our compensation committee revised the vesting schedule of the RSU awards held by Mr. Worthington, and Dr. Litton due to changed circumstances relating to the performance goals under the original vesting schedule.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p>
      <w:pPr>
        <w:pStyle w:val="TextBody"/>
        <w:bidi w:val="0"/>
        <w:spacing w:before="240" w:after="283"/>
        <w:jc w:val="both"/>
        <w:rPr>
          <w:rFonts w:ascii="Times New Roman" w:hAnsi="Times New Roman"/>
          <w:sz w:val="20"/>
        </w:rPr>
      </w:pPr>
      <w:r>
        <w:rPr>
          <w:rFonts w:ascii="Arial" w:hAnsi="Arial"/>
          <w:color w:val="000000"/>
          <w:sz w:val="20"/>
        </w:rPr>
        <w:t>The RSU award agreements provided for 100% vesting acceleration in the event that, on or within 12 months following a Change in Control (within the meaning of our 2020 Equity Incentive Plan), the award recipient was terminated by the Company without “cause” (as defined in the recipient’s award agreement).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Equity Incentive Plans</w:t>
      </w:r>
    </w:p>
    <w:p>
      <w:pPr>
        <w:pStyle w:val="TextBody"/>
        <w:bidi w:val="0"/>
        <w:spacing w:before="120" w:after="283"/>
        <w:jc w:val="both"/>
        <w:rPr>
          <w:rFonts w:ascii="Arial" w:hAnsi="Arial"/>
          <w:color w:val="000000"/>
          <w:sz w:val="20"/>
        </w:rPr>
      </w:pPr>
      <w:r>
        <w:rPr>
          <w:rFonts w:ascii="Arial" w:hAnsi="Arial"/>
          <w:color w:val="000000"/>
          <w:sz w:val="20"/>
        </w:rPr>
        <w:t>Under our 2020 Equity Incentive Plan and our 2024 Inducement Equity Incentive Plan unless otherwise specified in an award agreement for a particular award, all unvested options, RSUs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pStyle w:val="TextBody"/>
        <w:bidi w:val="0"/>
        <w:spacing w:before="240" w:after="283"/>
        <w:jc w:val="both"/>
        <w:rPr>
          <w:rFonts w:ascii="Arial" w:hAnsi="Arial"/>
          <w:color w:val="000000"/>
          <w:sz w:val="20"/>
        </w:rPr>
      </w:pPr>
      <w:r>
        <w:rPr>
          <w:rFonts w:ascii="Arial" w:hAnsi="Arial"/>
          <w:color w:val="000000"/>
          <w:sz w:val="20"/>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pStyle w:val="TextBody"/>
        <w:bidi w:val="0"/>
        <w:spacing w:before="240" w:after="283"/>
        <w:jc w:val="both"/>
        <w:rPr>
          <w:rFonts w:ascii="Times New Roman" w:hAnsi="Times New Roman"/>
          <w:sz w:val="20"/>
        </w:rPr>
      </w:pPr>
      <w:r>
        <w:rPr>
          <w:rFonts w:ascii="Arial" w:hAnsi="Arial"/>
          <w:color w:val="000000"/>
          <w:sz w:val="20"/>
        </w:rPr>
        <w:t>Our board of directors or the compensation committee, as administrator of our equity incentive plans, has the authority to provide for the accelerated vesting of any or all outstanding equity awards under the plans.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Clawback Policy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February 2023, our board of directors adopted an executive compensation recovery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color w:val="000000"/>
          <w:sz w:val="20"/>
        </w:rPr>
        <w:t>Executive Incentive Compensation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Retention Bonus Program</w:t>
      </w:r>
    </w:p>
    <w:p>
      <w:pPr>
        <w:pStyle w:val="TextBody"/>
        <w:bidi w:val="0"/>
        <w:spacing w:before="120" w:after="283"/>
        <w:jc w:val="both"/>
        <w:rPr>
          <w:rFonts w:ascii="Times New Roman" w:hAnsi="Times New Roman"/>
          <w:sz w:val="20"/>
        </w:rPr>
      </w:pPr>
      <w:r>
        <w:rPr>
          <w:rFonts w:ascii="Arial" w:hAnsi="Arial"/>
          <w:color w:val="000000"/>
          <w:sz w:val="20"/>
        </w:rPr>
        <w:t>In January 2025, the compensation committee, and with respect to Dr. Litton, the board of directors, approved a cash retention program under the Company’s Executive Incentive Compensation Plan, under which covered employees are entitled to receive a cash bonus (the "Retention Bonus Program"), upon the satisfaction of retention criteria set forth in the Retention Bonus Program. In February 2025, the compensation committee approved an amendment to the Retention Bonus Program, pursuant to which each applicable employee would be entitled to receive a cash bonus equal to the greater of (i) 50% of such employee’s 2025 annual target bonus and (ii) 10% of such employee’s 2025 annual base salary, and with such bonus due to be paid, less applicable tax withholdings, on the earliest of (x) September 30, 2025, (y) the consummation of a contemplated strategic transaction and (z) the date the Company winds up its affairs, subject, in each case, to each applicable employee remaining employed through such payment date. The retention bonuses awarded to our named executive officers for 2025 are set forth in the “</w:t>
      </w:r>
      <w:r>
        <w:rPr>
          <w:rFonts w:ascii="Arial" w:hAnsi="Arial"/>
          <w:i/>
          <w:color w:val="000000"/>
          <w:sz w:val="20"/>
        </w:rPr>
        <w:t>2024-2025 Summary Compensation Table</w:t>
      </w:r>
      <w:r>
        <w:rPr>
          <w:rFonts w:ascii="Times New Roman" w:hAnsi="Times New Roman"/>
          <w:color w:val="000000"/>
          <w:sz w:val="20"/>
        </w:rPr>
        <w:t xml:space="preserve">” </w:t>
      </w:r>
      <w:r>
        <w:rPr>
          <w:rFonts w:ascii="Arial" w:hAnsi="Arial"/>
          <w:color w:val="000000"/>
          <w:sz w:val="20"/>
        </w:rPr>
        <w:t>above.</w:t>
      </w:r>
    </w:p>
    <w:p>
      <w:pPr>
        <w:pStyle w:val="TextBody"/>
        <w:bidi w:val="0"/>
        <w:spacing w:before="240" w:after="283"/>
        <w:jc w:val="both"/>
        <w:rPr>
          <w:rFonts w:ascii="Times New Roman" w:hAnsi="Times New Roman"/>
          <w:sz w:val="20"/>
        </w:rPr>
      </w:pPr>
      <w:r>
        <w:rPr>
          <w:rFonts w:ascii="Arial" w:hAnsi="Arial"/>
          <w:color w:val="000000"/>
          <w:sz w:val="20"/>
        </w:rPr>
        <w:t>In September 2025, the compensation committee, and with respect to Dr. Litton, the board of directors, amended the Retention Bonus Program to provide additional retention into 2026. The amendment provides that certain employees will be entitled to receive an additional cash bonus equal to the greater of (i) 50% of such employee’s 2025 annual target bonus and (ii) 10% of such employee’s 2025 annual base salary, and with such bonus due to be paid, less applicable tax withholdings, on the earliest of (x) January 31, 2026, and (y) the date the Company winds up its affairs, subject, in each case, to (a) each applicable employee remaining employed through such payment date and (b) by no later than December 31, 2025, the Company having cash and cash equivalents of at least $30 million available for Phase 3 clinical development of an in-licensed drug candidate, as determined by the compensation committee or the board of directors (the "Bonus Condition").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December 2025, our compensation committee determined that the Bonus Condition had been achieved.</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color w:val="000000"/>
          <w:sz w:val="20"/>
        </w:rPr>
        <w:t>Equity Granting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board of directors or compensation committee, as applicable, does not grant equity awards on a predetermined schedule. 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 outside director compensation policy.</w:t>
      </w:r>
      <w:r>
        <w:rPr>
          <w:rFonts w:ascii="Times New Roman" w:hAnsi="Times New Roman"/>
          <w:color w:val="000000"/>
          <w:sz w:val="20"/>
        </w:rPr>
        <w:t xml:space="preserve"> </w:t>
      </w:r>
      <w:r>
        <w:rPr>
          <w:rFonts w:ascii="Arial" w:hAnsi="Arial"/>
          <w:color w:val="000000"/>
          <w:sz w:val="20"/>
        </w:rPr>
        <w:t>We have not granted, nor do we intend to grant, stock options in anticipation of the release of material, nonpublic information, and we have not taken, nor do we intend to take, material nonpublic information into account when determining the terms of stock options.</w:t>
      </w:r>
      <w:r>
        <w:rPr>
          <w:rFonts w:ascii="Times New Roman" w:hAnsi="Times New Roman"/>
          <w:color w:val="000000"/>
          <w:sz w:val="20"/>
        </w:rPr>
        <w:t xml:space="preserve"> </w:t>
      </w:r>
      <w:r>
        <w:rPr>
          <w:rFonts w:ascii="Arial" w:hAnsi="Arial"/>
          <w:color w:val="000000"/>
          <w:sz w:val="20"/>
        </w:rPr>
        <w:t>Similarly, we have not timed, nor do we intend to time, the release of material, nonpublic information for the purpose of affecting the value of executive compensation or for any other purpose.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Director Compensation Table</w:t>
      </w:r>
    </w:p>
    <w:p>
      <w:pPr>
        <w:pStyle w:val="TextBody"/>
        <w:bidi w:val="0"/>
        <w:spacing w:before="120" w:after="283"/>
        <w:jc w:val="both"/>
        <w:rPr>
          <w:rFonts w:ascii="Times New Roman" w:hAnsi="Times New Roman"/>
          <w:sz w:val="20"/>
        </w:rPr>
      </w:pPr>
      <w:r>
        <w:rPr>
          <w:rFonts w:ascii="Arial" w:hAnsi="Arial"/>
          <w:color w:val="000000"/>
          <w:sz w:val="20"/>
        </w:rPr>
        <w:t>The following table provides information regarding compensation of our non-employee directors for service as directors for the year ended December 31, 2025.</w:t>
      </w:r>
      <w:r>
        <w:rPr>
          <w:rFonts w:ascii="Times New Roman" w:hAnsi="Times New Roman"/>
          <w:color w:val="000000"/>
          <w:sz w:val="20"/>
        </w:rPr>
        <w:t xml:space="preserve"> </w:t>
      </w:r>
    </w:p>
    <w:p>
      <w:pPr>
        <w:pStyle w:val="TextBody"/>
        <w:bidi w:val="0"/>
        <w:jc w:val="left"/>
        <w:rPr/>
      </w:pPr>
      <w:r>
        <w:rPr/>
        <w:t> </w:t>
      </w:r>
    </w:p>
    <w:tbl>
      <w:tblPr>
        <w:tblW w:w="7414" w:type="dxa"/>
        <w:jc w:val="left"/>
        <w:tblInd w:w="0" w:type="dxa"/>
        <w:tblLayout w:type="fixed"/>
        <w:tblCellMar>
          <w:top w:w="28" w:type="dxa"/>
          <w:left w:w="28" w:type="dxa"/>
          <w:bottom w:w="28" w:type="dxa"/>
          <w:right w:w="28" w:type="dxa"/>
        </w:tblCellMar>
      </w:tblPr>
      <w:tblGrid>
        <w:gridCol w:w="2866"/>
        <w:gridCol w:w="146"/>
        <w:gridCol w:w="255"/>
        <w:gridCol w:w="1185"/>
        <w:gridCol w:w="146"/>
        <w:gridCol w:w="146"/>
        <w:gridCol w:w="276"/>
        <w:gridCol w:w="1089"/>
        <w:gridCol w:w="146"/>
        <w:gridCol w:w="146"/>
        <w:gridCol w:w="146"/>
        <w:gridCol w:w="676"/>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Fees Earned or</w:t>
              <w:br/>
              <w:t>Paid in Cash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 Awards</w:t>
              <w:br/>
              <w:t>($) (1)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Kelly A. Romano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Joseph Edelman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John M. Fluke, Jr.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James A. Johnson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Barbara Kosacz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Michael Panzara, M.D., M.P.H. (7)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59,157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Grant Pickering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spacing w:before="0" w:after="0"/>
        <w:jc w:val="both"/>
        <w:rPr>
          <w:rFonts w:ascii="Arial" w:hAnsi="Arial"/>
          <w:color w:val="000000"/>
          <w:sz w:val="20"/>
        </w:rPr>
      </w:pPr>
      <w:r>
        <w:rPr>
          <w:rFonts w:ascii="Arial" w:hAnsi="Arial"/>
          <w:color w:val="000000"/>
          <w:sz w:val="20"/>
        </w:rPr>
        <w:t xml:space="preserve">In accordance with Securities and Exchange Commission rules, the amount in this column reflects the aggregate grant date fair value of stock options granted during 2025 computed in accordance with Accounting Standards Codification (ASC) 718, rather than the amount paid or realized by the director. For a discussion of valuation assumptions, see Note 9 to our financial statements included in this Annual Report.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As of December 31, 2025, Ms. Romano held stock options to purchase 10,431 shares of our common stock.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 xml:space="preserve">As of December 31, 2025, Mr. Edelman held stock options to purchase 11,818 shares of our common stock. </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 xml:space="preserve">As of December 31, 2025, Mr. Fluke held stock options to purchase 11,818 shares of our common stock. </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As of December 31, 2025, Mr. Johnson held stock options to purchase 11,818 shares of our common stock.</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 xml:space="preserve">As of December 31, 2025, Ms. Kosacz held stock options to purchase 10,431 shares of our common stock. </w:t>
      </w:r>
    </w:p>
    <w:p>
      <w:pPr>
        <w:pStyle w:val="TextBody"/>
        <w:bidi w:val="0"/>
        <w:spacing w:before="120" w:after="283"/>
        <w:jc w:val="both"/>
        <w:rPr>
          <w:rFonts w:ascii="Arial" w:hAnsi="Arial"/>
          <w:color w:val="000000"/>
          <w:sz w:val="20"/>
        </w:rPr>
      </w:pPr>
      <w:r>
        <w:rPr>
          <w:rFonts w:ascii="Arial" w:hAnsi="Arial"/>
          <w:color w:val="000000"/>
          <w:sz w:val="20"/>
        </w:rPr>
        <w:t>(7)</w:t>
      </w:r>
    </w:p>
    <w:p>
      <w:pPr>
        <w:pStyle w:val="TextBody"/>
        <w:bidi w:val="0"/>
        <w:spacing w:before="120" w:after="283"/>
        <w:jc w:val="both"/>
        <w:rPr>
          <w:rFonts w:ascii="Arial" w:hAnsi="Arial"/>
          <w:color w:val="000000"/>
          <w:sz w:val="20"/>
        </w:rPr>
      </w:pPr>
      <w:r>
        <w:rPr>
          <w:rFonts w:ascii="Arial" w:hAnsi="Arial"/>
          <w:color w:val="000000"/>
          <w:sz w:val="20"/>
        </w:rPr>
        <w:t xml:space="preserve">As of December 31, 2025, Dr. Panzara held stock options to purchase 9,275 shares of our common stock. </w:t>
      </w:r>
    </w:p>
    <w:p>
      <w:pPr>
        <w:pStyle w:val="TextBody"/>
        <w:bidi w:val="0"/>
        <w:spacing w:before="120" w:after="283"/>
        <w:jc w:val="both"/>
        <w:rPr>
          <w:rFonts w:ascii="Arial" w:hAnsi="Arial"/>
          <w:color w:val="000000"/>
          <w:sz w:val="20"/>
        </w:rPr>
      </w:pPr>
      <w:r>
        <w:rPr>
          <w:rFonts w:ascii="Arial" w:hAnsi="Arial"/>
          <w:color w:val="000000"/>
          <w:sz w:val="20"/>
        </w:rPr>
        <w:t>(8)</w:t>
      </w:r>
    </w:p>
    <w:p>
      <w:pPr>
        <w:pStyle w:val="TextBody"/>
        <w:bidi w:val="0"/>
        <w:spacing w:before="120" w:after="283"/>
        <w:jc w:val="both"/>
        <w:rPr>
          <w:rFonts w:ascii="Arial" w:hAnsi="Arial"/>
          <w:color w:val="000000"/>
          <w:sz w:val="20"/>
        </w:rPr>
      </w:pPr>
      <w:r>
        <w:rPr>
          <w:rFonts w:ascii="Arial" w:hAnsi="Arial"/>
          <w:color w:val="000000"/>
          <w:sz w:val="20"/>
        </w:rPr>
        <w:t>As of December 31, 2025, Mr. Pickering held stock options to purchase 9,390 shares of our common stock.</w:t>
      </w:r>
    </w:p>
    <w:p>
      <w:pPr>
        <w:pStyle w:val="TextBody"/>
        <w:bidi w:val="0"/>
        <w:spacing w:before="240" w:after="283"/>
        <w:jc w:val="both"/>
        <w:rPr>
          <w:rFonts w:ascii="Times New Roman" w:hAnsi="Times New Roman"/>
          <w:sz w:val="20"/>
        </w:rPr>
      </w:pPr>
      <w:r>
        <w:rPr>
          <w:rFonts w:ascii="Arial" w:hAnsi="Arial"/>
          <w:color w:val="000000"/>
          <w:sz w:val="20"/>
        </w:rPr>
        <w:t>In September 2020, based on discussions with and assistance from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September 2024, September 2025 and March 2026 in consultation with Pearl Meyer &amp; Partners, LLC, a third-party compensation consultant retained by our compensation committee beginning in October 2021 to provide our board of directors and our compensation committee with an analysis of publicly available market data and assistance in determining any proposed changes in non-employee director compensation.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color w:val="000000"/>
          <w:sz w:val="20"/>
        </w:rPr>
        <w:t>Cash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amended and restated outside director compensation policy provides for the following cash compensation program for our non-employee directors: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$40,000 per year for service as a non-employee director;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$30,000 per year for service as chairperson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$15,000 per year for service as chairperson of our audit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$7,500 per year for service as a member of our audit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$10,000 per year for service as chairperson of our compensation committee (increased to $12,000 per year effective as of January 1, 2026);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$5,000 per year for service as a member of our compensation committee (increased to $6,000 per year effective as of January 1, 2026);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$8,000 per year for service as chairperson of our nominating and corporate governance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$4,000 per year for service as a member of our nominating and corporate governance committee;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$10,000 per year for service as chairperson of our compliance committee;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$5,000 per year for service as a member of our compliance committee.</w:t>
      </w:r>
    </w:p>
    <w:p>
      <w:pPr>
        <w:pStyle w:val="TextBody"/>
        <w:bidi w:val="0"/>
        <w:spacing w:before="240" w:after="283"/>
        <w:jc w:val="both"/>
        <w:rPr>
          <w:rFonts w:ascii="Times New Roman" w:hAnsi="Times New Roman"/>
          <w:sz w:val="20"/>
        </w:rPr>
      </w:pPr>
      <w:r>
        <w:rPr>
          <w:rFonts w:ascii="Arial" w:hAnsi="Arial"/>
          <w:color w:val="000000"/>
          <w:sz w:val="20"/>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Strategic Transactions Committee was formed in September 2024 and met 50 times through the entry into the Sermonix License and completion of the PIPE Financing. In recognition of their efforts and time, in January 2026, our board of directors approved payments to each of Kelly Romano, James Johnson, Barbara Kosacz and Michael Panzara of $1,000 per meeting attended by each committee member.</w:t>
      </w:r>
    </w:p>
    <w:p>
      <w:pPr>
        <w:pStyle w:val="TextBody"/>
        <w:bidi w:val="0"/>
        <w:spacing w:before="360" w:after="283"/>
        <w:jc w:val="both"/>
        <w:rPr>
          <w:rFonts w:ascii="Times New Roman" w:hAnsi="Times New Roman"/>
          <w:sz w:val="20"/>
        </w:rPr>
      </w:pPr>
      <w:r>
        <w:rPr>
          <w:rFonts w:ascii="Arial" w:hAnsi="Arial"/>
          <w:b/>
          <w:color w:val="000000"/>
          <w:sz w:val="20"/>
        </w:rPr>
        <w:t>Equity Compensation</w:t>
      </w:r>
      <w:r>
        <w:rPr>
          <w:rFonts w:ascii="Times New Roman" w:hAnsi="Times New Roman"/>
          <w:color w:val="000000"/>
          <w:sz w:val="20"/>
        </w:rPr>
        <w:t xml:space="preserve"> </w:t>
      </w:r>
    </w:p>
    <w:p>
      <w:pPr>
        <w:pStyle w:val="TextBody"/>
        <w:bidi w:val="0"/>
        <w:spacing w:before="120" w:after="283"/>
        <w:jc w:val="both"/>
        <w:rPr>
          <w:rFonts w:ascii="Arial" w:hAnsi="Arial"/>
          <w:b/>
          <w:i/>
          <w:color w:val="000000"/>
          <w:sz w:val="20"/>
        </w:rPr>
      </w:pPr>
      <w:r>
        <w:rPr>
          <w:rFonts w:ascii="Arial" w:hAnsi="Arial"/>
          <w:b/>
          <w:i/>
          <w:color w:val="000000"/>
          <w:sz w:val="20"/>
        </w:rPr>
        <w:t>Initial Award</w:t>
      </w:r>
    </w:p>
    <w:p>
      <w:pPr>
        <w:pStyle w:val="TextBody"/>
        <w:bidi w:val="0"/>
        <w:spacing w:before="120" w:after="283"/>
        <w:jc w:val="both"/>
        <w:rPr>
          <w:rFonts w:ascii="Times New Roman" w:hAnsi="Times New Roman"/>
          <w:sz w:val="20"/>
        </w:rPr>
      </w:pPr>
      <w:r>
        <w:rPr>
          <w:rFonts w:ascii="Arial" w:hAnsi="Arial"/>
          <w:color w:val="000000"/>
          <w:sz w:val="20"/>
        </w:rPr>
        <w:t>Pursuant to our amended and restated outside director compensation policy, each person who becomes a non-employee director will receive, on the first trading day on or after the date that the person first becomes a non-employee director, an initial award (the "Initial Award"), of stock options to purchase 4,180 (increased to 56,000 shares of our common stock for non-employee directors joining after the March 2026 amendment and restatement of the outside director compensation policy) shares of our common stock. The Initial Award vests in equal installments as to 1/36</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pStyle w:val="TextBody"/>
        <w:bidi w:val="0"/>
        <w:spacing w:before="360" w:after="283"/>
        <w:jc w:val="both"/>
        <w:rPr/>
      </w:pPr>
      <w:r>
        <w:rPr/>
        <w:t> </w:t>
      </w:r>
    </w:p>
    <w:p>
      <w:pPr>
        <w:pStyle w:val="TextBody"/>
        <w:bidi w:val="0"/>
        <w:spacing w:before="360" w:after="283"/>
        <w:jc w:val="both"/>
        <w:rPr>
          <w:rFonts w:ascii="Arial" w:hAnsi="Arial"/>
          <w:b/>
          <w:i/>
          <w:color w:val="000000"/>
          <w:sz w:val="20"/>
        </w:rPr>
      </w:pPr>
      <w:r>
        <w:rPr>
          <w:rFonts w:ascii="Arial" w:hAnsi="Arial"/>
          <w:b/>
          <w:i/>
          <w:color w:val="000000"/>
          <w:sz w:val="20"/>
        </w:rPr>
        <w:t>Annual Award</w:t>
      </w:r>
    </w:p>
    <w:p>
      <w:pPr>
        <w:pStyle w:val="TextBody"/>
        <w:bidi w:val="0"/>
        <w:spacing w:before="240" w:after="283"/>
        <w:jc w:val="center"/>
        <w:rPr>
          <w:rFonts w:ascii="Arial" w:hAnsi="Arial"/>
          <w:color w:val="000000"/>
          <w:sz w:val="20"/>
        </w:rPr>
      </w:pPr>
      <w:r>
        <w:rPr>
          <w:rFonts w:ascii="Arial" w:hAnsi="Arial"/>
          <w:color w:val="000000"/>
          <w:sz w:val="20"/>
        </w:rPr>
        <w:t>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Pursuant to our amended and restated outside director compensation policy, each non-employee director automatically receives, on the first trading day immediately after the date of each annual meeting of our stockholders, an annual award, (the "Annual Award") of stock options to purchase 2,090 shares of our common stock (increased to 28,000 shares of our common stock for annual meetings of our stockholders held in 2026 or later) (such shares, the "Annual Award Shares"). If, as of the date of the applicable annual meeting, such director has not been in continuous service as a non-employee director since the date of the most recently preceding annual meeting, their first annual award will be prorated and equal to the product of the Annual Award Shares multiplied by the quotient of (1) the number of whole months of continuous service as a non-employee director completed as of the date of such annual meeting divided by (2) 12, rounded down to the nearest whole share (up to a maximum of 2,090 or 28,000 shares, as applicable).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2026 Award</w:t>
      </w:r>
    </w:p>
    <w:p>
      <w:pPr>
        <w:pStyle w:val="TextBody"/>
        <w:bidi w:val="0"/>
        <w:spacing w:before="120" w:after="283"/>
        <w:jc w:val="both"/>
        <w:rPr>
          <w:rFonts w:ascii="Arial" w:hAnsi="Arial"/>
          <w:color w:val="000000"/>
          <w:sz w:val="20"/>
        </w:rPr>
      </w:pPr>
      <w:r>
        <w:rPr>
          <w:rFonts w:ascii="Arial" w:hAnsi="Arial"/>
          <w:color w:val="000000"/>
          <w:sz w:val="20"/>
        </w:rPr>
        <w:t>Pursuant to the amended and restated outside director compensation policy approved in March 2026, in addition to the Annual Award described above, each non-employee director then-serving shall receive an award of stock options to purchase 28,000 shares of our common stock (the “2026 Award”). The 2026 Award will vest in equal installments as to 1/24th of the shares of our common stock subject to the 2026 Award on a monthly basis following the 2026 Award’s grant date, on the same day of the month as the grant date, subject to continued services to us through the applicable vesting dates.</w:t>
      </w:r>
    </w:p>
    <w:p>
      <w:pPr>
        <w:pStyle w:val="TextBody"/>
        <w:bidi w:val="0"/>
        <w:spacing w:before="360" w:after="283"/>
        <w:jc w:val="both"/>
        <w:rPr>
          <w:rFonts w:ascii="Arial" w:hAnsi="Arial"/>
          <w:b/>
          <w:i/>
          <w:color w:val="000000"/>
          <w:sz w:val="20"/>
        </w:rPr>
      </w:pPr>
      <w:r>
        <w:rPr>
          <w:rFonts w:ascii="Arial" w:hAnsi="Arial"/>
          <w:b/>
          <w:i/>
          <w:color w:val="000000"/>
          <w:sz w:val="20"/>
        </w:rPr>
        <w:t>Change in Control</w:t>
      </w:r>
    </w:p>
    <w:p>
      <w:pPr>
        <w:pStyle w:val="TextBody"/>
        <w:bidi w:val="0"/>
        <w:spacing w:before="120" w:after="283"/>
        <w:jc w:val="both"/>
        <w:rPr>
          <w:rFonts w:ascii="Times New Roman" w:hAnsi="Times New Roman"/>
          <w:sz w:val="20"/>
        </w:rPr>
      </w:pPr>
      <w:r>
        <w:rPr>
          <w:rFonts w:ascii="Arial" w:hAnsi="Arial"/>
          <w:color w:val="000000"/>
          <w:sz w:val="20"/>
        </w:rPr>
        <w:t>In the event of a “Change in Control” (as defined in our 2026 Equity Incentive Plan), each non-employee director’s then outstanding equity awards covering shares of our common stock will accelerate vesting in full, provided that he or she remains a non-employee director through the date of the Change in Control.</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Other Award Terms</w:t>
      </w:r>
    </w:p>
    <w:p>
      <w:pPr>
        <w:pStyle w:val="TextBody"/>
        <w:bidi w:val="0"/>
        <w:spacing w:before="120" w:after="283"/>
        <w:jc w:val="both"/>
        <w:rPr>
          <w:rFonts w:ascii="Times New Roman" w:hAnsi="Times New Roman"/>
          <w:sz w:val="20"/>
        </w:rPr>
      </w:pPr>
      <w:r>
        <w:rPr>
          <w:rFonts w:ascii="Arial" w:hAnsi="Arial"/>
          <w:color w:val="000000"/>
          <w:sz w:val="20"/>
        </w:rPr>
        <w:t>Each Initial Award, Annual Award and 2026 Award will be granted under our 2026 Equity Incentive Plan (or its 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Director Compensation Limits</w:t>
      </w:r>
    </w:p>
    <w:p>
      <w:pPr>
        <w:pStyle w:val="TextBody"/>
        <w:bidi w:val="0"/>
        <w:spacing w:before="120" w:after="283"/>
        <w:jc w:val="both"/>
        <w:rPr>
          <w:rFonts w:ascii="Times New Roman" w:hAnsi="Times New Roman"/>
          <w:sz w:val="20"/>
        </w:rPr>
      </w:pPr>
      <w:r>
        <w:rPr>
          <w:rFonts w:ascii="Arial" w:hAnsi="Arial"/>
          <w:color w:val="000000"/>
          <w:sz w:val="20"/>
        </w:rPr>
        <w:t>Our amended and restated outside director compensation policy provides that in any fiscal year, 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Role Of Board in Risk Oversight Process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responsible for general oversight of risks and regular review of information regarding our risks, including credit risks, liquidity risks, environmental, social and governance related risks, cybersecurity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Our compliance committee is responsible for assisting our board of directors in the oversight of our healthcare legal and regulatory compliance and scientific research integrity.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30" w:name="item_12_security_ownership_of_certain"/>
      <w:bookmarkEnd w:id="30"/>
      <w:r>
        <w:rPr>
          <w:rFonts w:ascii="Arial" w:hAnsi="Arial"/>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following table sets forth the beneficial ownership of our common stock as of March 16, 2026 by: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each person, or group of affiliated persons, who is known by us to beneficially own more than 5%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each of our named executive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each of our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all of our executive officers and directors as a group.</w:t>
      </w:r>
    </w:p>
    <w:p>
      <w:pPr>
        <w:pStyle w:val="TextBody"/>
        <w:bidi w:val="0"/>
        <w:spacing w:before="240" w:after="283"/>
        <w:jc w:val="both"/>
        <w:rPr>
          <w:rFonts w:ascii="Times New Roman" w:hAnsi="Times New Roman"/>
          <w:sz w:val="20"/>
        </w:rPr>
      </w:pPr>
      <w:r>
        <w:rPr>
          <w:rFonts w:ascii="Arial" w:hAnsi="Arial"/>
          <w:color w:val="000000"/>
          <w:sz w:val="20"/>
        </w:rPr>
        <w:t>The percentage of beneficial ownership shown in the table is based upon 9,393,514 shares of common stock outstanding as of the March 16,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Information with respect to beneficial ownership has been furnished by each director, officer or beneficial owner of more than 5% of our common stock. We have determined beneficial ownership in accordance with the rules of the Securities and Exchange Commission.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day after March 16, 2026.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Except as otherwise noted below, the address for each person or entity listed in the table is c/o LeonaBio, Inc., 18706 North Creek Parkway, Suite 104, Bothell, Washington 98011.</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41" w:type="dxa"/>
        <w:jc w:val="left"/>
        <w:tblInd w:w="0" w:type="dxa"/>
        <w:tblLayout w:type="fixed"/>
        <w:tblCellMar>
          <w:top w:w="28" w:type="dxa"/>
          <w:left w:w="28" w:type="dxa"/>
          <w:bottom w:w="28" w:type="dxa"/>
          <w:right w:w="28" w:type="dxa"/>
        </w:tblCellMar>
      </w:tblPr>
      <w:tblGrid>
        <w:gridCol w:w="5956"/>
        <w:gridCol w:w="146"/>
        <w:gridCol w:w="1209"/>
        <w:gridCol w:w="156"/>
        <w:gridCol w:w="1274"/>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39"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 Beneficially Owned</w:t>
            </w:r>
          </w:p>
        </w:tc>
      </w:tr>
      <w:tr>
        <w:trPr/>
        <w:tc>
          <w:tcPr>
            <w:tcW w:w="5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br/>
              <w:t>Shares (#)</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Percentage</w:t>
              <w:b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 and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Anders Hove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596,068</w:t>
            </w:r>
            <w:r>
              <w:rPr>
                <w:rFonts w:ascii="Times New Roman" w:hAnsi="Times New Roman"/>
                <w:color w:val="000000"/>
                <w:sz w:val="20"/>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6.35%</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Perceptive Entities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1,882,370</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19.99%</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Named executive officers and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 Litton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244,445</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2.55%</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 Worthington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89,259</w:t>
            </w:r>
            <w:r>
              <w:rPr>
                <w:rFonts w:ascii="Times New Roman" w:hAnsi="Times New Roman"/>
                <w:color w:val="000000"/>
                <w:sz w:val="20"/>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Javier San Martin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53,976</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Joseph Edelman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1,882,370</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19.99%</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John M. Fluke, Jr.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24,589</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James A. Johnson (8)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10,228</w:t>
            </w:r>
            <w:r>
              <w:rPr>
                <w:rFonts w:ascii="Times New Roman" w:hAnsi="Times New Roman"/>
                <w:color w:val="000000"/>
                <w:sz w:val="20"/>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Barbara Kosacz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8,341</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Kelly A. Romano (10)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16,412</w:t>
            </w:r>
            <w:r>
              <w:rPr>
                <w:rFonts w:ascii="Times New Roman" w:hAnsi="Times New Roman"/>
                <w:color w:val="000000"/>
                <w:sz w:val="20"/>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 Pickering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9,878</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Michael Panzara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7,185</w:t>
            </w:r>
            <w:r>
              <w:rPr>
                <w:rFonts w:ascii="Times New Roman" w:hAnsi="Times New Roman"/>
                <w:color w:val="000000"/>
                <w:sz w:val="20"/>
              </w:rPr>
              <w:t xml:space="preserve">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All current directors and executive officers as a group (12 persons)</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20"/>
              </w:rPr>
              <w:t>2,473,404</w:t>
            </w:r>
            <w:r>
              <w:rPr>
                <w:rFonts w:ascii="Times New Roman" w:hAnsi="Times New Roman"/>
                <w:color w:val="000000"/>
                <w:sz w:val="20"/>
              </w:rPr>
              <w:t xml:space="preserve">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25.12</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Represents beneficial ownership of less than 1% of our outstanding common stock.</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Based on the Schedule 13G/A filed with the Securities and Exchange Commission on January 8, 2026. Consists of (i) 250,348 shares of common stock which Acorn Bioventures, L.P. and Acorn Capital Advisors GP, LLC may be deemed to beneficially own and (ii) 345,720 shares of common stock which Acorn Bioventures 2, L.P. and Acorn Capital Advisors GP 2, LLC may be deemed to beneficially own. Acorn Capital Advisors GP, LLC is the General Partner of Acorn Bioventures, L.P. and may be deemed to beneficially own the shares of common stock beneficially owned by Acorn Bioventures, L.P. Acorn Capital Advisors GP 2, LLC is the General Partner of Acorn Bioventures 2, L.P. and may be deemed to beneficially own the shares of common stock beneficially owned by Acorn Bioventures 2, L.P. Mr. Hove, in his capacity as Manager of each of Acorn Capital Advisors GP, LLC and Acorn Capital Advisors GP 2, LLC, may be deemed to beneficially own the shares beneficially owned by each of Acorn Capital Advisors GP, LLC and Acorn Capital Advisors GP 2, LLC. The business address of Acorn Bioventures, L.P. and Acorn Bioventures 2, L.P. is 420 Lexington Avenue, Suite 2626, New York, New York 10170.</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the Schedule 13D/A filed with the Securities and Exchange Commission on January 16, 2026. Consists of (i) 1,529,566 shares of common stock and 18,960 shares of common stock issuable upon the partial exercise of a pre-funded warrant that is exercisable within 60 days of March 16, 2026 held directly by Perceptive Life Sciences Master Fund, Ltd. (“Master Fund”), and (ii) 329,756 shares of common stock and 4,088 shares of common stock issuable upon the partial exercise of a pre-funded warrant that is exercisable within 60 days of March 16, 2026 held directly by Perceptive Xontogeny Venture Fund II, LP (“PXV II” and, together with Master Fund, “Perceptive Entities”). Perceptive Advisors LLC (“Perceptive Advisors”) is the investment advisor of Perceptive Life Sciences Master Fund Ltd (“Perceptive Master Fund”) and may be deemed to have beneficial ownership of the shares beneficially owned thereby. Perceptive Venture Advisors, LP (“Perceptive Venture”) is the investment manager to Perceptive Xontogeny Venture Fund II, LP (“PXV II”), and accordingly, may be deemed to beneficially own the securities directly held by PXV II. Joseph Edelman is the controlling person of Perceptive Advisors and Perceptive Venture and accordingly, may be deemed to have beneficial ownership of the shares beneficially owned by the Perceptive Master Fund, PXV II, Perceptive Advisors and Perceptive Venture. Perceptive Advisors, Perceptive Venture, the Perceptive Master Fund, PXV II and Mr. Edelman disclaim beneficial ownership of all such securities except to the extent of its or his pecuniary interest therein. The business address for each of Perceptive Advisors, Perceptive Venture, the Perceptive Master Fund, PXV II and Mr. Edelman is 51 Astor Place, 10th Floor, New York, NY 10003.</w:t>
      </w:r>
    </w:p>
    <w:p>
      <w:pPr>
        <w:pStyle w:val="TextBody"/>
        <w:bidi w:val="0"/>
        <w:spacing w:before="240" w:after="283"/>
        <w:jc w:val="center"/>
        <w:rPr>
          <w:rFonts w:ascii="Arial" w:hAnsi="Arial"/>
          <w:color w:val="000000"/>
          <w:sz w:val="20"/>
        </w:rPr>
      </w:pPr>
      <w:r>
        <w:rPr>
          <w:rFonts w:ascii="Arial" w:hAnsi="Arial"/>
          <w:color w:val="000000"/>
          <w:sz w:val="20"/>
        </w:rPr>
        <w:t>194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Consists of 57,926 shares held of record by Dr. Litton, 656 shares held by Irrevocable Trust of OSL, 656 shares held by Irrevocable Trust of SWL, and 656 shares held by Irrevocable Trust of WGL, each irrevocable trust is for the benefit of Dr. Litton’s children, and options to purchase 184,551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Consists of 18,376 shares held by Mr. Worthington and options to purchase 70,883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Consists of 15,887 shares held by Dr. San Martin and options to purchase 38,089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Consists of the shares referenced in footnote (2) above and excludes 9,728 shares issuable upon the exercise of options held by Mr. Edelman, which are not exercisable within 60 days of March 16, 2026. Joseph Edelman is the managing member of Perceptive Advisors LLC and he may be deemed to beneficially own the shares held by Perceptive. Mr. Edelman disclaims beneficial ownership of all such securities except to the extent of its or his pecuniary interest therein.</w:t>
      </w:r>
    </w:p>
    <w:p>
      <w:pPr>
        <w:pStyle w:val="TextBody"/>
        <w:bidi w:val="0"/>
        <w:spacing w:before="120" w:after="283"/>
        <w:jc w:val="both"/>
        <w:rPr>
          <w:rFonts w:ascii="Arial" w:hAnsi="Arial"/>
          <w:color w:val="000000"/>
          <w:sz w:val="20"/>
        </w:rPr>
      </w:pPr>
      <w:r>
        <w:rPr>
          <w:rFonts w:ascii="Arial" w:hAnsi="Arial"/>
          <w:color w:val="000000"/>
          <w:sz w:val="20"/>
        </w:rPr>
        <w:t>(7)</w:t>
      </w:r>
    </w:p>
    <w:p>
      <w:pPr>
        <w:pStyle w:val="TextBody"/>
        <w:bidi w:val="0"/>
        <w:spacing w:before="120" w:after="283"/>
        <w:jc w:val="both"/>
        <w:rPr>
          <w:rFonts w:ascii="Arial" w:hAnsi="Arial"/>
          <w:color w:val="000000"/>
          <w:sz w:val="20"/>
        </w:rPr>
      </w:pPr>
      <w:r>
        <w:rPr>
          <w:rFonts w:ascii="Arial" w:hAnsi="Arial"/>
          <w:color w:val="000000"/>
          <w:sz w:val="20"/>
        </w:rPr>
        <w:t>Consists of 373 shares held of record by Fluke Capital Management, L.P., 14,488 shares held by Mr. Fluke, and options to purchase 9,728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(8)</w:t>
      </w:r>
    </w:p>
    <w:p>
      <w:pPr>
        <w:pStyle w:val="TextBody"/>
        <w:bidi w:val="0"/>
        <w:spacing w:before="120" w:after="283"/>
        <w:jc w:val="both"/>
        <w:rPr>
          <w:rFonts w:ascii="Arial" w:hAnsi="Arial"/>
          <w:color w:val="000000"/>
          <w:sz w:val="20"/>
        </w:rPr>
      </w:pPr>
      <w:r>
        <w:rPr>
          <w:rFonts w:ascii="Arial" w:hAnsi="Arial"/>
          <w:color w:val="000000"/>
          <w:sz w:val="20"/>
        </w:rPr>
        <w:t>Consists of 500 shares held by Mr. Johnson and options to purchase 9,728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(9)</w:t>
      </w:r>
    </w:p>
    <w:p>
      <w:pPr>
        <w:pStyle w:val="TextBody"/>
        <w:bidi w:val="0"/>
        <w:spacing w:before="120" w:after="283"/>
        <w:jc w:val="both"/>
        <w:rPr>
          <w:rFonts w:ascii="Arial" w:hAnsi="Arial"/>
          <w:color w:val="000000"/>
          <w:sz w:val="20"/>
        </w:rPr>
      </w:pPr>
      <w:r>
        <w:rPr>
          <w:rFonts w:ascii="Arial" w:hAnsi="Arial"/>
          <w:color w:val="000000"/>
          <w:sz w:val="20"/>
        </w:rPr>
        <w:t>Consists of options held by Ms. Kosacz to purchase 8,341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(10)</w:t>
      </w:r>
    </w:p>
    <w:p>
      <w:pPr>
        <w:pStyle w:val="TextBody"/>
        <w:bidi w:val="0"/>
        <w:spacing w:before="120" w:after="283"/>
        <w:jc w:val="both"/>
        <w:rPr>
          <w:rFonts w:ascii="Arial" w:hAnsi="Arial"/>
          <w:color w:val="000000"/>
          <w:sz w:val="20"/>
        </w:rPr>
      </w:pPr>
      <w:r>
        <w:rPr>
          <w:rFonts w:ascii="Arial" w:hAnsi="Arial"/>
          <w:color w:val="000000"/>
          <w:sz w:val="20"/>
        </w:rPr>
        <w:t>Consists of 8,071 shares held by Ms. Romano and options to purchase 8,341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(11)</w:t>
      </w:r>
    </w:p>
    <w:p>
      <w:pPr>
        <w:pStyle w:val="TextBody"/>
        <w:bidi w:val="0"/>
        <w:spacing w:before="120" w:after="283"/>
        <w:jc w:val="both"/>
        <w:rPr>
          <w:rFonts w:ascii="Arial" w:hAnsi="Arial"/>
          <w:color w:val="000000"/>
          <w:sz w:val="20"/>
        </w:rPr>
      </w:pPr>
      <w:r>
        <w:rPr>
          <w:rFonts w:ascii="Arial" w:hAnsi="Arial"/>
          <w:color w:val="000000"/>
          <w:sz w:val="20"/>
        </w:rPr>
        <w:t>Consists of 2,578 shares held by Mr. Pickering and options to purchase 7,300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(12)</w:t>
      </w:r>
    </w:p>
    <w:p>
      <w:pPr>
        <w:pStyle w:val="TextBody"/>
        <w:bidi w:val="0"/>
        <w:spacing w:before="120" w:after="283"/>
        <w:jc w:val="both"/>
        <w:rPr>
          <w:rFonts w:ascii="Arial" w:hAnsi="Arial"/>
          <w:color w:val="000000"/>
          <w:sz w:val="20"/>
        </w:rPr>
      </w:pPr>
      <w:r>
        <w:rPr>
          <w:rFonts w:ascii="Arial" w:hAnsi="Arial"/>
          <w:color w:val="000000"/>
          <w:sz w:val="20"/>
        </w:rPr>
        <w:t>Consists of options held by Dr. Panzara to purchase 7,185 shares that are exercisable within 60 days of March 16, 2026.</w:t>
      </w:r>
    </w:p>
    <w:p>
      <w:pPr>
        <w:pStyle w:val="TextBody"/>
        <w:bidi w:val="0"/>
        <w:spacing w:before="120" w:after="283"/>
        <w:jc w:val="both"/>
        <w:rPr>
          <w:rFonts w:ascii="Arial" w:hAnsi="Arial"/>
          <w:color w:val="000000"/>
          <w:sz w:val="20"/>
        </w:rPr>
      </w:pPr>
      <w:r>
        <w:rPr>
          <w:rFonts w:ascii="Arial" w:hAnsi="Arial"/>
          <w:color w:val="000000"/>
          <w:sz w:val="20"/>
        </w:rPr>
        <w:t>(13)</w:t>
      </w:r>
    </w:p>
    <w:p>
      <w:pPr>
        <w:pStyle w:val="TextBody"/>
        <w:bidi w:val="0"/>
        <w:spacing w:before="120" w:after="283"/>
        <w:jc w:val="both"/>
        <w:rPr>
          <w:rFonts w:ascii="Arial" w:hAnsi="Arial"/>
          <w:color w:val="000000"/>
          <w:sz w:val="20"/>
        </w:rPr>
      </w:pPr>
      <w:r>
        <w:rPr>
          <w:rFonts w:ascii="Arial" w:hAnsi="Arial"/>
          <w:color w:val="000000"/>
          <w:sz w:val="20"/>
        </w:rPr>
        <w:t>Consists of 2,020,518 shares held by our current directors and executive officers as a group, pre-funded warrants to purchase 23,048 shares that are exercisable within 60 days of March 16, 2026, and options to purchase 429,838 shares that are exercisable within 60 days of March 16, 2026.</w:t>
      </w:r>
    </w:p>
    <w:p>
      <w:pPr>
        <w:pStyle w:val="TextBody"/>
        <w:bidi w:val="0"/>
        <w:spacing w:before="360" w:after="283"/>
        <w:jc w:val="both"/>
        <w:rPr>
          <w:rFonts w:ascii="Times New Roman" w:hAnsi="Times New Roman"/>
          <w:sz w:val="20"/>
        </w:rPr>
      </w:pPr>
      <w:r>
        <w:rPr>
          <w:rFonts w:ascii="Arial" w:hAnsi="Arial"/>
          <w:b/>
          <w:color w:val="000000"/>
          <w:sz w:val="20"/>
        </w:rPr>
        <w:t>Securities Authorized for Issuance Under Equity Compensation Plans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following table summarizes information about our equity compensation plans as of December 31, 2025. All outstanding awards relate to our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13" w:type="dxa"/>
        <w:jc w:val="left"/>
        <w:tblInd w:w="0" w:type="dxa"/>
        <w:tblLayout w:type="fixed"/>
        <w:tblCellMar>
          <w:top w:w="28" w:type="dxa"/>
          <w:left w:w="28" w:type="dxa"/>
          <w:bottom w:w="28" w:type="dxa"/>
          <w:right w:w="28" w:type="dxa"/>
        </w:tblCellMar>
      </w:tblPr>
      <w:tblGrid>
        <w:gridCol w:w="3141"/>
        <w:gridCol w:w="146"/>
        <w:gridCol w:w="230"/>
        <w:gridCol w:w="1315"/>
        <w:gridCol w:w="146"/>
        <w:gridCol w:w="146"/>
        <w:gridCol w:w="272"/>
        <w:gridCol w:w="958"/>
        <w:gridCol w:w="146"/>
        <w:gridCol w:w="146"/>
        <w:gridCol w:w="222"/>
        <w:gridCol w:w="1054"/>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Plan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jc w:val="right"/>
              <w:rPr>
                <w:rFonts w:ascii="Arial" w:hAnsi="Arial"/>
                <w:b/>
                <w:color w:val="000000"/>
                <w:sz w:val="16"/>
              </w:rPr>
            </w:pPr>
            <w:r>
              <w:rPr>
                <w:rFonts w:ascii="Arial" w:hAnsi="Arial"/>
                <w:b/>
                <w:color w:val="000000"/>
                <w:sz w:val="16"/>
              </w:rPr>
              <w:t>(a) Number of</w:t>
              <w:br/>
              <w:t>Securities</w:t>
            </w:r>
          </w:p>
          <w:p>
            <w:pPr>
              <w:pStyle w:val="TableContents"/>
              <w:bidi w:val="0"/>
              <w:spacing w:before="0" w:after="283"/>
              <w:jc w:val="right"/>
              <w:rPr>
                <w:rFonts w:ascii="Arial" w:hAnsi="Arial"/>
                <w:b/>
                <w:color w:val="000000"/>
                <w:sz w:val="16"/>
              </w:rPr>
            </w:pPr>
            <w:r>
              <w:rPr>
                <w:rFonts w:ascii="Arial" w:hAnsi="Arial"/>
                <w:b/>
                <w:color w:val="000000"/>
                <w:sz w:val="16"/>
              </w:rPr>
              <w:t>to be</w:t>
              <w:br/>
              <w:t>Issued Upon</w:t>
              <w:br/>
              <w:t>Exercise of</w:t>
              <w:br/>
              <w:t>Outstanding</w:t>
              <w:br/>
              <w:t>Options, Warrants</w:t>
              <w:br/>
              <w:t>and Rights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(b) Weighted</w:t>
              <w:br/>
              <w:t>Average</w:t>
              <w:br/>
              <w:t>Exercise</w:t>
              <w:br/>
              <w:t>Price of</w:t>
              <w:br/>
              <w:t>Outstanding</w:t>
              <w:br/>
              <w:t>Options,</w:t>
              <w:br/>
              <w:t>Warrants</w:t>
              <w:br/>
              <w:t>and Rights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276"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(c) Number of</w:t>
              <w:br/>
              <w:t>Securities</w:t>
              <w:br/>
              <w:t xml:space="preserve">Remaining </w:t>
              <w:br/>
              <w:t>Available for</w:t>
              <w:br/>
              <w:t xml:space="preserve">Future </w:t>
              <w:br/>
              <w:t>Issuance</w:t>
              <w:br/>
              <w:t>Under Equity</w:t>
              <w:br/>
              <w:t>Compensation</w:t>
              <w:br/>
              <w:t>Plans</w:t>
              <w:br/>
              <w:t>(Excluding</w:t>
              <w:br/>
              <w:t>Securities</w:t>
              <w:br/>
              <w:t>Reflected in</w:t>
              <w:br/>
              <w:t>Column</w:t>
              <w:br/>
              <w:t>(a)) (#) (3)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92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approved by security holders: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2014 Equity Incentive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2020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1,209,190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38.31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2020 Employee Stock Purchase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156,754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2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not approved by security holders: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2024 Inducement Equity Incentive Plan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255,477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spacing w:before="0" w:after="0"/>
        <w:jc w:val="both"/>
        <w:rPr>
          <w:rFonts w:ascii="Arial" w:hAnsi="Arial"/>
          <w:color w:val="000000"/>
          <w:sz w:val="20"/>
        </w:rPr>
      </w:pPr>
      <w:r>
        <w:rPr>
          <w:rFonts w:ascii="Arial" w:hAnsi="Arial"/>
          <w:color w:val="000000"/>
          <w:sz w:val="20"/>
        </w:rPr>
        <w:t>Includes both 1,151,589 outstanding options and 57,601 outstanding, unvested time-based and performance restricted stock units.</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Represents the outstanding options’ weighted-average exercise price and does not take into account the shares issuable upon vesting of outstanding time-based and performance restricted stock units, which do not have an exercise price.</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Our 2020 Equity Incentive Plan includes provisions providing for an annual increase in the number of securities available for future issuance on the first day of each fiscal year, equal to the least of: (1) 323,000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 shares; and (3) such lesser number of shares determined by the board of directors.</w:t>
      </w:r>
    </w:p>
    <w:p>
      <w:pPr>
        <w:pStyle w:val="TextBody"/>
        <w:bidi w:val="0"/>
        <w:spacing w:before="240" w:after="283"/>
        <w:jc w:val="both"/>
        <w:rPr>
          <w:rFonts w:ascii="Times New Roman" w:hAnsi="Times New Roman"/>
          <w:sz w:val="20"/>
        </w:rPr>
      </w:pPr>
      <w:r>
        <w:rPr>
          <w:rFonts w:ascii="Arial" w:hAnsi="Arial"/>
          <w:color w:val="000000"/>
          <w:sz w:val="20"/>
        </w:rPr>
        <w:t>In February 2024, our board of directors adopted the Inducement Plan, and, subject to the adjustment provisions of the Inducement Plan, reserved 75,000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bookmarkStart w:id="31" w:name="item_13_certain_relationships_and_relate"/>
      <w:bookmarkEnd w:id="31"/>
      <w:r>
        <w:rPr>
          <w:rFonts w:ascii="Arial" w:hAnsi="Arial"/>
          <w:b/>
          <w:color w:val="000000"/>
          <w:sz w:val="20"/>
        </w:rPr>
        <w:t>Item 13.Certain Relationships and Related Transactions and Director Independence</w:t>
      </w:r>
    </w:p>
    <w:p>
      <w:pPr>
        <w:pStyle w:val="TextBody"/>
        <w:bidi w:val="0"/>
        <w:spacing w:before="120" w:after="283"/>
        <w:jc w:val="both"/>
        <w:rPr>
          <w:rFonts w:ascii="Times New Roman" w:hAnsi="Times New Roman"/>
          <w:sz w:val="20"/>
        </w:rPr>
      </w:pPr>
      <w:r>
        <w:rPr>
          <w:rFonts w:ascii="Arial" w:hAnsi="Arial"/>
          <w:color w:val="000000"/>
          <w:sz w:val="20"/>
        </w:rPr>
        <w:t>The following is a summary of transactions since January 1, 2024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Annual Report titled “Executive Compensation.”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Related-Person Transactions Policy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Certain transactions with related persons, however, are exempted from pre-approval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compensation of our executive officers and directors that is otherwise disclosed in our public filings with the SEC;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compensation, benefits and other transactions available to all of our employees generally;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transactions where a related-person’s interest derives solely from his or her service as a director of another entity that is a party to the transaction;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transactions where a related-person’s interest derives solely from his or her ownership of less than 10% of the equity interest in another entity that is a party to the transaction;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transactions where a related-person’s interest derives solely from his or her ownership of a class of our equity securities and all holders of that class received the same benefit on a pro rata basis.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No member of the audit committee may participate in any review, consideration or approval of any related-person transaction where such member or any of his or her immediate family members is the related-person. In approving or rejecting the proposed agreement or transaction, our audit committee shall consider the relevant facts and circumstances available and deemed relevant to the audit committee,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benefits and perceived benefits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materiality and character of the related-person’s direct and indirect interest;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availability of other sources for comparable products or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terms of the transaction;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terms available to unrelated third parties under the same or similar circumstances. </w:t>
      </w:r>
    </w:p>
    <w:p>
      <w:pPr>
        <w:pStyle w:val="TextBody"/>
        <w:bidi w:val="0"/>
        <w:spacing w:before="240" w:after="283"/>
        <w:jc w:val="center"/>
        <w:rPr>
          <w:rFonts w:ascii="Arial" w:hAnsi="Arial"/>
          <w:color w:val="000000"/>
          <w:sz w:val="20"/>
        </w:rPr>
      </w:pPr>
      <w:r>
        <w:rPr>
          <w:rFonts w:ascii="Arial" w:hAnsi="Arial"/>
          <w:color w:val="000000"/>
          <w:sz w:val="20"/>
        </w:rPr>
        <w:t>197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Private Placement Financing</w:t>
      </w:r>
    </w:p>
    <w:p>
      <w:pPr>
        <w:pStyle w:val="TextBody"/>
        <w:bidi w:val="0"/>
        <w:spacing w:before="120" w:after="283"/>
        <w:jc w:val="both"/>
        <w:rPr>
          <w:rFonts w:ascii="Arial" w:hAnsi="Arial"/>
          <w:color w:val="000000"/>
          <w:sz w:val="20"/>
        </w:rPr>
      </w:pPr>
      <w:r>
        <w:rPr>
          <w:rFonts w:ascii="Arial" w:hAnsi="Arial"/>
          <w:color w:val="000000"/>
          <w:sz w:val="20"/>
        </w:rPr>
        <w:t>On December 18, 2025, we completed a private placement of an aggregate of 5,356,547 shares of common stock and, in lieu of common stock, pre-funded warrants to purchase 8,816,684 shares of common stock, and accompanying Series A Warrants to purchase 23,031,494 shares of common stock and Series B warrants to purchase 21,259,842 shares of common stock with total gross proceeds of approximately $90 million (the “PIPE Transaction”). Affiliates of Perceptive Advisors LLC ("Perceptive Advisors") participated in the transaction. Perceptive Life Sciences Master Fund Ltd. purchased an aggregate of 989,270 shares of our common stock, a pre-funded warrant to purchase 1,372,935 shares of our common stock, and an accompanying Series A Common Warrant to purchase 3,838,583 shares of our common stock and an accompanying Series B Common Warrant to purchase 3,543,307 shares of our common stock. Perceptive Xontogeny Venture Fund II, LP purchased 329,756 shares of common stock, a pre-funded warrant to purchase 457,645 shares of our common stock and an accompanying Series A Common Warrant to purchase 1,279,526 shares of our common stock and an accompanying Series B Common Warrant to purchase 1,181,101 shares of our common stock. The per share purchase price was $6.35 for the common stock and accompanying Series A Common Warrants and Series B Common Warrants, $6.349 for the pre-funded warrants and accompanying Series A Common Warrants and Series B Common Warrants, for an aggregate purchase price for Perceptive of $20.0 million. In connection with the private placement, we entered into a registration rights agreement with the purchasers in the PIPE Transaction, including Perceptive, requiring us to register the resale of the shares of our common stock and shares of common issuable upon exercise of the pre-funded warrants, Series A Common Warrants and Series B Common Warrants. Joseph Edelman, a member of our board of directors, is a managing member of Perceptive Advisors, the investment manager of Perceptive. Prior to the PIPE Transaction, Perceptive Life Sciences Master Fund Ltd. was a greater than 5% holder of our common stock. Other than Perceptive, none of the investors in the PIPE Transaction were greater than 5% holders of our common stock prior to the PIPE Transaction. Certain of the investors in the PIPE Transaction may, from time to time, be holders of 5% or more of our common stock either through the exercise of warrants and pre-funded warrants issued to such investors in the PIPE Transaction or otherwise, and such investors are parties to the registration rights agreement described above.</w:t>
      </w:r>
    </w:p>
    <w:p>
      <w:pPr>
        <w:pStyle w:val="TextBody"/>
        <w:bidi w:val="0"/>
        <w:spacing w:before="240" w:after="283"/>
        <w:jc w:val="both"/>
        <w:rPr>
          <w:rFonts w:ascii="Arial" w:hAnsi="Arial"/>
          <w:color w:val="000000"/>
          <w:sz w:val="20"/>
        </w:rPr>
      </w:pPr>
      <w:r>
        <w:rPr>
          <w:rFonts w:ascii="Arial" w:hAnsi="Arial"/>
          <w:color w:val="000000"/>
          <w:sz w:val="20"/>
        </w:rPr>
        <w:t>Additionally, pursuant to the terms of the PIPE Securities Purchase Agreement, for so long as funds affiliated with each of Commodore and TCGX, respectively, beneficially own 5% or more in the aggregate of the issued and outstanding shares of our common stock (including any shares of common stock issuable upon the exercise of any outstanding PIPE Warrants whose initial exercise date has occurred), each of Commodore and TCGX will be entitled to designate one member of the board of directors, and we will take all actions reasonably necessary to have such designee promptly appointed to our board of directors, including, but not limited to, increasing the size of our board of directors to accommodate the appointment of such designee, subject to specified conditions. In addition, we have agreed to use our reasonable best efforts to cause the resignation of two (2) current members of our board of directors by the six (6) month anniversary of the PIPE Closing Date.</w:t>
      </w:r>
    </w:p>
    <w:p>
      <w:pPr>
        <w:pStyle w:val="TextBody"/>
        <w:bidi w:val="0"/>
        <w:spacing w:before="360" w:after="283"/>
        <w:jc w:val="both"/>
        <w:rPr>
          <w:rFonts w:ascii="Arial" w:hAnsi="Arial"/>
          <w:b/>
          <w:i/>
          <w:color w:val="000000"/>
          <w:sz w:val="20"/>
        </w:rPr>
      </w:pPr>
      <w:r>
        <w:rPr>
          <w:rFonts w:ascii="Arial" w:hAnsi="Arial"/>
          <w:b/>
          <w:i/>
          <w:color w:val="000000"/>
          <w:sz w:val="20"/>
        </w:rPr>
        <w:t>Sermonix Transaction</w:t>
      </w:r>
    </w:p>
    <w:p>
      <w:pPr>
        <w:pStyle w:val="TextBody"/>
        <w:bidi w:val="0"/>
        <w:spacing w:before="120" w:after="283"/>
        <w:jc w:val="both"/>
        <w:rPr>
          <w:rFonts w:ascii="Arial" w:hAnsi="Arial"/>
          <w:color w:val="000000"/>
          <w:sz w:val="20"/>
        </w:rPr>
      </w:pPr>
      <w:r>
        <w:rPr>
          <w:rFonts w:ascii="Arial" w:hAnsi="Arial"/>
          <w:color w:val="000000"/>
          <w:sz w:val="20"/>
        </w:rPr>
        <w:t>On December 18, 2025, we entered into the Sermonix License with Sermonix granting us an exclusive license and rights to develop, manufacture and commercialize oral forms of the selective estrogen-receptor modulator known as lasofoxifene in all countries and territories of the world except for Asia and certain countries in the Middle East. Under the terms of the Sermonix License, we assuming responsibility, in such countries and territories, for the ELAINE-3 trial and will coordinate with Sermonix and Henlius, Sermonix's exclusive licensee for the Retained Territory, with respect to Henlius’ conduct of the ELAINE-3 trial in the Retained Territory. As consideration for the rights granted to us under the Sermonix license, we issued to Sermonix the Sermonix Pre-Funded Warrant, agreed to make payments to certain of Sermonix’s third-party service providers that total approximately $16.8 million, and make payments to Sermonix of $75,000 per month, subject to adjustment from time to time. Sermonix is also eligible to receive certain milestone payments and royalties pursuant to the terms of the Sermonix License.</w:t>
      </w:r>
    </w:p>
    <w:p>
      <w:pPr>
        <w:pStyle w:val="TextBody"/>
        <w:bidi w:val="0"/>
        <w:spacing w:before="240" w:after="283"/>
        <w:jc w:val="center"/>
        <w:rPr>
          <w:rFonts w:ascii="Arial" w:hAnsi="Arial"/>
          <w:color w:val="000000"/>
          <w:sz w:val="20"/>
        </w:rPr>
      </w:pPr>
      <w:r>
        <w:rPr>
          <w:rFonts w:ascii="Arial" w:hAnsi="Arial"/>
          <w:color w:val="000000"/>
          <w:sz w:val="20"/>
        </w:rPr>
        <w:t>198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connection with entry into the Sermonix License, on December 18, 2025, we also entered into the Sermonix Securities Purchase Agreement, pursuant to which we issued to the Sermonix Pre-Funded Warrant. The Sermonix Pre-Funded Warrant has an exercise price of $0.001 per share, and was issued as partial consideration for Sermonix’s entry into the Sermonix License. We also entered into a registration rights agreement with Sermonix, pursuant to which we were required to file a registration statement to register the resale of shares issuable pursuant to the Sermonix Pre-Funded Warrant. In addition, we agreed to, no later than in connection with our 2026 annual meeting of stockholders (the “Annual Meeting”), provide notice of, and solicit proxies from our stockholders to obtain the Sermonix Stockholder Approval. If the Sermonix Stockholder Approval was not obtained at or before the Annual Meeting, we agreed to cause an additional meeting (special or general) of the Company’s stockholders to be held every 90 days thereafter for the purpose of obtaining the Sermonix Stockholder Approval until the Sermonix Stockholder Approval was obtained. If the Sermonix Stockholder Approval was not obtained by the first anniversary of the original issuance of the Sermonix Pre-Funded Warrant, Sermonix would have had the right (the “Sermonix Redemption Right”) at any time and from time to time prior to such time that the Sermonix Stockholder Approval is obtained thereafter, to cause the Company to pay, at the option of Sermonix, an amount up to (a) $6.35 (the “Sermonix Redemption Price”) multiplied by (b) the number of shares of common stock with respect to which Sermonix is exercising the Sermonix Redemption Right. The Sermonix Redemption Right would have terminated on the earlier of (1) such time as we have paid an aggregate of $7.5 million in aggregate Sermonix Redemption Price to Sermonix in connection with one or more exercises of the Sermonix Redemption Right; and (2) immediately upon receipt of the Sermonix Stockholder Approval. At our March 2026 special meeting of stockholders, the Sermonix Stockholder Approval was obtained and the Sermonix Redemption Right terminated.</w:t>
      </w:r>
    </w:p>
    <w:p>
      <w:pPr>
        <w:pStyle w:val="TextBody"/>
        <w:bidi w:val="0"/>
        <w:spacing w:before="240" w:after="283"/>
        <w:jc w:val="both"/>
        <w:rPr>
          <w:rFonts w:ascii="Arial" w:hAnsi="Arial"/>
          <w:color w:val="000000"/>
          <w:sz w:val="20"/>
        </w:rPr>
      </w:pPr>
      <w:r>
        <w:rPr>
          <w:rFonts w:ascii="Arial" w:hAnsi="Arial"/>
          <w:color w:val="000000"/>
          <w:sz w:val="20"/>
        </w:rPr>
        <w:t>An affiliate of Perceptive Advisors held approximately 29% of the outstanding capital stock of Sermonix (excluding securities convertible into shares of capital stock) at the time of entry into the Sermonix License and Sermonix Securities Purchase Agreement. As of the date of this Annual Report on Form 10-K, an affiliate of Perceptive Advisors holds approximately 49.8% of the outstanding capital stock of Sermonix.</w:t>
      </w:r>
    </w:p>
    <w:p>
      <w:pPr>
        <w:pStyle w:val="TextBody"/>
        <w:bidi w:val="0"/>
        <w:spacing w:before="240" w:after="283"/>
        <w:jc w:val="both"/>
        <w:rPr>
          <w:rFonts w:ascii="Times New Roman" w:hAnsi="Times New Roman"/>
          <w:sz w:val="20"/>
        </w:rPr>
      </w:pPr>
      <w:r>
        <w:rPr>
          <w:rFonts w:ascii="Arial" w:hAnsi="Arial"/>
          <w:color w:val="000000"/>
          <w:sz w:val="20"/>
        </w:rPr>
        <w:t>For additional information please see the Sermonix Transaction section of Item 1.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Other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entered into employment offer letters and change in control and severance agreements with our executive officers. For a description of these agreements with our named executive officers, see the section of this Annual Report titled “Executive Compensation – Executive Employment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granted stock options and/or restricted stock units, and issued common stock in connection therewith as applicable, to our executive officers and our non-employee directors. For a description of these grants and issuances, see the sections of this Annual Report titled “Director Compensation” and “Executive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entered into indemnification agreements with our directors and executive officers which provide for the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 director, officer, employee,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color w:val="000000"/>
          <w:sz w:val="20"/>
        </w:rPr>
        <w:t>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common stock is listed on the Nasdaq Capital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Mr. Fluke and Ms. Romano, who comprise our audit committee; Ms. Kosacz, Mr. Johnson and Mr. Pickering, who comprise our compensation committee; Ms. Romano, Ms. Kosacz, Mr. Edelman and Dr. Panzara, who comprise our nominating and corporate governance committee; and Dr. Panzara and Mr. Johnson, who comprise our compliance committee, satisfy applicable independence standards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bookmarkStart w:id="32" w:name="item_14_principal_accounting_fees"/>
      <w:bookmarkEnd w:id="32"/>
      <w:r>
        <w:rPr>
          <w:rFonts w:ascii="Arial" w:hAnsi="Arial"/>
          <w:b/>
          <w:color w:val="000000"/>
          <w:sz w:val="20"/>
        </w:rPr>
        <w:t>Item 14. Principal Accounting Fees and Services</w:t>
      </w:r>
    </w:p>
    <w:p>
      <w:pPr>
        <w:pStyle w:val="TextBody"/>
        <w:bidi w:val="0"/>
        <w:spacing w:before="120" w:after="283"/>
        <w:jc w:val="both"/>
        <w:rPr>
          <w:rFonts w:ascii="Arial" w:hAnsi="Arial"/>
          <w:color w:val="000000"/>
          <w:sz w:val="20"/>
        </w:rPr>
      </w:pPr>
      <w:r>
        <w:rPr>
          <w:rFonts w:ascii="Arial" w:hAnsi="Arial"/>
          <w:color w:val="000000"/>
          <w:sz w:val="20"/>
        </w:rPr>
        <w:t>Principal Independent Accountant Fees and Services</w:t>
      </w:r>
    </w:p>
    <w:p>
      <w:pPr>
        <w:pStyle w:val="TextBody"/>
        <w:bidi w:val="0"/>
        <w:spacing w:before="240" w:after="283"/>
        <w:jc w:val="both"/>
        <w:rPr>
          <w:rFonts w:ascii="Arial" w:hAnsi="Arial"/>
          <w:color w:val="000000"/>
          <w:sz w:val="20"/>
        </w:rPr>
      </w:pPr>
      <w:r>
        <w:rPr>
          <w:rFonts w:ascii="Arial" w:hAnsi="Arial"/>
          <w:color w:val="000000"/>
          <w:sz w:val="20"/>
        </w:rPr>
        <w:t>The following table presents fees for professional audit services and other services rendered to us by Ernst &amp; Young LLP for our fiscal years ended December 31, 2025 and 2024 (in thousands)</w:t>
      </w:r>
    </w:p>
    <w:p>
      <w:pPr>
        <w:pStyle w:val="TextBody"/>
        <w:bidi w:val="0"/>
        <w:jc w:val="left"/>
        <w:rPr/>
      </w:pPr>
      <w:r>
        <w:rPr/>
        <w:t> </w:t>
      </w:r>
    </w:p>
    <w:tbl>
      <w:tblPr>
        <w:tblW w:w="3364" w:type="dxa"/>
        <w:jc w:val="left"/>
        <w:tblInd w:w="0" w:type="dxa"/>
        <w:tblLayout w:type="fixed"/>
        <w:tblCellMar>
          <w:top w:w="28" w:type="dxa"/>
          <w:left w:w="28" w:type="dxa"/>
          <w:bottom w:w="28" w:type="dxa"/>
          <w:right w:w="28" w:type="dxa"/>
        </w:tblCellMar>
      </w:tblPr>
      <w:tblGrid>
        <w:gridCol w:w="1621"/>
        <w:gridCol w:w="196"/>
        <w:gridCol w:w="146"/>
        <w:gridCol w:w="346"/>
        <w:gridCol w:w="146"/>
        <w:gridCol w:w="146"/>
        <w:gridCol w:w="196"/>
        <w:gridCol w:w="376"/>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Audit Fees</w:t>
            </w:r>
            <w:r>
              <w:rPr>
                <w:rFonts w:ascii="Arial" w:hAnsi="Arial"/>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Audit Related Fees</w:t>
            </w:r>
            <w:r>
              <w:rPr>
                <w:rFonts w:ascii="Arial" w:hAnsi="Arial"/>
                <w:color w:val="000000"/>
                <w:sz w:val="11"/>
              </w:rPr>
              <w:t>(2)</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Tax Fees</w:t>
            </w:r>
            <w:r>
              <w:rPr>
                <w:rFonts w:ascii="Arial" w:hAnsi="Arial"/>
                <w:color w:val="000000"/>
                <w:sz w:val="11"/>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All Other Fees</w:t>
            </w:r>
            <w:r>
              <w:rPr>
                <w:rFonts w:ascii="Arial" w:hAnsi="Arial"/>
                <w:color w:val="000000"/>
                <w:sz w:val="11"/>
              </w:rPr>
              <w:t>(4)</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Fees Paid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9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 xml:space="preserve">Audit fees include fees incurred associated with the annual audit, the reviews of the Company’s interim financial information, consents to documents filed with the SEC, and services provided in connection with the preparation and filing of our registration statements. </w:t>
      </w:r>
    </w:p>
    <w:p>
      <w:pPr>
        <w:pStyle w:val="TextBody"/>
        <w:bidi w:val="0"/>
        <w:spacing w:before="240" w:after="283"/>
        <w:jc w:val="center"/>
        <w:rPr>
          <w:rFonts w:ascii="Arial" w:hAnsi="Arial"/>
          <w:color w:val="000000"/>
          <w:sz w:val="20"/>
        </w:rPr>
      </w:pPr>
      <w:r>
        <w:rPr>
          <w:rFonts w:ascii="Arial" w:hAnsi="Arial"/>
          <w:color w:val="000000"/>
          <w:sz w:val="20"/>
        </w:rPr>
        <w:t>200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Audit-related fees include fees for assurance and related services that are reasonably related to the performance of the audit or review of our financial statements. There were no such fees incurred in 2025 or 2024.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 xml:space="preserve">Tax fees consist of fees for professional services, including tax compliance services and tax advisory services. There were no such fees incurred in 2025 or 2024. </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All other fees include any fees billed that are not audit fees, audit-related fees or tax fees. There were no such fees incurred in 2025 or 2024.</w:t>
      </w:r>
    </w:p>
    <w:p>
      <w:pPr>
        <w:pStyle w:val="TextBody"/>
        <w:bidi w:val="0"/>
        <w:spacing w:before="360" w:after="283"/>
        <w:jc w:val="both"/>
        <w:rPr>
          <w:rFonts w:ascii="Arial" w:hAnsi="Arial"/>
          <w:b/>
          <w:color w:val="000000"/>
          <w:sz w:val="20"/>
        </w:rPr>
      </w:pPr>
      <w:r>
        <w:rPr>
          <w:rFonts w:ascii="Arial" w:hAnsi="Arial"/>
          <w:b/>
          <w:color w:val="000000"/>
          <w:sz w:val="20"/>
        </w:rPr>
        <w:t>Pre-approval Policies and Procedures</w:t>
      </w:r>
    </w:p>
    <w:p>
      <w:pPr>
        <w:pStyle w:val="TextBody"/>
        <w:bidi w:val="0"/>
        <w:spacing w:before="120" w:after="283"/>
        <w:jc w:val="both"/>
        <w:rPr>
          <w:rFonts w:ascii="Times New Roman" w:hAnsi="Times New Roman"/>
          <w:sz w:val="20"/>
        </w:rPr>
      </w:pPr>
      <w:r>
        <w:rPr>
          <w:rFonts w:ascii="Arial" w:hAnsi="Arial"/>
          <w:color w:val="000000"/>
          <w:sz w:val="20"/>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of the audit committee authority to approve in advance permitted services to be performed by the independent auditor or other registered public accounting firms along with any associated fees.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All services related to the fees described in the table above were pre-approved by our audit committee.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Arial" w:hAnsi="Arial"/>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4" w:name="item_15_exhibits_financial_statement_sch"/>
      <w:bookmarkEnd w:id="34"/>
      <w:r>
        <w:rPr>
          <w:rFonts w:ascii="Arial" w:hAnsi="Arial"/>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 xml:space="preserve">List the following documents filed as a part of the report: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All financial statements;</w:t>
      </w:r>
    </w:p>
    <w:p>
      <w:pPr>
        <w:pStyle w:val="TextBody"/>
        <w:bidi w:val="0"/>
        <w:spacing w:before="240" w:after="283"/>
        <w:jc w:val="both"/>
        <w:rPr>
          <w:rFonts w:ascii="Arial" w:hAnsi="Arial"/>
          <w:color w:val="000000"/>
          <w:sz w:val="20"/>
        </w:rPr>
      </w:pPr>
      <w:r>
        <w:rPr>
          <w:rFonts w:ascii="Arial" w:hAnsi="Arial"/>
          <w:color w:val="000000"/>
          <w:sz w:val="20"/>
        </w:rPr>
        <w:t>See Index to Financial Statements in Part II, Item 8 of this Annual Report on Form 10-K.</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Financial Statement Schedules</w:t>
      </w:r>
    </w:p>
    <w:p>
      <w:pPr>
        <w:pStyle w:val="TextBody"/>
        <w:bidi w:val="0"/>
        <w:spacing w:before="240" w:after="283"/>
        <w:jc w:val="both"/>
        <w:rPr>
          <w:rFonts w:ascii="Arial" w:hAnsi="Arial"/>
          <w:color w:val="000000"/>
          <w:sz w:val="20"/>
        </w:rPr>
      </w:pPr>
      <w:r>
        <w:rPr>
          <w:rFonts w:ascii="Arial" w:hAnsi="Arial"/>
          <w:color w:val="000000"/>
          <w:sz w:val="20"/>
        </w:rPr>
        <w:t>All financial statement schedules have been omitted because the required information was not applicable or was not present in amounts sufficient to require submission of the schedules, or because the information required is included in the financial statements or the accompanying notes.</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Exhibits</w:t>
      </w:r>
    </w:p>
    <w:p>
      <w:pPr>
        <w:pStyle w:val="TextBody"/>
        <w:bidi w:val="0"/>
        <w:spacing w:before="240" w:after="283"/>
        <w:jc w:val="both"/>
        <w:rPr>
          <w:rFonts w:ascii="Times New Roman" w:hAnsi="Times New Roman"/>
          <w:sz w:val="20"/>
        </w:rPr>
      </w:pPr>
      <w:r>
        <w:rPr>
          <w:rFonts w:ascii="Arial" w:hAnsi="Arial"/>
          <w:color w:val="000000"/>
          <w:sz w:val="20"/>
        </w:rPr>
        <w:t>The exhibits listed in the following Index to Exhibits are filed, furnished or incorporated by reference as part of this Annual Report on Form 10-K.</w:t>
      </w:r>
      <w:r>
        <w:rPr>
          <w:rFonts w:ascii="Times New Roman" w:hAnsi="Times New Roman"/>
          <w:color w:val="000000"/>
          <w:sz w:val="20"/>
        </w:rPr>
        <w:t xml:space="preserve"> </w:t>
      </w:r>
    </w:p>
    <w:p>
      <w:pPr>
        <w:pStyle w:val="TextBody"/>
        <w:bidi w:val="0"/>
        <w:spacing w:before="240" w:after="283"/>
        <w:jc w:val="center"/>
        <w:rPr>
          <w:rFonts w:ascii="Arial" w:hAnsi="Arial"/>
          <w:b/>
          <w:color w:val="000000"/>
          <w:sz w:val="20"/>
        </w:rPr>
      </w:pPr>
      <w:r>
        <w:rPr>
          <w:rFonts w:ascii="Arial" w:hAnsi="Arial"/>
          <w:b/>
          <w:color w:val="000000"/>
          <w:sz w:val="20"/>
        </w:rPr>
        <w:t>Index to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5717"/>
        <w:gridCol w:w="559"/>
        <w:gridCol w:w="905"/>
        <w:gridCol w:w="661"/>
        <w:gridCol w:w="146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1"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51"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71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5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905"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FF"/>
                  <w:sz w:val="20"/>
                  <w:u w:val="single"/>
                </w:rPr>
                <w:t>Amended and Restated Certificate of Incorporation of the Company</w:t>
              </w:r>
            </w:hyperlink>
            <w:hyperlink r:id="rId19">
              <w:r>
                <w:rPr>
                  <w:rStyle w:val="InternetLink"/>
                  <w:rFonts w:ascii="Times New Roman" w:hAnsi="Times New Roman"/>
                  <w:color w:val="0000FF"/>
                  <w:sz w:val="20"/>
                </w:rPr>
                <w:t xml:space="preserve"> </w:t>
              </w:r>
            </w:hyperlink>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0000FF"/>
                  <w:sz w:val="20"/>
                  <w:u w:val="single"/>
                </w:rPr>
                <w:t>Certificate of Amendment to the Amended and Restated Certificate of Incorporation of the Company dated May 23, 2024</w:t>
              </w:r>
            </w:hyperlink>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5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3.3</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pPr>
            <w:hyperlink r:id="rId21">
              <w:r>
                <w:rPr>
                  <w:rStyle w:val="InternetLink"/>
                  <w:rFonts w:ascii="Arial" w:hAnsi="Arial"/>
                  <w:color w:val="0000FF"/>
                  <w:sz w:val="20"/>
                  <w:u w:val="single"/>
                </w:rPr>
                <w:t>Certificate of Amendment to the Amended and Restated Certificate of Incorporation of the Company dated September 10, 2025</w:t>
              </w:r>
            </w:hyperlink>
          </w:p>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September 11, 2025</w:t>
            </w:r>
          </w:p>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0000FF"/>
                  <w:sz w:val="20"/>
                  <w:u w:val="single"/>
                </w:rPr>
                <w:t>Certificate of Amendment to the Amended and Restated Certificate of Incorporation of the Company dated January 6, 2026</w:t>
              </w:r>
            </w:hyperlink>
          </w:p>
        </w:tc>
        <w:tc>
          <w:tcPr>
            <w:tcW w:w="559"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9, 2026</w:t>
            </w:r>
          </w:p>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jc w:val="left"/>
              <w:rPr/>
            </w:pPr>
            <w:hyperlink r:id="rId23">
              <w:r>
                <w:rPr>
                  <w:rStyle w:val="InternetLink"/>
                  <w:rFonts w:ascii="Arial" w:hAnsi="Arial"/>
                  <w:color w:val="0000FF"/>
                  <w:sz w:val="20"/>
                  <w:u w:val="single"/>
                </w:rPr>
                <w:t>Certificate of Amendment to the Amended and Restated Certificate of Incorporation of the Company dated March 18, 2026</w:t>
              </w:r>
            </w:hyperlink>
          </w:p>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March 19, 2026</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3.6</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0000FF"/>
                  <w:sz w:val="20"/>
                  <w:u w:val="single"/>
                </w:rPr>
                <w:t>Amended and Restated Bylaws</w:t>
              </w:r>
            </w:hyperlink>
          </w:p>
        </w:tc>
        <w:tc>
          <w:tcPr>
            <w:tcW w:w="559"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3.2</w:t>
            </w:r>
          </w:p>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9, 2026</w:t>
            </w:r>
          </w:p>
          <w:p>
            <w:pPr>
              <w:pStyle w:val="TableContents"/>
              <w:bidi w:val="0"/>
              <w:spacing w:before="0" w:after="283"/>
              <w:jc w:val="left"/>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FF"/>
                  <w:sz w:val="20"/>
                  <w:u w:val="single"/>
                </w:rPr>
                <w:t>Specimen Common Stock Certificate of the Registrant</w:t>
              </w:r>
            </w:hyperlink>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S-3</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333-292826</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20, 2026</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4_2.htm">
              <w:r>
                <w:rPr>
                  <w:rStyle w:val="InternetLink"/>
                  <w:rFonts w:ascii="Arial" w:hAnsi="Arial"/>
                  <w:color w:val="0000FF"/>
                  <w:sz w:val="20"/>
                  <w:u w:val="single"/>
                </w:rPr>
                <w:t>Description of Capital Stock</w:t>
              </w:r>
            </w:hyperlink>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4.3</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FF"/>
                  <w:sz w:val="19"/>
                  <w:u w:val="single"/>
                </w:rPr>
                <w:t>Form of PIPE Pre-Funded Warrant</w:t>
              </w:r>
            </w:hyperlink>
          </w:p>
        </w:tc>
        <w:tc>
          <w:tcPr>
            <w:tcW w:w="55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8-K/A</w:t>
            </w:r>
          </w:p>
        </w:tc>
        <w:tc>
          <w:tcPr>
            <w:tcW w:w="905"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4.1</w:t>
            </w:r>
          </w:p>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December 18, 2025</w:t>
            </w:r>
          </w:p>
        </w:tc>
      </w:tr>
    </w:tbl>
    <w:p>
      <w:pPr>
        <w:pStyle w:val="TextBody"/>
        <w:bidi w:val="0"/>
        <w:spacing w:before="240" w:after="283"/>
        <w:jc w:val="center"/>
        <w:rPr>
          <w:rFonts w:ascii="Arial" w:hAnsi="Arial"/>
          <w:color w:val="000000"/>
          <w:sz w:val="20"/>
        </w:rPr>
      </w:pPr>
      <w:r>
        <w:rPr>
          <w:rFonts w:ascii="Arial" w:hAnsi="Arial"/>
          <w:color w:val="000000"/>
          <w:sz w:val="20"/>
        </w:rPr>
        <w:t>202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7"/>
        <w:gridCol w:w="146"/>
        <w:gridCol w:w="5940"/>
        <w:gridCol w:w="453"/>
        <w:gridCol w:w="926"/>
        <w:gridCol w:w="586"/>
        <w:gridCol w:w="1477"/>
      </w:tblGrid>
      <w:tr>
        <w:trPr/>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FF"/>
                  <w:sz w:val="20"/>
                  <w:u w:val="single"/>
                </w:rPr>
                <w:t>Form of PIPE Series A Common Warrant</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8-K/A</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4.2</w:t>
            </w:r>
          </w:p>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December 18, 2025</w:t>
            </w:r>
          </w:p>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FF"/>
                  <w:sz w:val="20"/>
                  <w:u w:val="single"/>
                </w:rPr>
                <w:t>Form of PIPE Series B Common Warrant</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8-K/A</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December 18, 2025</w:t>
            </w:r>
          </w:p>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0000FF"/>
                  <w:sz w:val="20"/>
                  <w:u w:val="single"/>
                </w:rPr>
                <w:t>Form of Sermonix Pre-Funded Warrant</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8-K/A</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4.4</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December 18, 2025</w:t>
            </w:r>
          </w:p>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0000FF"/>
                  <w:sz w:val="20"/>
                  <w:u w:val="single"/>
                </w:rPr>
                <w:t>Form of PIPE Registration Rights Agreement</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8-K/A</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December 18, 2025</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Arial" w:hAnsi="Arial"/>
                  <w:color w:val="0000FF"/>
                  <w:sz w:val="20"/>
                  <w:u w:val="single"/>
                </w:rPr>
                <w:t>Form of Sermonix Registration Rights Agreement</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8-K/A</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December 18, 2025</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1.htm">
              <w:r>
                <w:rPr>
                  <w:rStyle w:val="InternetLink"/>
                  <w:rFonts w:ascii="Arial" w:hAnsi="Arial"/>
                  <w:color w:val="0000FF"/>
                  <w:sz w:val="20"/>
                  <w:u w:val="single"/>
                </w:rPr>
                <w:t>Form of Director and Executive Officer Indemnification Agreement</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2.htm">
              <w:r>
                <w:rPr>
                  <w:rStyle w:val="InternetLink"/>
                  <w:rFonts w:ascii="Arial" w:hAnsi="Arial"/>
                  <w:color w:val="0000FF"/>
                  <w:sz w:val="20"/>
                  <w:u w:val="single"/>
                </w:rPr>
                <w:t>2014 Equity Incentive Plan, as amended</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3.htm">
              <w:r>
                <w:rPr>
                  <w:rStyle w:val="InternetLink"/>
                  <w:rFonts w:ascii="Arial" w:hAnsi="Arial"/>
                  <w:color w:val="0000FF"/>
                  <w:sz w:val="20"/>
                  <w:u w:val="single"/>
                </w:rPr>
                <w:t>2020 Equity Incentive Plan, as amended</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4.htm">
              <w:r>
                <w:rPr>
                  <w:rStyle w:val="InternetLink"/>
                  <w:rFonts w:ascii="Arial" w:hAnsi="Arial"/>
                  <w:color w:val="0000FF"/>
                  <w:sz w:val="20"/>
                  <w:u w:val="single"/>
                </w:rPr>
                <w:t>Form of Stock Option Agreement under the 2020 Equity Incentive Plan, as amended</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5.htm">
              <w:r>
                <w:rPr>
                  <w:rStyle w:val="InternetLink"/>
                  <w:rFonts w:ascii="Arial" w:hAnsi="Arial"/>
                  <w:color w:val="0000FF"/>
                  <w:sz w:val="20"/>
                  <w:u w:val="single"/>
                </w:rPr>
                <w:t>Form of Restricted Stock Award Agreement under the 2020 Equity Incentive Plan, as amended</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6.htm">
              <w:r>
                <w:rPr>
                  <w:rStyle w:val="InternetLink"/>
                  <w:rFonts w:ascii="Arial" w:hAnsi="Arial"/>
                  <w:color w:val="0000FF"/>
                  <w:sz w:val="20"/>
                  <w:u w:val="single"/>
                </w:rPr>
                <w:t>Form of RSU Agreement under the 2020 Equity Incentive Plan, as amended</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7.htm">
              <w:r>
                <w:rPr>
                  <w:rStyle w:val="InternetLink"/>
                  <w:rFonts w:ascii="Arial" w:hAnsi="Arial"/>
                  <w:color w:val="0000FF"/>
                  <w:sz w:val="20"/>
                  <w:u w:val="single"/>
                </w:rPr>
                <w:t>2020 Employee Stock Purchase Plan, as amended and Form of Subscription Agreement Thereunder</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10.8**</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FF"/>
                  <w:sz w:val="20"/>
                  <w:u w:val="single"/>
                </w:rPr>
                <w:t>2026 Equity Incentive Plan</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w:t>
            </w:r>
          </w:p>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10.9**</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Arial" w:hAnsi="Arial"/>
                  <w:color w:val="0000FF"/>
                  <w:sz w:val="20"/>
                  <w:u w:val="single"/>
                </w:rPr>
                <w:t>Form of Stock Option Agreement under the 2026 Equity Incentive Plan</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10.2</w:t>
            </w:r>
          </w:p>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10.10**</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Arial" w:hAnsi="Arial"/>
                  <w:color w:val="0000FF"/>
                  <w:sz w:val="20"/>
                  <w:u w:val="single"/>
                </w:rPr>
                <w:t>Form of Restricted Stock Award Agreement under the 2026 Equity Incentive Plan</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10.3</w:t>
            </w:r>
          </w:p>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10.11**</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Arial" w:hAnsi="Arial"/>
                  <w:color w:val="0000FF"/>
                  <w:sz w:val="20"/>
                  <w:u w:val="single"/>
                </w:rPr>
                <w:t>Form of RSU Agreement under the 2026 Equity Incentive Plan</w:t>
              </w:r>
            </w:hyperlink>
          </w:p>
        </w:tc>
        <w:tc>
          <w:tcPr>
            <w:tcW w:w="45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001-39503</w:t>
            </w:r>
          </w:p>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10.4</w:t>
            </w:r>
          </w:p>
          <w:p>
            <w:pPr>
              <w:pStyle w:val="TableContents"/>
              <w:bidi w:val="0"/>
              <w:spacing w:before="0" w:after="283"/>
              <w:jc w:val="left"/>
              <w:rPr/>
            </w:pPr>
            <w:r>
              <w:rPr/>
              <w:t> </w:t>
            </w:r>
          </w:p>
        </w:tc>
        <w:tc>
          <w:tcPr>
            <w:tcW w:w="14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Arial" w:hAnsi="Arial"/>
                  <w:color w:val="0000FF"/>
                  <w:sz w:val="20"/>
                  <w:u w:val="single"/>
                </w:rPr>
                <w:t>Lease agreement, dated July 20, 2020, by and between the Registrant and North Creek Parkway Center Investors, LP</w:t>
              </w:r>
            </w:hyperlink>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333-248428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10.11</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9, 2020</w:t>
            </w:r>
          </w:p>
        </w:tc>
      </w:tr>
      <w:tr>
        <w:trPr/>
        <w:tc>
          <w:tcPr>
            <w:tcW w:w="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203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7"/>
        <w:gridCol w:w="146"/>
        <w:gridCol w:w="6141"/>
        <w:gridCol w:w="478"/>
        <w:gridCol w:w="847"/>
        <w:gridCol w:w="586"/>
        <w:gridCol w:w="1340"/>
      </w:tblGrid>
      <w:tr>
        <w:trPr/>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13.htm">
              <w:r>
                <w:rPr>
                  <w:rStyle w:val="InternetLink"/>
                  <w:rFonts w:ascii="Arial" w:hAnsi="Arial"/>
                  <w:color w:val="0000FF"/>
                  <w:sz w:val="20"/>
                  <w:u w:val="single"/>
                </w:rPr>
                <w:t>Outside Director Compensation Policy, as amended</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14.htm">
              <w:r>
                <w:rPr>
                  <w:rStyle w:val="InternetLink"/>
                  <w:rFonts w:ascii="Arial" w:hAnsi="Arial"/>
                  <w:color w:val="0000FF"/>
                  <w:sz w:val="20"/>
                  <w:u w:val="single"/>
                </w:rPr>
                <w:t>Executive Incentive Compensation Plan</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Arial" w:hAnsi="Arial"/>
                  <w:color w:val="0000FF"/>
                  <w:sz w:val="20"/>
                  <w:u w:val="single"/>
                </w:rPr>
                <w:t>Confirmatory Employment Letter between the Registrant and Mark Litton, Ph.D.</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333-248428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10.15</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9, 2020</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Arial" w:hAnsi="Arial"/>
                  <w:color w:val="0000FF"/>
                  <w:sz w:val="20"/>
                  <w:u w:val="single"/>
                </w:rPr>
                <w:t>Confirmatory Employment Letter between the Registrant and Kevin Church, Ph.D.</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333-248428</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10.16</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9, 2020</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Arial" w:hAnsi="Arial"/>
                  <w:color w:val="0000FF"/>
                  <w:sz w:val="20"/>
                  <w:u w:val="single"/>
                </w:rPr>
                <w:t>Amended and Restated Change in Control and Severance Agreement between the Registrant and Mark Litton, Ph.D.</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31, 2022</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Arial" w:hAnsi="Arial"/>
                  <w:color w:val="0000FF"/>
                  <w:sz w:val="20"/>
                  <w:u w:val="single"/>
                </w:rPr>
                <w:t>Employment Offer Letter between the Registrant and Mark Worthington</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16, 2021</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Arial" w:hAnsi="Arial"/>
                  <w:color w:val="0000FF"/>
                  <w:sz w:val="20"/>
                  <w:u w:val="single"/>
                </w:rPr>
                <w:t>Change in Control and Severance Agreement between the Registrant and Mark Worthington</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16, 2021</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Arial" w:hAnsi="Arial"/>
                  <w:color w:val="0000FF"/>
                  <w:sz w:val="20"/>
                  <w:u w:val="single"/>
                </w:rPr>
                <w:t>First Amendment to Lease by and between the Registrant and Nitrogen Propco 2020, L.P., as successor-in-interest to North Creek Parkway Center Investors, L.P., dated June 28, 2021</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10.5</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16, 2021</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Arial" w:hAnsi="Arial"/>
                  <w:color w:val="0000FF"/>
                  <w:sz w:val="20"/>
                  <w:u w:val="single"/>
                </w:rPr>
                <w:t>Change in Control and Severance Agreement between the Registrant and Kevin Church</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10.28</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28, 2022</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Arial" w:hAnsi="Arial"/>
                  <w:color w:val="0000FF"/>
                  <w:sz w:val="20"/>
                  <w:u w:val="single"/>
                </w:rPr>
                <w:t>Controlled Equity Offering Sales Agreement</w:t>
              </w:r>
            </w:hyperlink>
            <w:hyperlink r:id="rId45">
              <w:r>
                <w:rPr>
                  <w:rStyle w:val="InternetLink"/>
                  <w:rFonts w:ascii="Arial" w:hAnsi="Arial"/>
                  <w:color w:val="0000FF"/>
                  <w:sz w:val="13"/>
                  <w:u w:val="single"/>
                </w:rPr>
                <w:t>SM</w:t>
              </w:r>
            </w:hyperlink>
            <w:hyperlink r:id="rId46">
              <w:r>
                <w:rPr>
                  <w:rStyle w:val="InternetLink"/>
                  <w:rFonts w:ascii="Arial" w:hAnsi="Arial"/>
                  <w:color w:val="0000FF"/>
                  <w:sz w:val="20"/>
                  <w:u w:val="single"/>
                </w:rPr>
                <w:t>, dated January 6, 2023, among the Registrant, Cantor Fitzgerald &amp; Co. and BTIG, LLC</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6, 2023</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23.htm">
              <w:r>
                <w:rPr>
                  <w:rStyle w:val="InternetLink"/>
                  <w:rFonts w:ascii="Arial" w:hAnsi="Arial"/>
                  <w:color w:val="0000FF"/>
                  <w:sz w:val="20"/>
                  <w:u w:val="single"/>
                </w:rPr>
                <w:t>2024 Inducement Equity Incentive Plan and related form agreements</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Arial" w:hAnsi="Arial"/>
                  <w:color w:val="0000FF"/>
                  <w:sz w:val="20"/>
                  <w:u w:val="single"/>
                </w:rPr>
                <w:t>Employment Offer Letter between the Registrant and Javier San Martin</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10-Q/A</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9, 2024</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Arial" w:hAnsi="Arial"/>
                  <w:color w:val="0000FF"/>
                  <w:sz w:val="20"/>
                  <w:u w:val="single"/>
                </w:rPr>
                <w:t>Change in Control and Severance Agreement between the Registrant and Javier San Martin</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10-Q/A</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9, 2024</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Arial" w:hAnsi="Arial"/>
                  <w:color w:val="0000FF"/>
                  <w:sz w:val="20"/>
                  <w:u w:val="single"/>
                </w:rPr>
                <w:t>Employment Offer Letter between the Company and Robert Renninger</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2024</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Arial" w:hAnsi="Arial"/>
                  <w:color w:val="0000FF"/>
                  <w:sz w:val="20"/>
                  <w:u w:val="single"/>
                </w:rPr>
                <w:t>Change in Control and Severance Agreement between the Company and Robert Renninger, dated as of January 8, 2026</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9, 2026</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Arial" w:hAnsi="Arial"/>
                  <w:color w:val="0000FF"/>
                  <w:sz w:val="20"/>
                  <w:u w:val="single"/>
                </w:rPr>
                <w:t>License Agreement between Sermonix Pharmaceuticals, Inc. and Athira Pharma, Inc. dated December 18, 2025</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8-K/A</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31, 2026</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29.htm">
              <w:r>
                <w:rPr>
                  <w:rStyle w:val="InternetLink"/>
                  <w:rFonts w:ascii="Arial" w:hAnsi="Arial"/>
                  <w:color w:val="0000FF"/>
                  <w:sz w:val="20"/>
                  <w:u w:val="single"/>
                </w:rPr>
                <w:t>License Agreement between Ligand Pharmaceuticals Incorporated and Athira Pharma, Inc. dated December 18, 2025</w:t>
              </w:r>
            </w:hyperlink>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204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
        <w:gridCol w:w="146"/>
        <w:gridCol w:w="6794"/>
        <w:gridCol w:w="329"/>
        <w:gridCol w:w="666"/>
        <w:gridCol w:w="481"/>
        <w:gridCol w:w="1167"/>
      </w:tblGrid>
      <w:tr>
        <w:trPr/>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Arial" w:hAnsi="Arial"/>
                  <w:color w:val="0000FF"/>
                  <w:sz w:val="20"/>
                  <w:u w:val="single"/>
                </w:rPr>
                <w:t>Securities Purchase Agreement dated December 18, 2025, by and among the Company and the PIPE Purchasers</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8-K/A</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December 18,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Arial" w:hAnsi="Arial"/>
                  <w:color w:val="0000FF"/>
                  <w:sz w:val="20"/>
                  <w:u w:val="single"/>
                </w:rPr>
                <w:t>Securities Purchase Agreement dated December 18, 2025, by and between the Company and Sermonix Pharmaceuticals, Inc.</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8-K/A</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December 18, 2025</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9.htm">
              <w:r>
                <w:rPr>
                  <w:rStyle w:val="InternetLink"/>
                  <w:rFonts w:ascii="Arial" w:hAnsi="Arial"/>
                  <w:color w:val="0000FF"/>
                  <w:sz w:val="20"/>
                  <w:u w:val="single"/>
                </w:rPr>
                <w:t>Insider Trading Policy, as amended</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Arial" w:hAnsi="Arial"/>
                  <w:color w:val="0000FF"/>
                  <w:sz w:val="20"/>
                  <w:u w:val="single"/>
                </w:rPr>
                <w:t>List of Subsidiaries of the Registrant</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333-24828</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21.1</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9, 2020</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23_1.htm">
              <w:r>
                <w:rPr>
                  <w:rStyle w:val="InternetLink"/>
                  <w:rFonts w:ascii="Arial" w:hAnsi="Arial"/>
                  <w:color w:val="0000FF"/>
                  <w:sz w:val="20"/>
                  <w:u w:val="single"/>
                </w:rPr>
                <w:t>Consent of Independent Registered Public Accounting Firm</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Power of Attorney (included in signature pages hereto)</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97.htm">
              <w:r>
                <w:rPr>
                  <w:rStyle w:val="InternetLink"/>
                  <w:rFonts w:ascii="Arial" w:hAnsi="Arial"/>
                  <w:color w:val="0000FF"/>
                  <w:sz w:val="20"/>
                  <w:u w:val="single"/>
                </w:rPr>
                <w:t>Amended and Restated Compensation Recovery Policy</w:t>
              </w:r>
            </w:hyperlink>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following materials from the Company’s Annual Report on Form 10-K for the year ended December 31, 2025, formatted in Inline XBRL (Inline eXtensible Business Reporting Language): (i) Consolidated Balance Sheets as at December 31, 2025 and 2024, (ii) Consolidated Statements of (Loss) Income and Comprehensive (Loss) Income for the years ended December 31, 2025 and 2024, (iii) Consolidated Statements of Changes in Stockholders’ Equity for the years ended December 31, 2025 and 2024, (iv) Consolidated Statements of Cash Flows for the years ended December 31, 2025 and 2024 and (vi) Notes to Consolidated Financial Statements.</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205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62" w:type="dxa"/>
        <w:jc w:val="left"/>
        <w:tblInd w:w="0" w:type="dxa"/>
        <w:tblLayout w:type="fixed"/>
        <w:tblCellMar>
          <w:top w:w="28" w:type="dxa"/>
          <w:left w:w="28" w:type="dxa"/>
          <w:bottom w:w="28" w:type="dxa"/>
          <w:right w:w="28" w:type="dxa"/>
        </w:tblCellMar>
      </w:tblPr>
      <w:tblGrid>
        <w:gridCol w:w="436"/>
        <w:gridCol w:w="146"/>
        <w:gridCol w:w="7651"/>
        <w:gridCol w:w="146"/>
        <w:gridCol w:w="146"/>
        <w:gridCol w:w="146"/>
        <w:gridCol w:w="191"/>
      </w:tblGrid>
      <w:tr>
        <w:trPr/>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Times New Roman" w:hAnsi="Times New Roman"/>
          <w:sz w:val="20"/>
        </w:rPr>
      </w:pP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The certifications filed as Exhibits 32.1 and 32.2 are not deemed “filed” for purposes of Section 18 of the Securities Exchange Act of 1934 and are not to be incorporated by reference into any filing of the Company under the Securities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rFonts w:ascii="Times New Roman" w:hAnsi="Times New Roman"/>
          <w:sz w:val="20"/>
        </w:rPr>
      </w:pP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Indicates a management contract or compensatory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 Certain confidential information contained in this exhibit, marked by [***], has been omitted because it is both (1) not material and (2) is the type that the Company treats as private and confidential.</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bookmarkStart w:id="35" w:name="item_16_form_10k_summary"/>
      <w:bookmarkEnd w:id="35"/>
      <w:r>
        <w:rPr>
          <w:rFonts w:ascii="Arial" w:hAnsi="Arial"/>
          <w:b/>
          <w:color w:val="000000"/>
          <w:sz w:val="20"/>
        </w:rPr>
        <w:t>Item 16. Form 10-K Summary</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206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36" w:name="signatures"/>
      <w:bookmarkEnd w:id="36"/>
      <w:r>
        <w:rPr>
          <w:rFonts w:ascii="Arial" w:hAnsi="Arial"/>
          <w:b/>
          <w:color w:val="000000"/>
          <w:sz w:val="20"/>
        </w:rPr>
        <w:t>SIGNATURES</w:t>
      </w:r>
    </w:p>
    <w:p>
      <w:pPr>
        <w:pStyle w:val="TextBody"/>
        <w:bidi w:val="0"/>
        <w:spacing w:before="240" w:after="283"/>
        <w:jc w:val="both"/>
        <w:rPr>
          <w:rFonts w:ascii="Times New Roman" w:hAnsi="Times New Roman"/>
          <w:sz w:val="20"/>
        </w:rPr>
      </w:pPr>
      <w:r>
        <w:rPr>
          <w:rFonts w:ascii="Arial" w:hAnsi="Arial"/>
          <w:color w:val="000000"/>
          <w:sz w:val="20"/>
        </w:rPr>
        <w:t>Pursuant to the requirements of Section 13 or 15(d) of the Securities Exchange Act of 1934, as amended, the Registrant has duly caused this Report to be signed on its behalf by the undersigned, thereunto duly authorized</w:t>
      </w:r>
      <w:r>
        <w:rPr>
          <w:rFonts w:ascii="Arial" w:hAnsi="Arial"/>
          <w:b/>
          <w:color w:val="000000"/>
          <w:sz w:val="20"/>
        </w:rPr>
        <w:t>.</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1996"/>
        <w:gridCol w:w="109"/>
        <w:gridCol w:w="406"/>
        <w:gridCol w:w="5941"/>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94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LeonaBio, Inc.</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March 31,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9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 Litton</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KNOW ALL PERSONS BY THESE PRESENTS, that each person whose signature appears below constitutes and appoints Mark Litton and Robert Renninger,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this Annual Report on Form 10-K has been signed below by the following persons on behalf of the Registrant in the capacities and on the dates indicated.</w:t>
      </w:r>
    </w:p>
    <w:p>
      <w:pPr>
        <w:pStyle w:val="TextBody"/>
        <w:bidi w:val="0"/>
        <w:jc w:val="both"/>
        <w:rPr/>
      </w:pPr>
      <w:r>
        <w:rPr/>
        <w:t> </w:t>
      </w:r>
    </w:p>
    <w:tbl>
      <w:tblPr>
        <w:tblW w:w="8020" w:type="dxa"/>
        <w:jc w:val="left"/>
        <w:tblInd w:w="0" w:type="dxa"/>
        <w:tblLayout w:type="fixed"/>
        <w:tblCellMar>
          <w:top w:w="28" w:type="dxa"/>
          <w:left w:w="28" w:type="dxa"/>
          <w:bottom w:w="28" w:type="dxa"/>
          <w:right w:w="28" w:type="dxa"/>
        </w:tblCellMar>
      </w:tblPr>
      <w:tblGrid>
        <w:gridCol w:w="2041"/>
        <w:gridCol w:w="146"/>
        <w:gridCol w:w="4186"/>
        <w:gridCol w:w="146"/>
        <w:gridCol w:w="150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Signature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Mark Litton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Mark Litton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Robert Renninger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Robert Renninger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t>
            </w:r>
            <w:r>
              <w:rPr>
                <w:rFonts w:ascii="Arial" w:hAnsi="Arial"/>
                <w:i/>
                <w:color w:val="000000"/>
                <w:sz w:val="20"/>
              </w:rPr>
              <w:t>Principal Financial and Accounting Officer</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Kelly A. Romano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Chairwoman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Kelly A. Romano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Joseph Edelman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Joseph Edelman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John M. Fluke, Jr.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John M. Fluke,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James A. Johnson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James A. Johnson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Barbara Kosacz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Barbara Kosacz</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Michael Panzara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Michael Panzara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Grant Pickering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31, 2026</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Grant Pickering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207</w:t>
      </w:r>
    </w:p>
    <w:p>
      <w:pPr>
        <w:pStyle w:val="HorizontalLine"/>
        <w:pBdr>
          <w:bottom w:val="double" w:sz="2" w:space="0" w:color="808080"/>
        </w:pBdr>
        <w:bidi w:val="0"/>
        <w:spacing w:before="0" w:after="283"/>
        <w:jc w:val="left"/>
        <w:rPr/>
      </w:pPr>
      <w:r>
        <w:rPr/>
      </w:r>
    </w:p>
    <w:p>
      <w:pPr>
        <w:pStyle w:val="TextBody"/>
        <w:bidi w:val="0"/>
        <w:jc w:val="left"/>
        <w:rPr/>
      </w:pPr>
      <w:bookmarkStart w:id="37" w:name="lona-ex4_2.htm"/>
      <w:bookmarkStart w:id="38" w:name="kslonaex4_2"/>
      <w:bookmarkEnd w:id="37"/>
      <w:bookmarkEnd w:id="38"/>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Description of Capital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of December 31, 2025, we had one class of securities, our common stock, registered under Section 12 of the Securities Exchange Act of 1934, as amended. These securities are listed on The Nasdaq Capital Market under the symbol “LONA.”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authorized capital stock consists of 400,000,000 shares of common stock, par value $0.0001 per share, and 100,000,000 shares of preferred stock, par value $0.0001 per share.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is a summary of the rights of our common stock and preferred stock. This summary is not complete. For more detailed information, please refer to our amended and restated certificate of incorporation dated September 22, 2020, as amended by the certificates of amendment dated May 23, 2024, September 10, 2025, January 6, 2026 and March 18, 2026, each incorporated by reference as exhibits to our annual report on Form 10-K for the year ended December 31, 2025, to our amended and restated bylaws, which were incorporated by reference as an exhibit to our annual report on Form 10-K for the year ended December 31, 2025, and to the applicable provisions of Delaware and Washington law.</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Common Stock</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Dividends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preferences that may be applicable to any then-outstanding preferred stock, holders of our common stock are entitled to receive dividends, if any, as may be declared from time to time by our board of directors out of legally available funds.</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Voting Rights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share of common stock held as of the applicable record date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voting power of the shares of common stock present in person or represented by proxy at the meeting of stockholders and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cast affirmatively or negatively, shall be the act of the stockholders, except as otherwise provided by law, our certificate of incorporation, our bylaws or the rules of any applicable stock exchange on which our securities are listed. The holders of a majority of the voting power of the capital stock issued and outstanding and entitled to vote, present in person or represented by proxy, shall constitute a quorum for the transaction of business at all meetings of the stockholders, unless otherwise required by law, our certificate of incorporation, our bylaws or the rules of any applicable stock exchange on which our securities are listed.</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Liquidation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Rights and Preferences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Fully Paid and Nonassessable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of our outstanding shares of common stock are fully paid and nonassessable.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Preferred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Anti-Takeover Effects of Delaware and Washington Law and Our Certificate of Incorporation and Bylaws</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Delaware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upon consummation of the transaction which resulted in the stockholder becoming an interested stockholder, the interested stockholder owned at least 85% of the voting stock of the corporation outstanding at the time the transaction commenced,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or subsequent to such time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Section 203 defines a business combination to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merger or consolidation involving the corporation, or any direct or indirect majority-owned subsidiary of the corporation, and the interested stockholder or any other entity if the merger or consolidation is caused by the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sale, lease, exchange, mortgage, transfer, pledge or other disposition involving the interested stockholder of 10% or more of the assets of the corporation or any direct or indirect majority-owned subsidiary of the corporation;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subject to exceptions, any transaction that results in the issuance or transfer by the corporation of any stock of the corporation, or any direct or indirect majority-owned subsidiary of the corporation, to the interested stockholder;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subject to exceptions, 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receipt by the interested stockholder of the benefit of any loans, advances, guarantees, pledges or other financial benefits provided by or through the 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These provisions may have the effect of delaying, deferring or preventing changes in control in our Company.</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Washington Business Corporation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any merger or consolidation with, disposition of assets to, or issuance or redemption of stock to or from, the acquiring person;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any termination of 5% or more of the employees of the target corporation as a result of the acquiring person’s acquisition of 10% or more of the shares;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allowing the acquiring person to receive any disproportionate benefit as a stockholder;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liquidating or dissolving the target corporation.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the five-year period, a significant business transaction may take place as long as it complies with certain fair price provisions of the statute or is approved at an annual or special meeting of stockholders.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we meet the definition of a target corporation, the WBCA may have the effect of delaying, deferring or preventing a change of control.</w:t>
      </w:r>
    </w:p>
    <w:p>
      <w:pPr>
        <w:pStyle w:val="TextBody"/>
        <w:bidi w:val="0"/>
        <w:spacing w:before="0" w:after="240"/>
        <w:jc w:val="left"/>
        <w:rPr/>
      </w:pPr>
      <w:r>
        <w:rPr/>
        <w:t> </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Certificate of Incorporation and Bylaws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permit our board of directors to issue shares of preferred stock, with any rights, preferences and privileges as they may designate;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the authorized number of directors may be changed only by resolution of the board of directors;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all vacancies, including newly created directorships, may, except as otherwise required by law, be filled by the affirmative vote of a majority of directors then in office, even if less than a quorum;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divide our board of directors into three classes, each of which stands for election once every three years;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a director may only be removed from the board of directors by the stockholders for cause;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require that any action to be taken by our stockholders must be effected at a duly called annual or special meeting of stockholders and not be taken by written consent;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provide that stockholders seeking to present proposals before a meeting of stockholders or to nominate candidates for election as directors at a meeting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stockholders must provide notice in writing in a timely manner, and also meet specific requirements as to the form and content of a stockholder’s notice;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do not provide for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special meetings of our stockholders may be called only by the board of directors, the chairman of the board of directors, our chief executive officer or president;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or our stockholders, (3) any action asserting a claim against us arising pursuant to any provision of the Delaware General Corporation Law, our certificate of incorporation and bylaws (as either may be amended from time to time), or (4) any action asserting a claim against us governed by the internal affairs doctrine;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provide that the federal district courts of the United States of America will be the exclusive forum for resolving any complaint asserting a cause of action arising under the Securities Act, against any person in connection with any offering of our securities, including, without limitation and for the avoidance of doubt, any auditor, underwriter, expert, control person or other defendant.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amendment of any of these provisions would require approval by the holders of at least two-thirds of our then outstanding common stock, voting as a single class.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Transfer Agent and Registrar</w:t>
      </w:r>
    </w:p>
    <w:p>
      <w:pPr>
        <w:pStyle w:val="TextBody"/>
        <w:bidi w:val="0"/>
        <w:spacing w:before="0" w:after="240"/>
        <w:jc w:val="left"/>
        <w:rPr>
          <w:rFonts w:ascii="Times New Roman" w:hAnsi="Times New Roman"/>
          <w:sz w:val="20"/>
        </w:rPr>
      </w:pPr>
      <w:r>
        <w:rPr>
          <w:rFonts w:ascii="Times New Roman" w:hAnsi="Times New Roman"/>
          <w:color w:val="000000"/>
          <w:sz w:val="24"/>
        </w:rPr>
        <w:t>The transfer agent and registrar for our common stock is Computershare Trust Company, N.A. The transfer agent and registrar’s address is 150 Royall Street, Canton, Massachusetts 02021.</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lona-ex10_1.htm"/>
      <w:bookmarkStart w:id="40" w:name="kslonaex10_1"/>
      <w:bookmarkEnd w:id="39"/>
      <w:bookmarkEnd w:id="40"/>
      <w:r>
        <w:rPr>
          <w:rFonts w:ascii="Times New Roman" w:hAnsi="Times New Roman"/>
          <w:b/>
          <w:color w:val="000000"/>
          <w:sz w:val="20"/>
        </w:rPr>
        <w:t>Exhibit 10.1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INDEMNIFICATION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Indemnification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dated as of [</w:t>
      </w:r>
      <w:r>
        <w:rPr>
          <w:rFonts w:ascii="Times New Roman" w:hAnsi="Times New Roman"/>
          <w:i/>
          <w:color w:val="000000"/>
          <w:sz w:val="24"/>
        </w:rPr>
        <w:t>insert date</w:t>
      </w:r>
      <w:r>
        <w:rPr>
          <w:rFonts w:ascii="Times New Roman" w:hAnsi="Times New Roman"/>
          <w:color w:val="000000"/>
          <w:sz w:val="24"/>
        </w:rPr>
        <w:t>], and is between LeonaBio,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w:t>
      </w:r>
      <w:r>
        <w:rPr>
          <w:rFonts w:ascii="Times New Roman" w:hAnsi="Times New Roman"/>
          <w:i/>
          <w:color w:val="000000"/>
          <w:sz w:val="24"/>
        </w:rPr>
        <w:t>insert name of indemnitee</w:t>
      </w:r>
      <w:r>
        <w:rPr>
          <w:rFonts w:ascii="Times New Roman" w:hAnsi="Times New Roman"/>
          <w:color w:val="000000"/>
          <w:sz w:val="24"/>
        </w:rPr>
        <w:t>] (“</w:t>
      </w:r>
      <w:r>
        <w:rPr>
          <w:rFonts w:ascii="Times New Roman" w:hAnsi="Times New Roman"/>
          <w:b/>
          <w:i/>
          <w:color w:val="000000"/>
          <w:sz w:val="24"/>
        </w:rPr>
        <w:t>Indemnitee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Indemnitee’s service to the Company substantially benefits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therefore agree as follows: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Definitions.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pPr>
      <w:r>
        <w:rPr>
          <w:rFonts w:ascii="Times New Roman" w:hAnsi="Times New Roman"/>
          <w:color w:val="000000"/>
          <w:sz w:val="24"/>
        </w:rPr>
        <w:t>A “</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shall be deemed to occur upon the earliest to occur after the date of this Agreement of any of the following events: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1.1.1.</w:t>
      </w:r>
    </w:p>
    <w:p>
      <w:pPr>
        <w:pStyle w:val="TextBody"/>
        <w:bidi w:val="0"/>
        <w:spacing w:before="240" w:after="283"/>
        <w:jc w:val="left"/>
        <w:rPr/>
      </w:pPr>
      <w:r>
        <w:rPr>
          <w:rFonts w:ascii="Times New Roman" w:hAnsi="Times New Roman"/>
          <w:i/>
          <w:color w:val="000000"/>
          <w:sz w:val="24"/>
        </w:rPr>
        <w:t>Acquisition of Stock by Third Party.</w:t>
      </w:r>
      <w:r>
        <w:rPr>
          <w:color w:val="000000"/>
        </w:rPr>
        <w:t xml:space="preserve"> </w:t>
      </w:r>
      <w:r>
        <w:rPr>
          <w:rFonts w:ascii="Times New Roman" w:hAnsi="Times New Roman"/>
          <w:color w:val="000000"/>
          <w:sz w:val="24"/>
        </w:rPr>
        <w:t>Any Person (as defined below) becomes the Beneficial Owner (as defined below), directly or indirectly, of securities of the Company representing fifteen percent (15%) or more of the combined voting power of the Company’s then outstanding securities;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1.1.2.</w:t>
      </w:r>
    </w:p>
    <w:p>
      <w:pPr>
        <w:pStyle w:val="TextBody"/>
        <w:bidi w:val="0"/>
        <w:spacing w:before="240" w:after="283"/>
        <w:jc w:val="left"/>
        <w:rPr/>
      </w:pPr>
      <w:r>
        <w:rPr>
          <w:rFonts w:ascii="Times New Roman" w:hAnsi="Times New Roman"/>
          <w:i/>
          <w:color w:val="000000"/>
          <w:sz w:val="24"/>
        </w:rPr>
        <w:t>Change in Board Composition.</w:t>
      </w:r>
      <w:r>
        <w:rPr>
          <w:color w:val="000000"/>
        </w:rPr>
        <w:t xml:space="preserve"> </w:t>
      </w:r>
      <w:r>
        <w:rPr>
          <w:rFonts w:ascii="Times New Roman" w:hAnsi="Times New Roman"/>
          <w:color w:val="000000"/>
          <w:sz w:val="24"/>
        </w:rPr>
        <w:t>During any period of two consecutive years (not including any period prior to the 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1.1.3.</w:t>
      </w:r>
    </w:p>
    <w:p>
      <w:pPr>
        <w:pStyle w:val="TextBody"/>
        <w:bidi w:val="0"/>
        <w:spacing w:before="240" w:after="283"/>
        <w:jc w:val="left"/>
        <w:rPr/>
      </w:pPr>
      <w:r>
        <w:rPr>
          <w:rFonts w:ascii="Times New Roman" w:hAnsi="Times New Roman"/>
          <w:i/>
          <w:color w:val="000000"/>
          <w:sz w:val="24"/>
        </w:rPr>
        <w:t>Corporate Transactions.</w:t>
      </w:r>
      <w:r>
        <w:rPr>
          <w:color w:val="000000"/>
        </w:rPr>
        <w:t xml:space="preserve"> </w:t>
      </w:r>
      <w:r>
        <w:rPr>
          <w:rFonts w:ascii="Times New Roman" w:hAnsi="Times New Roman"/>
          <w:color w:val="000000"/>
          <w:sz w:val="24"/>
        </w:rPr>
        <w:t xml:space="preserve">The effective date of a merger or consolidation of the Company with any other entity, other than a merger or consolidation which would result in the voting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1.1.4.</w:t>
      </w:r>
    </w:p>
    <w:p>
      <w:pPr>
        <w:pStyle w:val="TextBody"/>
        <w:bidi w:val="0"/>
        <w:spacing w:before="240" w:after="283"/>
        <w:jc w:val="left"/>
        <w:rPr/>
      </w:pPr>
      <w:r>
        <w:rPr>
          <w:rFonts w:ascii="Times New Roman" w:hAnsi="Times New Roman"/>
          <w:i/>
          <w:color w:val="000000"/>
          <w:sz w:val="24"/>
        </w:rPr>
        <w:t>Liquidation.</w:t>
      </w:r>
      <w:r>
        <w:rPr>
          <w:color w:val="000000"/>
        </w:rPr>
        <w:t xml:space="preserve"> </w:t>
      </w:r>
      <w:r>
        <w:rPr>
          <w:rFonts w:ascii="Times New Roman" w:hAnsi="Times New Roman"/>
          <w:color w:val="000000"/>
          <w:sz w:val="24"/>
        </w:rPr>
        <w:t>The approval by the stockholders of the Company of a complete liquidation of the Company or an agreement for the sale or disposition by the Company of all or substantially all of the Company’s assets; and</w:t>
      </w:r>
    </w:p>
    <w:p>
      <w:pPr>
        <w:pStyle w:val="TextBody"/>
        <w:bidi w:val="0"/>
        <w:spacing w:before="240" w:after="283"/>
        <w:jc w:val="left"/>
        <w:rPr>
          <w:rFonts w:ascii="Times New Roman" w:hAnsi="Times New Roman"/>
          <w:i/>
          <w:color w:val="000000"/>
          <w:sz w:val="24"/>
        </w:rPr>
      </w:pPr>
      <w:r>
        <w:rPr>
          <w:rFonts w:ascii="Times New Roman" w:hAnsi="Times New Roman"/>
          <w:i/>
          <w:color w:val="000000"/>
          <w:sz w:val="24"/>
        </w:rPr>
        <w:t>1.1.5.</w:t>
      </w:r>
    </w:p>
    <w:p>
      <w:pPr>
        <w:pStyle w:val="TextBody"/>
        <w:bidi w:val="0"/>
        <w:spacing w:before="240" w:after="283"/>
        <w:jc w:val="left"/>
        <w:rPr/>
      </w:pPr>
      <w:r>
        <w:rPr>
          <w:rFonts w:ascii="Times New Roman" w:hAnsi="Times New Roman"/>
          <w:i/>
          <w:color w:val="000000"/>
          <w:sz w:val="24"/>
        </w:rPr>
        <w:t>Other Events.</w:t>
      </w:r>
      <w:r>
        <w:rPr>
          <w:color w:val="000000"/>
        </w:rPr>
        <w:t xml:space="preserve"> </w:t>
      </w:r>
      <w:r>
        <w:rPr>
          <w:rFonts w:ascii="Times New Roman" w:hAnsi="Times New Roman"/>
          <w:color w:val="000000"/>
          <w:sz w:val="24"/>
        </w:rPr>
        <w:t xml:space="preserve">Any other event of a nature that would be required to be reported in response to Item 6(e) of Schedule 14A of Regulation 14A (or in response to any similar item on any similar schedule or form) promulgated under the Securities Exchange Act of 1934, as amended, whether or not the Company is then subject to such reporting requirement, </w:t>
      </w:r>
      <w:r>
        <w:rPr>
          <w:rFonts w:ascii="Times New Roman" w:hAnsi="Times New Roman"/>
          <w:i/>
          <w:color w:val="000000"/>
          <w:sz w:val="24"/>
        </w:rPr>
        <w:t>except</w:t>
      </w:r>
      <w:r>
        <w:rPr>
          <w:color w:val="000000"/>
        </w:rPr>
        <w:t xml:space="preserve"> </w:t>
      </w:r>
      <w:r>
        <w:rPr>
          <w:rFonts w:ascii="Times New Roman" w:hAnsi="Times New Roman"/>
          <w:color w:val="000000"/>
          <w:sz w:val="24"/>
        </w:rPr>
        <w:t>the completion of the Company’s initial public offering shall not be considered a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1(a), the following terms shall have the following meanings: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1.1.5.1.</w:t>
      </w:r>
    </w:p>
    <w:p>
      <w:pPr>
        <w:pStyle w:val="TextBody"/>
        <w:bidi w:val="0"/>
        <w:spacing w:before="240" w:after="283"/>
        <w:jc w:val="left"/>
        <w:rPr/>
      </w:pPr>
      <w:r>
        <w:rPr>
          <w:color w:val="000000"/>
        </w:rPr>
        <w:t>“</w:t>
      </w:r>
      <w:r>
        <w:rPr>
          <w:rFonts w:ascii="Times New Roman" w:hAnsi="Times New Roman"/>
          <w:b/>
          <w:i/>
          <w:color w:val="000000"/>
          <w:sz w:val="24"/>
        </w:rPr>
        <w:t>Beneficial Owner</w:t>
      </w:r>
      <w:r>
        <w:rPr>
          <w:color w:val="000000"/>
        </w:rPr>
        <w:t xml:space="preserve">” </w:t>
      </w:r>
      <w:r>
        <w:rPr>
          <w:rFonts w:ascii="Times New Roman" w:hAnsi="Times New Roman"/>
          <w:color w:val="000000"/>
          <w:sz w:val="24"/>
        </w:rPr>
        <w:t xml:space="preserve">shall have the meaning given to such term in Rule 13d-3 under the Securities Exchange Act of 1934, as amended; </w:t>
      </w:r>
      <w:r>
        <w:rPr>
          <w:rFonts w:ascii="Times New Roman" w:hAnsi="Times New Roman"/>
          <w:i/>
          <w:color w:val="000000"/>
          <w:sz w:val="24"/>
        </w:rPr>
        <w:t>provided, however,</w:t>
      </w:r>
      <w:r>
        <w:rPr>
          <w:rFonts w:ascii="Times New Roman" w:hAnsi="Times New Roman"/>
          <w:color w:val="000000"/>
          <w:sz w:val="24"/>
        </w:rPr>
        <w:t>that “</w:t>
      </w:r>
      <w:r>
        <w:rPr>
          <w:rFonts w:ascii="Times New Roman" w:hAnsi="Times New Roman"/>
          <w:b/>
          <w:i/>
          <w:color w:val="000000"/>
          <w:sz w:val="24"/>
        </w:rPr>
        <w:t>Beneficial Owner</w:t>
      </w:r>
      <w:r>
        <w:rPr>
          <w:color w:val="000000"/>
        </w:rPr>
        <w:t xml:space="preserve">” </w:t>
      </w:r>
      <w:r>
        <w:rPr>
          <w:rFonts w:ascii="Times New Roman" w:hAnsi="Times New Roman"/>
          <w:color w:val="000000"/>
          <w:sz w:val="24"/>
        </w:rPr>
        <w:t>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1.1.5.2.</w:t>
      </w:r>
    </w:p>
    <w:p>
      <w:pPr>
        <w:pStyle w:val="TextBody"/>
        <w:bidi w:val="0"/>
        <w:spacing w:before="240" w:after="283"/>
        <w:jc w:val="left"/>
        <w:rPr/>
      </w:pPr>
      <w:r>
        <w:rPr>
          <w:color w:val="000000"/>
        </w:rPr>
        <w:t>“</w:t>
      </w:r>
      <w:r>
        <w:rPr>
          <w:rFonts w:ascii="Times New Roman" w:hAnsi="Times New Roman"/>
          <w:b/>
          <w:i/>
          <w:color w:val="000000"/>
          <w:sz w:val="24"/>
        </w:rPr>
        <w:t>Person</w:t>
      </w:r>
      <w:r>
        <w:rPr>
          <w:color w:val="000000"/>
        </w:rPr>
        <w:t xml:space="preserve">” </w:t>
      </w:r>
      <w:r>
        <w:rPr>
          <w:rFonts w:ascii="Times New Roman" w:hAnsi="Times New Roman"/>
          <w:color w:val="000000"/>
          <w:sz w:val="24"/>
        </w:rPr>
        <w:t xml:space="preserve">shall have the meaning as set forth in Sections 13(d) and 14(d) of the Securities Exchange Act of 1934, as amended; </w:t>
      </w:r>
      <w:r>
        <w:rPr>
          <w:rFonts w:ascii="Times New Roman" w:hAnsi="Times New Roman"/>
          <w:i/>
          <w:color w:val="000000"/>
          <w:sz w:val="24"/>
        </w:rPr>
        <w:t>provided, however,</w:t>
      </w:r>
      <w:r>
        <w:rPr>
          <w:rFonts w:ascii="Times New Roman" w:hAnsi="Times New Roman"/>
          <w:color w:val="000000"/>
          <w:sz w:val="24"/>
        </w:rPr>
        <w:t>that “</w:t>
      </w:r>
      <w:r>
        <w:rPr>
          <w:rFonts w:ascii="Times New Roman" w:hAnsi="Times New Roman"/>
          <w:b/>
          <w:i/>
          <w:color w:val="000000"/>
          <w:sz w:val="24"/>
        </w:rPr>
        <w:t>Person</w:t>
      </w:r>
      <w:r>
        <w:rPr>
          <w:color w:val="000000"/>
        </w:rPr>
        <w:t xml:space="preserve">” </w:t>
      </w:r>
      <w:r>
        <w:rPr>
          <w:rFonts w:ascii="Times New Roman" w:hAnsi="Times New Roman"/>
          <w:color w:val="000000"/>
          <w:sz w:val="24"/>
        </w:rPr>
        <w:t>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color w:val="000000"/>
        </w:rPr>
        <w:t>“</w:t>
      </w:r>
      <w:r>
        <w:rPr>
          <w:rFonts w:ascii="Times New Roman" w:hAnsi="Times New Roman"/>
          <w:b/>
          <w:i/>
          <w:color w:val="000000"/>
          <w:sz w:val="24"/>
        </w:rPr>
        <w:t>Corporate Status</w:t>
      </w:r>
      <w:r>
        <w:rPr>
          <w:color w:val="000000"/>
        </w:rPr>
        <w:t xml:space="preserve">” </w:t>
      </w:r>
      <w:r>
        <w:rPr>
          <w:rFonts w:ascii="Times New Roman" w:hAnsi="Times New Roman"/>
          <w:color w:val="000000"/>
          <w:sz w:val="24"/>
        </w:rPr>
        <w:t>describes the status of a person who is or was a director, trustee, general partner, managing member, officer, employee, agent or fiduciary of the Company or any other Enterprise.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color w:val="000000"/>
        </w:rPr>
        <w:t>“</w:t>
      </w:r>
      <w:r>
        <w:rPr>
          <w:rFonts w:ascii="Times New Roman" w:hAnsi="Times New Roman"/>
          <w:b/>
          <w:i/>
          <w:color w:val="000000"/>
          <w:sz w:val="24"/>
        </w:rPr>
        <w:t>DGCL</w:t>
      </w:r>
      <w:r>
        <w:rPr>
          <w:color w:val="000000"/>
        </w:rPr>
        <w:t xml:space="preserve">” </w:t>
      </w:r>
      <w:r>
        <w:rPr>
          <w:rFonts w:ascii="Times New Roman" w:hAnsi="Times New Roman"/>
          <w:color w:val="000000"/>
          <w:sz w:val="24"/>
        </w:rPr>
        <w:t>means the General Corporation Law of the State of Delaware.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pPr>
      <w:r>
        <w:rPr>
          <w:color w:val="000000"/>
        </w:rPr>
        <w:t>“</w:t>
      </w:r>
      <w:r>
        <w:rPr>
          <w:rFonts w:ascii="Times New Roman" w:hAnsi="Times New Roman"/>
          <w:b/>
          <w:i/>
          <w:color w:val="000000"/>
          <w:sz w:val="24"/>
        </w:rPr>
        <w:t>Disinterested Director</w:t>
      </w:r>
      <w:r>
        <w:rPr>
          <w:color w:val="000000"/>
        </w:rPr>
        <w:t xml:space="preserve">” </w:t>
      </w:r>
      <w:r>
        <w:rPr>
          <w:rFonts w:ascii="Times New Roman" w:hAnsi="Times New Roman"/>
          <w:color w:val="000000"/>
          <w:sz w:val="24"/>
        </w:rPr>
        <w:t>means a director of the Company who is not and was not a party to the Proceeding in respect of which indemnification is sought by Indemnitee.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color w:val="000000"/>
        </w:rPr>
        <w:t>“</w:t>
      </w:r>
      <w:r>
        <w:rPr>
          <w:rFonts w:ascii="Times New Roman" w:hAnsi="Times New Roman"/>
          <w:b/>
          <w:i/>
          <w:color w:val="000000"/>
          <w:sz w:val="24"/>
        </w:rPr>
        <w:t>Enterprise</w:t>
      </w:r>
      <w:r>
        <w:rPr>
          <w:color w:val="000000"/>
        </w:rPr>
        <w:t xml:space="preserve">” </w:t>
      </w:r>
      <w:r>
        <w:rPr>
          <w:rFonts w:ascii="Times New Roman" w:hAnsi="Times New Roman"/>
          <w:color w:val="000000"/>
          <w:sz w:val="24"/>
        </w:rPr>
        <w:t>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color w:val="000000"/>
        </w:rPr>
        <w:t>“</w:t>
      </w:r>
      <w:r>
        <w:rPr>
          <w:rFonts w:ascii="Times New Roman" w:hAnsi="Times New Roman"/>
          <w:b/>
          <w:i/>
          <w:color w:val="000000"/>
          <w:sz w:val="24"/>
        </w:rPr>
        <w:t>Expenses</w:t>
      </w:r>
      <w:r>
        <w:rPr>
          <w:color w:val="000000"/>
        </w:rPr>
        <w:t xml:space="preserve">” </w:t>
      </w:r>
      <w:r>
        <w:rPr>
          <w:rFonts w:ascii="Times New Roman" w:hAnsi="Times New Roman"/>
          <w:color w:val="000000"/>
          <w:sz w:val="24"/>
        </w:rPr>
        <w:t xml:space="preserve">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 (ii) for purposes of Section 12(d), Expenses incurred by Indemnitee in connection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left"/>
        <w:rPr/>
      </w:pPr>
      <w:r>
        <w:rPr>
          <w:color w:val="000000"/>
        </w:rPr>
        <w:t>“</w:t>
      </w:r>
      <w:r>
        <w:rPr>
          <w:rFonts w:ascii="Times New Roman" w:hAnsi="Times New Roman"/>
          <w:b/>
          <w:i/>
          <w:color w:val="000000"/>
          <w:sz w:val="24"/>
        </w:rPr>
        <w:t>Independent Counsel</w:t>
      </w:r>
      <w:r>
        <w:rPr>
          <w:color w:val="000000"/>
        </w:rPr>
        <w:t xml:space="preserve">” </w:t>
      </w:r>
      <w:r>
        <w:rPr>
          <w:rFonts w:ascii="Times New Roman" w:hAnsi="Times New Roman"/>
          <w:color w:val="000000"/>
          <w:sz w:val="24"/>
        </w:rPr>
        <w:t>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hAnsi="Times New Roman"/>
          <w:b/>
          <w:i/>
          <w:color w:val="000000"/>
          <w:sz w:val="24"/>
        </w:rPr>
        <w:t>Independent Counsel</w:t>
      </w:r>
      <w:r>
        <w:rPr>
          <w:color w:val="000000"/>
        </w:rPr>
        <w:t xml:space="preserve">” </w:t>
      </w:r>
      <w:r>
        <w:rPr>
          <w:rFonts w:ascii="Times New Roman" w:hAnsi="Times New Roman"/>
          <w:color w:val="000000"/>
          <w:sz w:val="24"/>
        </w:rPr>
        <w:t>shall not include any person who, under the applicable standards of professional conduct then prevailing, would have a conflict of interest in representing either the Company or Indemnitee in an action to determine Indemnitee’s rights under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left"/>
        <w:rPr/>
      </w:pPr>
      <w:r>
        <w:rPr>
          <w:color w:val="000000"/>
        </w:rPr>
        <w:t>“</w:t>
      </w:r>
      <w:r>
        <w:rPr>
          <w:rFonts w:ascii="Times New Roman" w:hAnsi="Times New Roman"/>
          <w:b/>
          <w:i/>
          <w:color w:val="000000"/>
          <w:sz w:val="24"/>
        </w:rPr>
        <w:t>Proceeding</w:t>
      </w:r>
      <w:r>
        <w:rPr>
          <w:color w:val="000000"/>
        </w:rPr>
        <w:t xml:space="preserve">” </w:t>
      </w:r>
      <w:r>
        <w:rPr>
          <w:rFonts w:ascii="Times New Roman" w:hAnsi="Times New Roman"/>
          <w:color w:val="000000"/>
          <w:sz w:val="24"/>
        </w:rPr>
        <w:t>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pPr>
      <w:r>
        <w:rPr>
          <w:rFonts w:ascii="Times New Roman" w:hAnsi="Times New Roman"/>
          <w:color w:val="000000"/>
          <w:sz w:val="24"/>
        </w:rPr>
        <w:t>Reference to “</w:t>
      </w:r>
      <w:r>
        <w:rPr>
          <w:rFonts w:ascii="Times New Roman" w:hAnsi="Times New Roman"/>
          <w:b/>
          <w:i/>
          <w:color w:val="000000"/>
          <w:sz w:val="24"/>
        </w:rPr>
        <w:t>other enterprises</w:t>
      </w:r>
      <w:r>
        <w:rPr>
          <w:color w:val="000000"/>
        </w:rPr>
        <w:t xml:space="preserve">” </w:t>
      </w:r>
      <w:r>
        <w:rPr>
          <w:rFonts w:ascii="Times New Roman" w:hAnsi="Times New Roman"/>
          <w:color w:val="000000"/>
          <w:sz w:val="24"/>
        </w:rPr>
        <w:t>shall include employee benefit plans; references to “</w:t>
      </w:r>
      <w:r>
        <w:rPr>
          <w:rFonts w:ascii="Times New Roman" w:hAnsi="Times New Roman"/>
          <w:b/>
          <w:i/>
          <w:color w:val="000000"/>
          <w:sz w:val="24"/>
        </w:rPr>
        <w:t>fines</w:t>
      </w:r>
      <w:r>
        <w:rPr>
          <w:color w:val="000000"/>
        </w:rPr>
        <w:t xml:space="preserve">” </w:t>
      </w:r>
      <w:r>
        <w:rPr>
          <w:rFonts w:ascii="Times New Roman" w:hAnsi="Times New Roman"/>
          <w:color w:val="000000"/>
          <w:sz w:val="24"/>
        </w:rPr>
        <w:t>shall include any excise taxes assessed on a person with respect to any employee benefit plan; references to “</w:t>
      </w:r>
      <w:r>
        <w:rPr>
          <w:rFonts w:ascii="Times New Roman" w:hAnsi="Times New Roman"/>
          <w:b/>
          <w:i/>
          <w:color w:val="000000"/>
          <w:sz w:val="24"/>
        </w:rPr>
        <w:t>serving at the request of the Company</w:t>
      </w:r>
      <w:r>
        <w:rPr>
          <w:color w:val="000000"/>
        </w:rPr>
        <w:t xml:space="preserve">” </w:t>
      </w:r>
      <w:r>
        <w:rPr>
          <w:rFonts w:ascii="Times New Roman" w:hAnsi="Times New Roman"/>
          <w:color w:val="000000"/>
          <w:sz w:val="24"/>
        </w:rPr>
        <w:t>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hAnsi="Times New Roman"/>
          <w:b/>
          <w:i/>
          <w:color w:val="000000"/>
          <w:sz w:val="24"/>
        </w:rPr>
        <w:t>not opposed to the best interests of the Company</w:t>
      </w:r>
      <w:r>
        <w:rPr>
          <w:color w:val="000000"/>
        </w:rPr>
        <w:t xml:space="preserve">” </w:t>
      </w:r>
      <w:r>
        <w:rPr>
          <w:rFonts w:ascii="Times New Roman" w:hAnsi="Times New Roman"/>
          <w:color w:val="000000"/>
          <w:sz w:val="24"/>
        </w:rPr>
        <w:t>as referred to in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b/>
          <w:color w:val="000000"/>
          <w:sz w:val="24"/>
        </w:rPr>
        <w:t>Indemnity in Third-Party Proceedings.</w:t>
      </w:r>
      <w:r>
        <w:rPr>
          <w:color w:val="000000"/>
        </w:rPr>
        <w:t xml:space="preserve"> </w:t>
      </w:r>
      <w:r>
        <w:rPr>
          <w:rFonts w:ascii="Times New Roman" w:hAnsi="Times New Roman"/>
          <w:color w:val="000000"/>
          <w:sz w:val="24"/>
        </w:rPr>
        <w:t>The Company shall indemnify Indemnitee in accordance with the provisions of this 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Indemnity in Proceedings by or in the Right of the Company.</w:t>
      </w:r>
      <w:r>
        <w:rPr>
          <w:color w:val="000000"/>
        </w:rPr>
        <w:t xml:space="preserve"> </w:t>
      </w:r>
      <w:r>
        <w:rPr>
          <w:rFonts w:ascii="Times New Roman" w:hAnsi="Times New Roman"/>
          <w:color w:val="000000"/>
          <w:sz w:val="24"/>
        </w:rPr>
        <w:t xml:space="preserve">The Company shall indemnify Indemnitee in accordance with the 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pPr>
      <w:r>
        <w:rPr>
          <w:rFonts w:ascii="Times New Roman" w:hAnsi="Times New Roman"/>
          <w:b/>
          <w:color w:val="000000"/>
          <w:sz w:val="24"/>
        </w:rPr>
        <w:t>Indemnification for Expenses of a Party Who is Wholly or Partly Successful.</w:t>
      </w:r>
      <w:r>
        <w:rPr>
          <w:color w:val="000000"/>
        </w:rPr>
        <w:t xml:space="preserve"> </w:t>
      </w:r>
      <w:r>
        <w:rPr>
          <w:rFonts w:ascii="Times New Roman" w:hAnsi="Times New Roman"/>
          <w:color w:val="000000"/>
          <w:sz w:val="24"/>
        </w:rPr>
        <w:t>To the extent that Indemnitee is a party to or a 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pPr>
      <w:r>
        <w:rPr>
          <w:rFonts w:ascii="Times New Roman" w:hAnsi="Times New Roman"/>
          <w:b/>
          <w:color w:val="000000"/>
          <w:sz w:val="24"/>
        </w:rPr>
        <w:t>Indemnification for Expenses of a Witness.</w:t>
      </w:r>
      <w:r>
        <w:rPr>
          <w:color w:val="000000"/>
        </w:rPr>
        <w:t xml:space="preserve"> </w:t>
      </w:r>
      <w:r>
        <w:rPr>
          <w:rFonts w:ascii="Times New Roman" w:hAnsi="Times New Roman"/>
          <w:color w:val="000000"/>
          <w:sz w:val="24"/>
        </w:rPr>
        <w:t>To the extent that Indemnitee is, by reason of his or her Corporate Status, a witness in any Proceeding to which Indemnitee is not a party, Indemnitee shall be indemnified to the extent permitted by applicable law against all Expenses actually and reasonably incurred by Indemnitee or on Indemnitee’s behalf in connection therewith.</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Additional Indemnification.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left"/>
        <w:rPr/>
      </w:pPr>
      <w:r>
        <w:rPr>
          <w:rFonts w:ascii="Times New Roman" w:hAnsi="Times New Roman"/>
          <w:color w:val="000000"/>
          <w:sz w:val="24"/>
        </w:rPr>
        <w:t>For purposes of Section 6(a), the meaning of the phrase “</w:t>
      </w:r>
      <w:r>
        <w:rPr>
          <w:rFonts w:ascii="Times New Roman" w:hAnsi="Times New Roman"/>
          <w:b/>
          <w:i/>
          <w:color w:val="000000"/>
          <w:sz w:val="24"/>
        </w:rPr>
        <w:t>to the fullest extent permitted by applicable law</w:t>
      </w:r>
      <w:r>
        <w:rPr>
          <w:color w:val="000000"/>
        </w:rPr>
        <w:t xml:space="preserve">” </w:t>
      </w:r>
      <w:r>
        <w:rPr>
          <w:rFonts w:ascii="Times New Roman" w:hAnsi="Times New Roman"/>
          <w:color w:val="000000"/>
          <w:sz w:val="24"/>
        </w:rPr>
        <w:t>shall include, but not be limited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fullest extent permitted by the provision of the DGCL that authorizes or contemplates additional indemnification by agreement, or the corresponding provision of any amendment to or replacement of the DGCL;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fullest extent authorized or permitted by any amendments to or replacements of the DGCL adopted after the date of this Agreement that increase the extent to which a corporation may indemnify its officers and directors.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pPr>
      <w:r>
        <w:rPr>
          <w:rFonts w:ascii="Times New Roman" w:hAnsi="Times New Roman"/>
          <w:b/>
          <w:color w:val="000000"/>
          <w:sz w:val="24"/>
        </w:rPr>
        <w:t>Exclusions.</w:t>
      </w:r>
      <w:r>
        <w:rPr>
          <w:rFonts w:ascii="Times New Roman" w:hAnsi="Times New Roman"/>
          <w:color w:val="000000"/>
          <w:sz w:val="24"/>
        </w:rPr>
        <w:t>Notwithstanding any provision in this Agreement, the Company shall not be obligated under this Agreement to make any indemnity in connection with any Proceeding (or any part of any Proceeding):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which payment has actually been made to or on behalf of Indemnitee under any statute, insurance policy, indemnity provision, vote or otherwise, except with respect to any excess beyond the amount paid;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left"/>
        <w:rPr/>
      </w:pPr>
      <w:r>
        <w:rPr>
          <w:rFonts w:ascii="Times New Roman" w:hAnsi="Times New Roman"/>
          <w:color w:val="000000"/>
          <w:sz w:val="24"/>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hAnsi="Times New Roman"/>
          <w:b/>
          <w:i/>
          <w:color w:val="000000"/>
          <w:sz w:val="24"/>
        </w:rPr>
        <w:t>Sarbanes-Oxley Act</w:t>
      </w:r>
      <w:r>
        <w:rPr>
          <w:color w:val="000000"/>
        </w:rPr>
        <w:t>”</w:t>
      </w:r>
      <w:r>
        <w:rPr>
          <w:rFonts w:ascii="Times New Roman" w:hAnsi="Times New Roman"/>
          <w:color w:val="000000"/>
          <w:sz w:val="24"/>
        </w:rPr>
        <w:t>), or the payment to the Company of profits arising from the purchase and sale by Indemnitee of securities in violation of Section 306 of the Sarbanes-Oxley Act), if Indemnitee is held liable therefor (including pursuant to any settlement arrangements);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prohibited by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color w:val="000000"/>
          <w:sz w:val="24"/>
        </w:rPr>
        <w:t>Advances of Expenses.</w:t>
      </w:r>
      <w:r>
        <w:rPr>
          <w:color w:val="000000"/>
        </w:rPr>
        <w:t xml:space="preserve"> </w:t>
      </w:r>
      <w:r>
        <w:rPr>
          <w:rFonts w:ascii="Times New Roman" w:hAnsi="Times New Roman"/>
          <w:color w:val="000000"/>
          <w:sz w:val="24"/>
        </w:rPr>
        <w:t>The Company shall advance the Expenses incurred by Indemnitee in connection with any Proceeding prior to its final disposition, and such advancement shall be made as soon as reasonably practicable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Procedures for Notification and Defense of Claim.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Indemnitee shall give the Company such information and cooperation in connection with the Proceeding as may be reasonably appropriate.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shall not be liable to indemnify Indemnitee for any settlement of any Proceeding (or any part thereof) without the Company’s prior written consent, which shall not be unreasonably withheld, conditioned or delayed.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shall not settle any Proceeding (or any part thereof) in a manner that imposes any penalty or liability on Indemnitee without Indemnitee’s prior written consent, which shall not be unreasonably withheld, conditioned or delayed.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Procedures upon Application for Indemnification.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Upon written request by Indemnitee for indemnification pursuant to Section 10(a), a determination with respect to Indemnitee’s entitlement thereto shall be made in the specific case (i) if a Change in Control shall have occurred, at Indemnitee’s written request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left"/>
        <w:rPr/>
      </w:pPr>
      <w:r>
        <w:rPr>
          <w:rFonts w:ascii="Times New Roman" w:hAnsi="Times New Roman"/>
          <w:color w:val="000000"/>
          <w:sz w:val="24"/>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Company agrees to pay the reasonable fees and expenses of any Independent Counsel.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Presumptions and Effect of Certain Proceedings.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11.2.</w:t>
      </w:r>
    </w:p>
    <w:p>
      <w:pPr>
        <w:pStyle w:val="TextBody"/>
        <w:bidi w:val="0"/>
        <w:spacing w:before="240" w:after="283"/>
        <w:jc w:val="left"/>
        <w:rPr/>
      </w:pPr>
      <w:r>
        <w:rPr>
          <w:rFonts w:ascii="Times New Roman" w:hAnsi="Times New Roman"/>
          <w:color w:val="000000"/>
          <w:sz w:val="24"/>
        </w:rPr>
        <w:t xml:space="preserve">The termination of any Proceeding or of any claim, issue or matter therein, by judgment, order, settlement or conviction, or upon a plea of </w:t>
      </w:r>
      <w:r>
        <w:rPr>
          <w:rFonts w:ascii="Times New Roman" w:hAnsi="Times New Roman"/>
          <w:i/>
          <w:color w:val="000000"/>
          <w:sz w:val="24"/>
        </w:rPr>
        <w:t>nolo</w:t>
      </w:r>
      <w:r>
        <w:rPr>
          <w:color w:val="000000"/>
        </w:rPr>
        <w:t xml:space="preserve"> </w:t>
      </w:r>
      <w:r>
        <w:rPr>
          <w:rFonts w:ascii="Times New Roman" w:hAnsi="Times New Roman"/>
          <w:i/>
          <w:color w:val="000000"/>
          <w:sz w:val="24"/>
        </w:rPr>
        <w:t>contendere</w:t>
      </w:r>
      <w:r>
        <w:rPr>
          <w:rFonts w:ascii="Times New Roman" w:hAnsi="Times New Roman"/>
          <w:color w:val="000000"/>
          <w:sz w:val="24"/>
        </w:rPr>
        <w:t>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Neither the knowledge, actions nor failure to act of any other director, officer, agent or employee of the Enterprise shall be imputed to Indemnitee for purposes of determining the right to indemnification under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Remedies of Indemnitee.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Subject to Section 12(e), in the event that (i) a determination is made pursuant to Section 10 of this Agreement that Indemnitee is not entitled to indemnification under this Agreement,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pPr>
      <w:r>
        <w:rPr>
          <w:rFonts w:ascii="Times New Roman" w:hAnsi="Times New Roman"/>
          <w:color w:val="000000"/>
          <w:sz w:val="24"/>
        </w:rPr>
        <w:t xml:space="preserve">(ii)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left"/>
        <w:rPr/>
      </w:pPr>
      <w:r>
        <w:rPr>
          <w:rFonts w:ascii="Times New Roman" w:hAnsi="Times New Roman"/>
          <w:color w:val="000000"/>
          <w:sz w:val="24"/>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Times New Roman" w:hAnsi="Times New Roman"/>
          <w:i/>
          <w:color w:val="000000"/>
          <w:sz w:val="24"/>
        </w:rPr>
        <w:t>de novo</w:t>
      </w:r>
      <w:r>
        <w:rPr>
          <w:color w:val="000000"/>
        </w:rPr>
        <w:t xml:space="preserve"> </w:t>
      </w:r>
      <w:r>
        <w:rPr>
          <w:rFonts w:ascii="Times New Roman" w:hAnsi="Times New Roman"/>
          <w:color w:val="000000"/>
          <w:sz w:val="24"/>
        </w:rPr>
        <w:t>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 (ii) a prohibition of such indemnification under applicable law.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Notwithstanding anything in this Agreement to the contrary, no determination as to entitlement to indemnification shall be required to be made prior to the final disposition of the Proceeding.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pPr>
      <w:r>
        <w:rPr>
          <w:rFonts w:ascii="Times New Roman" w:hAnsi="Times New Roman"/>
          <w:b/>
          <w:color w:val="000000"/>
          <w:sz w:val="24"/>
        </w:rPr>
        <w:t>Contribution.</w:t>
      </w:r>
      <w:r>
        <w:rPr>
          <w:color w:val="000000"/>
        </w:rPr>
        <w:t xml:space="preserve"> </w:t>
      </w:r>
      <w:r>
        <w:rPr>
          <w:rFonts w:ascii="Times New Roman" w:hAnsi="Times New Roman"/>
          <w:color w:val="000000"/>
          <w:sz w:val="24"/>
        </w:rPr>
        <w:t>To the fullest extent permissible under applicable law, if the indemnification provided for in this Agreement is 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The rights of indemnification and to receive advancement of Expenses as provided by this Agreement shall not 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rPr>
        <w:t>[</w:t>
      </w:r>
      <w:r>
        <w:rPr>
          <w:rFonts w:ascii="Times New Roman" w:hAnsi="Times New Roman"/>
          <w:b/>
          <w:color w:val="000000"/>
          <w:sz w:val="24"/>
        </w:rPr>
        <w:t>Primary Responsibility.</w:t>
      </w:r>
      <w:r>
        <w:rPr>
          <w:color w:val="000000"/>
        </w:rPr>
        <w:t xml:space="preserve"> </w:t>
      </w:r>
      <w:r>
        <w:rPr>
          <w:rFonts w:ascii="Times New Roman" w:hAnsi="Times New Roman"/>
          <w:color w:val="000000"/>
          <w:sz w:val="24"/>
        </w:rPr>
        <w:t>The Company acknowledges that Indemnitee has certain rights to indemnification and advancement of expenses provided by [</w:t>
      </w:r>
      <w:r>
        <w:rPr>
          <w:rFonts w:ascii="Times New Roman" w:hAnsi="Times New Roman"/>
          <w:i/>
          <w:color w:val="000000"/>
          <w:sz w:val="24"/>
        </w:rPr>
        <w:t>name of fund</w:t>
      </w:r>
      <w:r>
        <w:rPr>
          <w:rFonts w:ascii="Times New Roman" w:hAnsi="Times New Roman"/>
          <w:color w:val="000000"/>
          <w:sz w:val="24"/>
        </w:rPr>
        <w:t>] and/or certain affiliates thereof (collectively, the “</w:t>
      </w:r>
      <w:r>
        <w:rPr>
          <w:rFonts w:ascii="Times New Roman" w:hAnsi="Times New Roman"/>
          <w:b/>
          <w:i/>
          <w:color w:val="000000"/>
          <w:sz w:val="24"/>
        </w:rPr>
        <w:t>Secondary Indemnitor</w:t>
      </w:r>
      <w:r>
        <w:rPr>
          <w:color w:val="000000"/>
        </w:rPr>
        <w:t>”</w:t>
      </w:r>
      <w:r>
        <w:rPr>
          <w:rFonts w:ascii="Times New Roman" w:hAnsi="Times New Roman"/>
          <w:color w:val="000000"/>
          <w:sz w:val="24"/>
        </w:rPr>
        <w:t xml:space="preserve">). The Company agrees that, as between the Company and the Secondary Indemnitor, the Company is primarily responsible for amounts required to be indemnified or advanced under the Company’s certificate of incorporation or bylaws or this Agreement and any obligation of the Secondary Indemnitor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 with respect to the liabilities for which the Company is primarily responsible under this Section 15. In the event of any payment by the Secondary Indemnitor of amounts otherwise required to be indemnified or advanced by the Company under the Company’s certificate of incorporation or bylaws or this Agreement, the Secondary Indemnitor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w:t>
      </w:r>
      <w:r>
        <w:rPr>
          <w:rFonts w:ascii="Times New Roman" w:hAnsi="Times New Roman"/>
          <w:i/>
          <w:color w:val="000000"/>
          <w:sz w:val="24"/>
        </w:rPr>
        <w:t>provided, however,</w:t>
      </w:r>
      <w:r>
        <w:rPr>
          <w:color w:val="000000"/>
        </w:rPr>
        <w:t xml:space="preserve"> </w:t>
      </w:r>
      <w:r>
        <w:rPr>
          <w:rFonts w:ascii="Times New Roman" w:hAnsi="Times New Roman"/>
          <w:color w:val="000000"/>
          <w:sz w:val="24"/>
        </w:rPr>
        <w:t>that the foregoing sentence will be deemed void if and to the extent that it would violate any applicable insurance policy. The Secondary Indemnitor is an express third-party beneficiary of the terms of this Section 15.</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240" w:after="283"/>
        <w:jc w:val="both"/>
        <w:rPr/>
      </w:pPr>
      <w:r>
        <w:rPr>
          <w:rFonts w:ascii="Times New Roman" w:hAnsi="Times New Roman"/>
          <w:b/>
          <w:color w:val="000000"/>
          <w:sz w:val="24"/>
        </w:rPr>
        <w:t>No Duplication of Payments.</w:t>
      </w:r>
      <w:r>
        <w:rPr>
          <w:color w:val="000000"/>
        </w:rPr>
        <w:t xml:space="preserve"> </w:t>
      </w:r>
      <w:r>
        <w:rPr>
          <w:rFonts w:ascii="Times New Roman" w:hAnsi="Times New Roman"/>
          <w:color w:val="000000"/>
          <w:sz w:val="24"/>
        </w:rPr>
        <w:t>The Company shall not be liable under this Agreement to make any payment of amounts otherwise indemnifiable hereunder (or for which advancement is provided hereunder) if and to the extent that Indemnitee has otherwise actually received payment for such amounts under any insurance policy, contract, agreement or otherwise.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240" w:after="283"/>
        <w:jc w:val="both"/>
        <w:rPr/>
      </w:pPr>
      <w:r>
        <w:rPr>
          <w:rFonts w:ascii="Times New Roman" w:hAnsi="Times New Roman"/>
          <w:b/>
          <w:color w:val="000000"/>
          <w:sz w:val="24"/>
        </w:rPr>
        <w:t>Insurance.</w:t>
      </w:r>
      <w:r>
        <w:rPr>
          <w:color w:val="000000"/>
        </w:rPr>
        <w:t xml:space="preserve"> </w:t>
      </w:r>
      <w:r>
        <w:rPr>
          <w:rFonts w:ascii="Times New Roman" w:hAnsi="Times New Roman"/>
          <w:color w:val="000000"/>
          <w:sz w:val="24"/>
        </w:rPr>
        <w:t>To the extent that the Company maintains an insurance policy or policies providing liability insurance for directors, 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240" w:after="283"/>
        <w:jc w:val="both"/>
        <w:rPr/>
      </w:pPr>
      <w:r>
        <w:rPr>
          <w:rFonts w:ascii="Times New Roman" w:hAnsi="Times New Roman"/>
          <w:b/>
          <w:color w:val="000000"/>
          <w:sz w:val="24"/>
        </w:rPr>
        <w:t>Subrogation.</w:t>
      </w:r>
      <w:r>
        <w:rPr>
          <w:color w:val="000000"/>
        </w:rPr>
        <w:t xml:space="preserve"> </w:t>
      </w:r>
      <w:r>
        <w:rPr>
          <w:rFonts w:ascii="Times New Roman" w:hAnsi="Times New Roman"/>
          <w:color w:val="000000"/>
          <w:sz w:val="24"/>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240" w:after="283"/>
        <w:jc w:val="both"/>
        <w:rPr/>
      </w:pPr>
      <w:r>
        <w:rPr>
          <w:rFonts w:ascii="Times New Roman" w:hAnsi="Times New Roman"/>
          <w:b/>
          <w:color w:val="000000"/>
          <w:sz w:val="24"/>
        </w:rPr>
        <w:t>Services to the Company.</w:t>
      </w:r>
      <w:r>
        <w:rPr>
          <w:color w:val="000000"/>
        </w:rPr>
        <w:t xml:space="preserve"> </w:t>
      </w:r>
      <w:r>
        <w:rPr>
          <w:rFonts w:ascii="Times New Roman" w:hAnsi="Times New Roman"/>
          <w:color w:val="000000"/>
          <w:sz w:val="24"/>
        </w:rPr>
        <w:t>Indemnitee agrees to serve as a director or officer of the Company or, at the request of the Company, as 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240" w:after="283"/>
        <w:jc w:val="both"/>
        <w:rPr/>
      </w:pPr>
      <w:r>
        <w:rPr>
          <w:rFonts w:ascii="Times New Roman" w:hAnsi="Times New Roman"/>
          <w:b/>
          <w:color w:val="000000"/>
          <w:sz w:val="24"/>
        </w:rPr>
        <w:t>Duration.</w:t>
      </w:r>
      <w:r>
        <w:rPr>
          <w:color w:val="000000"/>
        </w:rPr>
        <w:t xml:space="preserve"> </w:t>
      </w:r>
      <w:r>
        <w:rPr>
          <w:rFonts w:ascii="Times New Roman" w:hAnsi="Times New Roman"/>
          <w:color w:val="000000"/>
          <w:sz w:val="24"/>
        </w:rPr>
        <w:t>This Agreement shall continue until and terminate upon the later of (a) ten years after the date that Indemnitee shall 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240" w:after="283"/>
        <w:jc w:val="both"/>
        <w:rPr/>
      </w:pPr>
      <w:r>
        <w:rPr>
          <w:rFonts w:ascii="Times New Roman" w:hAnsi="Times New Roman"/>
          <w:b/>
          <w:color w:val="000000"/>
          <w:sz w:val="24"/>
        </w:rPr>
        <w:t>Successors.</w:t>
      </w:r>
      <w:r>
        <w:rPr>
          <w:color w:val="000000"/>
        </w:rPr>
        <w:t xml:space="preserve"> </w:t>
      </w:r>
      <w:r>
        <w:rPr>
          <w:rFonts w:ascii="Times New Roman" w:hAnsi="Times New Roman"/>
          <w:color w:val="000000"/>
          <w:sz w:val="24"/>
        </w:rPr>
        <w:t>This Agreement shall be binding upon the Company and its successors and assigns, including any direct or indirect successor, by 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240" w:after="283"/>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 xml:space="preserve">Nothing in this Agreement is intended to require or shall be construed as requiring the Company to do or fail to do 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containing any such provision held to be invalid, illegal or unenforceable, that is not itself invalid, illegal or unenforceable) shall be construed so as to give effect to the intent manifested thereby.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240" w:after="283"/>
        <w:jc w:val="both"/>
        <w:rPr/>
      </w:pPr>
      <w:r>
        <w:rPr>
          <w:rFonts w:ascii="Times New Roman" w:hAnsi="Times New Roman"/>
          <w:b/>
          <w:color w:val="000000"/>
          <w:sz w:val="24"/>
        </w:rPr>
        <w:t>Enforcement.</w:t>
      </w:r>
      <w:r>
        <w:rPr>
          <w:color w:val="000000"/>
        </w:rPr>
        <w:t xml:space="preserve"> </w:t>
      </w:r>
      <w:r>
        <w:rPr>
          <w:rFonts w:ascii="Times New Roman" w:hAnsi="Times New Roman"/>
          <w:color w:val="000000"/>
          <w:sz w:val="24"/>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240" w:after="283"/>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this Agreement is a supplement to and in furtherance of the Company’s certificate of incorporation and bylaws and applicable law.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240" w:after="283"/>
        <w:jc w:val="both"/>
        <w:rPr/>
      </w:pPr>
      <w:r>
        <w:rPr>
          <w:rFonts w:ascii="Times New Roman" w:hAnsi="Times New Roman"/>
          <w:b/>
          <w:color w:val="000000"/>
          <w:sz w:val="24"/>
        </w:rPr>
        <w:t>Modification and Waiver.</w:t>
      </w:r>
      <w:r>
        <w:rPr>
          <w:color w:val="000000"/>
        </w:rPr>
        <w:t xml:space="preserve"> </w:t>
      </w:r>
      <w:r>
        <w:rPr>
          <w:rFonts w:ascii="Times New Roman" w:hAnsi="Times New Roman"/>
          <w:color w:val="000000"/>
          <w:sz w:val="24"/>
        </w:rPr>
        <w:t xml:space="preserve">No supplement, modification or amendment to this Agreement shall be binding unless executed in 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240" w:after="283"/>
        <w:jc w:val="both"/>
        <w:rPr/>
      </w:pPr>
      <w:r>
        <w:rPr>
          <w:rFonts w:ascii="Times New Roman" w:hAnsi="Times New Roman"/>
          <w:b/>
          <w:color w:val="000000"/>
          <w:sz w:val="24"/>
        </w:rPr>
        <w:t>Notices.</w:t>
      </w:r>
      <w:r>
        <w:rPr>
          <w:color w:val="000000"/>
        </w:rPr>
        <w:t xml:space="preserve"> </w:t>
      </w:r>
      <w:r>
        <w:rPr>
          <w:rFonts w:ascii="Times New Roman" w:hAnsi="Times New Roman"/>
          <w:color w:val="000000"/>
          <w:sz w:val="24"/>
        </w:rPr>
        <w:t>All notices and other communications required or permitted hereunder shall be in writing and shall be mailed by registered or certified mail, postage prepaid, sent by facsimile or electronic mail or otherwise delivered by hand, messenger or courier service addressed: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to Indemnitee, to Indemnitee’s address, facsimile number or electronic mail address as shown on the signature page of this Agreement or in the Company’s records, as may be updated in accordance with the provisions hereof;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26.2.</w:t>
      </w:r>
    </w:p>
    <w:p>
      <w:pPr>
        <w:pStyle w:val="TextBody"/>
        <w:bidi w:val="0"/>
        <w:spacing w:before="240" w:after="283"/>
        <w:jc w:val="left"/>
        <w:rPr/>
      </w:pPr>
      <w:r>
        <w:rPr>
          <w:rFonts w:ascii="Times New Roman" w:hAnsi="Times New Roman"/>
          <w:color w:val="000000"/>
          <w:sz w:val="24"/>
        </w:rPr>
        <w:t>if to the Company, to the attention of the Chief Executive Officer or Chief Financial Officer of the Company at [</w:t>
      </w:r>
      <w:r>
        <w:rPr>
          <w:color w:val="000000"/>
        </w:rPr>
        <w:t xml:space="preserve"> </w:t>
      </w:r>
      <w:r>
        <w:rPr>
          <w:rFonts w:ascii="Times New Roman" w:hAnsi="Times New Roman"/>
          <w:color w:val="000000"/>
          <w:sz w:val="24"/>
        </w:rPr>
        <w:t>], or at such other current address as the Company shall have furnished to Indemnitee, with a copy (which shall not constitute notice) to Michael Nordtvedt and Bryan King, Wilson Sonsini Goodrich &amp; Rosati, P.C., 701 Fifth Avenue, Suite 5100, Seattle, WA 98104-7036.</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Each such notice or other communication shall for all purposes of this Agreement be treated as effective or having been given (i) if delivered by hand, messenger or courier service, when delivered (or if sent </w:t>
      </w:r>
      <w:r>
        <w:rPr>
          <w:rFonts w:ascii="Times New Roman" w:hAnsi="Times New Roman"/>
          <w:i/>
          <w:color w:val="000000"/>
          <w:sz w:val="24"/>
        </w:rPr>
        <w:t>via</w:t>
      </w:r>
      <w:r>
        <w:rPr>
          <w:rFonts w:ascii="Times New Roman" w:hAnsi="Times New Roman"/>
          <w:color w:val="000000"/>
          <w:sz w:val="20"/>
        </w:rPr>
        <w:t xml:space="preserve"> </w:t>
      </w:r>
      <w:r>
        <w:rPr>
          <w:rFonts w:ascii="Times New Roman" w:hAnsi="Times New Roman"/>
          <w:color w:val="000000"/>
          <w:sz w:val="24"/>
        </w:rPr>
        <w:t xml:space="preserve">a nationally-recognized overnight courier service, freight prepaid, specifying next-business-day delivery, one business day after deposit with the courier), (ii) if sent </w:t>
      </w:r>
      <w:r>
        <w:rPr>
          <w:rFonts w:ascii="Times New Roman" w:hAnsi="Times New Roman"/>
          <w:i/>
          <w:color w:val="000000"/>
          <w:sz w:val="24"/>
        </w:rPr>
        <w:t>via</w:t>
      </w:r>
      <w:r>
        <w:rPr>
          <w:rFonts w:ascii="Times New Roman" w:hAnsi="Times New Roman"/>
          <w:color w:val="000000"/>
          <w:sz w:val="20"/>
        </w:rPr>
        <w:t xml:space="preserve"> </w:t>
      </w:r>
      <w:r>
        <w:rPr>
          <w:rFonts w:ascii="Times New Roman" w:hAnsi="Times New Roman"/>
          <w:color w:val="000000"/>
          <w:sz w:val="24"/>
        </w:rPr>
        <w:t xml:space="preserve">mail, at the earlier of its receipt or five days after the same has been deposited in a regularly-maintained receptacle for the deposit of the United States mail, addressed and mailed as aforesaid, or (iii) if sent </w:t>
      </w:r>
      <w:r>
        <w:rPr>
          <w:rFonts w:ascii="Times New Roman" w:hAnsi="Times New Roman"/>
          <w:i/>
          <w:color w:val="000000"/>
          <w:sz w:val="24"/>
        </w:rPr>
        <w:t>via</w:t>
      </w:r>
      <w:r>
        <w:rPr>
          <w:rFonts w:ascii="Times New Roman" w:hAnsi="Times New Roman"/>
          <w:color w:val="000000"/>
          <w:sz w:val="24"/>
        </w:rPr>
        <w:t xml:space="preserve">facsimile, upon confirmation of facsimile transfer or, if sent </w:t>
      </w:r>
      <w:r>
        <w:rPr>
          <w:rFonts w:ascii="Times New Roman" w:hAnsi="Times New Roman"/>
          <w:i/>
          <w:color w:val="000000"/>
          <w:sz w:val="24"/>
        </w:rPr>
        <w:t>via</w:t>
      </w:r>
      <w:r>
        <w:rPr>
          <w:rFonts w:ascii="Times New Roman" w:hAnsi="Times New Roman"/>
          <w:color w:val="000000"/>
          <w:sz w:val="20"/>
        </w:rPr>
        <w:t xml:space="preserve"> </w:t>
      </w:r>
      <w:r>
        <w:rPr>
          <w:rFonts w:ascii="Times New Roman" w:hAnsi="Times New Roman"/>
          <w:color w:val="000000"/>
          <w:sz w:val="24"/>
        </w:rPr>
        <w:t>electronic mail, upon confirmation of delivery when directed to the relevant electronic mail address, if sent during normal business hours of the recipient, or if not sent during normal business hours of the recipient, then on the recipient’s next business day.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240" w:after="283"/>
        <w:jc w:val="both"/>
        <w:rPr/>
      </w:pPr>
      <w:r>
        <w:rPr>
          <w:rFonts w:ascii="Times New Roman" w:hAnsi="Times New Roman"/>
          <w:b/>
          <w:color w:val="000000"/>
          <w:sz w:val="24"/>
        </w:rPr>
        <w:t>Applicable Law and Consent to Jurisdiction.</w:t>
      </w:r>
      <w:r>
        <w:rPr>
          <w:color w:val="000000"/>
        </w:rPr>
        <w:t xml:space="preserve"> </w:t>
      </w:r>
      <w:r>
        <w:rPr>
          <w:rFonts w:ascii="Times New Roman" w:hAnsi="Times New Roman"/>
          <w:color w:val="000000"/>
          <w:sz w:val="24"/>
        </w:rPr>
        <w:t xml:space="preserve">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appoint, to the extent such party is not otherwise subject to service of process in the State of Delaware, Corporation Service Company, 251 Little Falls Drive, in the City of Wilmington, County of New Castle, Delaware 19808,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240" w:after="283"/>
        <w:jc w:val="both"/>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This Agreement may be executed in one or more counterparts, each of which shall for all purposes be deemed to be 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29.</w:t>
      </w:r>
    </w:p>
    <w:p>
      <w:pPr>
        <w:pStyle w:val="TextBody"/>
        <w:bidi w:val="0"/>
        <w:spacing w:before="240" w:after="283"/>
        <w:jc w:val="both"/>
        <w:rPr/>
      </w:pPr>
      <w:r>
        <w:rPr>
          <w:rFonts w:ascii="Times New Roman" w:hAnsi="Times New Roman"/>
          <w:b/>
          <w:color w:val="000000"/>
          <w:sz w:val="24"/>
        </w:rPr>
        <w:t>Captions.</w:t>
      </w:r>
      <w:r>
        <w:rPr>
          <w:color w:val="000000"/>
        </w:rPr>
        <w:t xml:space="preserve"> </w:t>
      </w:r>
      <w:r>
        <w:rPr>
          <w:rFonts w:ascii="Times New Roman" w:hAnsi="Times New Roman"/>
          <w:color w:val="000000"/>
          <w:sz w:val="24"/>
        </w:rPr>
        <w:t>The headings of the paragraphs of this Agreement are inserted for convenience only and shall not be deemed to constitute part of this Agreement or to affect the construction thereof.</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spacing w:before="240" w:after="283"/>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are signing this Indemnification Agreement as of the date stated in the introductory sentence.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LEONABIO, INC.</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4"/>
        </w:rPr>
        <w:t>)</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Print name</w:t>
      </w:r>
      <w:r>
        <w:rPr>
          <w:rFonts w:ascii="Times New Roman" w:hAnsi="Times New Roman"/>
          <w:color w:val="000000"/>
          <w:sz w:val="24"/>
        </w:rPr>
        <w:t>)</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Title</w:t>
      </w:r>
      <w:r>
        <w:rPr>
          <w:rFonts w:ascii="Times New Roman" w:hAnsi="Times New Roman"/>
          <w:color w:val="000000"/>
          <w:sz w:val="24"/>
        </w:rPr>
        <w:t>)</w:t>
      </w:r>
    </w:p>
    <w:p>
      <w:pPr>
        <w:pStyle w:val="TextBody"/>
        <w:bidi w:val="0"/>
        <w:spacing w:before="720" w:after="283"/>
        <w:jc w:val="both"/>
        <w:rPr/>
      </w:pPr>
      <w:r>
        <w:rPr/>
        <w:t> </w:t>
      </w:r>
    </w:p>
    <w:p>
      <w:pPr>
        <w:pStyle w:val="TextBody"/>
        <w:bidi w:val="0"/>
        <w:spacing w:before="720" w:after="283"/>
        <w:jc w:val="both"/>
        <w:rPr>
          <w:rFonts w:ascii="Times New Roman" w:hAnsi="Times New Roman"/>
          <w:sz w:val="20"/>
        </w:rPr>
      </w:pPr>
      <w:r>
        <w:rPr>
          <w:rFonts w:ascii="Times New Roman" w:hAnsi="Times New Roman"/>
          <w:b/>
          <w:color w:val="000000"/>
          <w:sz w:val="24"/>
        </w:rPr>
        <w:t>[</w:t>
      </w:r>
      <w:r>
        <w:rPr>
          <w:rFonts w:ascii="Times New Roman" w:hAnsi="Times New Roman"/>
          <w:b/>
          <w:i/>
          <w:color w:val="000000"/>
          <w:sz w:val="24"/>
        </w:rPr>
        <w:t>INSERT INDEMNITEE NAME</w:t>
      </w:r>
      <w:r>
        <w:rPr>
          <w:rFonts w:ascii="Times New Roman" w:hAnsi="Times New Roman"/>
          <w:b/>
          <w:color w:val="000000"/>
          <w:sz w:val="24"/>
        </w:rPr>
        <w:t>]</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w:t>
      </w:r>
      <w:r>
        <w:rPr>
          <w:rFonts w:ascii="Times New Roman" w:hAnsi="Times New Roman"/>
          <w:color w:val="000000"/>
          <w:sz w:val="24"/>
        </w:rPr>
        <w:t>)</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Print name</w:t>
      </w:r>
      <w:r>
        <w:rPr>
          <w:rFonts w:ascii="Times New Roman" w:hAnsi="Times New Roman"/>
          <w:color w:val="000000"/>
          <w:sz w:val="24"/>
        </w:rPr>
        <w:t>)</w:t>
      </w:r>
    </w:p>
    <w:p>
      <w:pPr>
        <w:pStyle w:val="TextBody"/>
        <w:bidi w:val="0"/>
        <w:spacing w:before="72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Street address</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both"/>
        <w:rPr>
          <w:rFonts w:ascii="Times New Roman" w:hAnsi="Times New Roman"/>
          <w:sz w:val="20"/>
        </w:rPr>
      </w:pPr>
      <w:r>
        <w:rPr>
          <w:rFonts w:ascii="Times New Roman" w:hAnsi="Times New Roman"/>
          <w:color w:val="000000"/>
          <w:sz w:val="24"/>
        </w:rPr>
        <w:t>_____________________________________</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City, State and ZIP</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lona-ex10_2.htm"/>
      <w:bookmarkStart w:id="42" w:name="kslonaex10_2"/>
      <w:bookmarkEnd w:id="41"/>
      <w:bookmarkEnd w:id="42"/>
      <w:r>
        <w:rPr>
          <w:rFonts w:ascii="Times New Roman" w:hAnsi="Times New Roman"/>
          <w:b/>
          <w:color w:val="000000"/>
          <w:sz w:val="20"/>
        </w:rPr>
        <w:t>Exhibit 10.2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 xml:space="preserve">LEONABIO, INC. </w:t>
        <w:br/>
        <w:t>2014 EQUITY INCENTIVE PLAN</w:t>
      </w:r>
    </w:p>
    <w:p>
      <w:pPr>
        <w:pStyle w:val="TextBody"/>
        <w:bidi w:val="0"/>
        <w:spacing w:before="280" w:after="283"/>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 and Restated on January 9, 2026)</w:t>
      </w:r>
    </w:p>
    <w:p>
      <w:pPr>
        <w:pStyle w:val="TextBody"/>
        <w:bidi w:val="0"/>
        <w:spacing w:before="557" w:after="283"/>
        <w:jc w:val="both"/>
        <w:rPr>
          <w:rFonts w:ascii="Times New Roman" w:hAnsi="Times New Roman"/>
          <w:sz w:val="20"/>
        </w:rPr>
      </w:pPr>
      <w:r>
        <w:rPr>
          <w:rFonts w:ascii="Times New Roman" w:hAnsi="Times New Roman"/>
          <w:b/>
          <w:color w:val="000000"/>
          <w:sz w:val="24"/>
        </w:rPr>
        <w:t>1.</w:t>
      </w:r>
      <w:r>
        <w:rPr>
          <w:rFonts w:ascii="Times New Roman" w:hAnsi="Times New Roman"/>
          <w:color w:val="000000"/>
          <w:sz w:val="20"/>
        </w:rPr>
        <w:t xml:space="preserve"> </w:t>
      </w:r>
      <w:r>
        <w:rPr>
          <w:rFonts w:ascii="Times New Roman" w:hAnsi="Times New Roman"/>
          <w:b/>
          <w:color w:val="000000"/>
          <w:sz w:val="24"/>
        </w:rPr>
        <w:t>GENERAL.</w:t>
      </w:r>
    </w:p>
    <w:p>
      <w:pPr>
        <w:pStyle w:val="TextBody"/>
        <w:bidi w:val="0"/>
        <w:spacing w:before="273"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3" w:after="283"/>
        <w:jc w:val="both"/>
        <w:rPr/>
      </w:pPr>
      <w:r>
        <w:rPr>
          <w:rFonts w:ascii="Times New Roman" w:hAnsi="Times New Roman"/>
          <w:b/>
          <w:color w:val="000000"/>
          <w:sz w:val="24"/>
        </w:rPr>
        <w:t>Eligible Stock Award Recipients</w:t>
      </w:r>
      <w:r>
        <w:rPr>
          <w:rFonts w:ascii="Times New Roman" w:hAnsi="Times New Roman"/>
          <w:color w:val="000000"/>
          <w:sz w:val="24"/>
        </w:rPr>
        <w:t>. The persons eligible to receive Stock Awards are Employees, Directors and Consultants.</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6" w:after="283"/>
        <w:jc w:val="both"/>
        <w:rPr/>
      </w:pPr>
      <w:r>
        <w:rPr>
          <w:rFonts w:ascii="Times New Roman" w:hAnsi="Times New Roman"/>
          <w:b/>
          <w:color w:val="000000"/>
          <w:sz w:val="24"/>
        </w:rPr>
        <w:t>Available Stock Awards</w:t>
      </w:r>
      <w:r>
        <w:rPr>
          <w:rFonts w:ascii="Times New Roman" w:hAnsi="Times New Roman"/>
          <w:color w:val="000000"/>
          <w:sz w:val="24"/>
        </w:rPr>
        <w:t>. The Plan provides for the grant of the following Stock Awards: (i) Incentive Stock Options, (ii) Nonstatutory Stock Options, (iii) Stock Appreciation Rights, (iv) Restricted Stock Awards, and (v) Restricted Stock Unit Awards.</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8" w:after="283"/>
        <w:jc w:val="both"/>
        <w:rPr/>
      </w:pPr>
      <w:r>
        <w:rPr>
          <w:rFonts w:ascii="Times New Roman" w:hAnsi="Times New Roman"/>
          <w:b/>
          <w:color w:val="000000"/>
          <w:sz w:val="24"/>
        </w:rPr>
        <w:t>Purpose</w:t>
      </w:r>
      <w:r>
        <w:rPr>
          <w:rFonts w:ascii="Times New Roman" w:hAnsi="Times New Roman"/>
          <w:color w:val="000000"/>
          <w:sz w:val="24"/>
        </w:rPr>
        <w:t>. The Company, by means of the Plan, seeks to secure and retain the services of the group of persons eligible to receive Stock Awards as set forth in Section l(a),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pStyle w:val="TextBody"/>
        <w:bidi w:val="0"/>
        <w:spacing w:before="280" w:after="283"/>
        <w:jc w:val="both"/>
        <w:rPr>
          <w:rFonts w:ascii="Times New Roman" w:hAnsi="Times New Roman"/>
          <w:sz w:val="20"/>
        </w:rPr>
      </w:pP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b/>
          <w:color w:val="000000"/>
          <w:sz w:val="24"/>
        </w:rPr>
        <w:t>ADMINISTRATION.</w:t>
      </w:r>
    </w:p>
    <w:p>
      <w:pPr>
        <w:pStyle w:val="TextBody"/>
        <w:bidi w:val="0"/>
        <w:spacing w:before="275"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5" w:after="283"/>
        <w:jc w:val="both"/>
        <w:rPr/>
      </w:pPr>
      <w:r>
        <w:rPr>
          <w:rFonts w:ascii="Times New Roman" w:hAnsi="Times New Roman"/>
          <w:b/>
          <w:color w:val="000000"/>
          <w:sz w:val="24"/>
        </w:rPr>
        <w:t>Administration by Board</w:t>
      </w:r>
      <w:r>
        <w:rPr>
          <w:rFonts w:ascii="Times New Roman" w:hAnsi="Times New Roman"/>
          <w:color w:val="000000"/>
          <w:sz w:val="24"/>
        </w:rPr>
        <w:t>. The Board shall administer the Plan unless and until the Board delegates administration of the Plan to a Committee or Committees, as provided in Section 2(c).</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4" w:after="283"/>
        <w:jc w:val="both"/>
        <w:rPr/>
      </w:pPr>
      <w:r>
        <w:rPr>
          <w:rFonts w:ascii="Times New Roman" w:hAnsi="Times New Roman"/>
          <w:b/>
          <w:color w:val="000000"/>
          <w:sz w:val="24"/>
        </w:rPr>
        <w:t>Powers of Board</w:t>
      </w:r>
      <w:r>
        <w:rPr>
          <w:rFonts w:ascii="Times New Roman" w:hAnsi="Times New Roman"/>
          <w:color w:val="000000"/>
          <w:sz w:val="24"/>
        </w:rPr>
        <w:t>. The Board shall have the power, subject to, and within the limitations of, the express provisions of the Plan: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settle all controversies regarding the Plan and Stock Awards granted under it.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suspend or terminate the Plan at any time. Suspension or termination of the Plan shall not impair rights and obligations under any Stock Award granted while the Plan is in effect except with the written consent of the affected Participant.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or as provided in Section 2(b)(xi) relating to an Exchange Program,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 (E) 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 (2) such Participant consents in writing.</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submit any amendment to the Plan for stockholder approval, including, but not limited to, amendments to the Plan intended to satisfy the requirements of Section 422 of the Code regarding Incentive Stock Options.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provided however,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Generally, to exercise such powers and to perform such acts as the Board deems necessary or expedient to promote the best interests of the Company and that are not in conflict with the provisions of the Plan or Stock Awards.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adopt such procedures and sub-plans as are necessary or appropriate to permit participation in the Plan by Employees, Directors or Consultants who are foreign nationals or employed outside the United States.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78" w:after="283"/>
        <w:jc w:val="both"/>
        <w:rPr/>
      </w:pPr>
      <w:r>
        <w:rPr>
          <w:rFonts w:ascii="Times New Roman" w:hAnsi="Times New Roman"/>
          <w:color w:val="000000"/>
          <w:sz w:val="24"/>
        </w:rPr>
        <w:t>To effect, at any time and from time to time, including unilaterally, but subject to the consent of any adversely affected Participant, (A) the increase or reduction of the exercise price (or strike price) of any outstanding Stock Award, (B) the cancellation or surrender of any outstanding Stock Award under the Plan in exchange for awards of the same type (which may have higher or lower exercise prices and different terms), awards of a different type, cash, and/or other valuable consideration (as determined by the Board, in its sole discretion), (C) an arrangement whereby Participants would have the opportunity to transfer any outstanding Stock Awards to a financial institution or other person or entity selected by the Board, and/or (D) any other action that is treated as a repricing under generally accepted accounting principles (each, an “</w:t>
      </w:r>
      <w:r>
        <w:rPr>
          <w:rFonts w:ascii="Times New Roman" w:hAnsi="Times New Roman"/>
          <w:b/>
          <w:color w:val="000000"/>
          <w:sz w:val="24"/>
        </w:rPr>
        <w:t>Exchange Program</w:t>
      </w:r>
      <w:r>
        <w:rPr>
          <w:color w:val="000000"/>
        </w:rPr>
        <w:t>”</w:t>
      </w:r>
      <w:r>
        <w:rPr>
          <w:rFonts w:ascii="Times New Roman" w:hAnsi="Times New Roman"/>
          <w:color w:val="000000"/>
          <w:sz w:val="24"/>
        </w:rPr>
        <w:t>). The Board, in its sole discretion, will determine the terms and conditions of any Exchange Program.</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4" w:after="283"/>
        <w:jc w:val="both"/>
        <w:rPr/>
      </w:pPr>
      <w:r>
        <w:rPr>
          <w:rFonts w:ascii="Times New Roman" w:hAnsi="Times New Roman"/>
          <w:b/>
          <w:color w:val="000000"/>
          <w:sz w:val="24"/>
        </w:rPr>
        <w:t>Delegation to Committee</w:t>
      </w:r>
      <w:r>
        <w:rPr>
          <w:rFonts w:ascii="Times New Roman" w:hAnsi="Times New Roman"/>
          <w:color w:val="000000"/>
          <w:sz w:val="24"/>
        </w:rPr>
        <w:t xml:space="preserve">. The Board may delegate some or all of the administration of the Plan to a Committee or Committees. If 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78" w:after="283"/>
        <w:jc w:val="both"/>
        <w:rPr/>
      </w:pPr>
      <w:r>
        <w:rPr>
          <w:rFonts w:ascii="Times New Roman" w:hAnsi="Times New Roman"/>
          <w:b/>
          <w:color w:val="000000"/>
          <w:sz w:val="24"/>
        </w:rPr>
        <w:t>Delegation to an Officer</w:t>
      </w:r>
      <w:r>
        <w:rPr>
          <w:rFonts w:ascii="Times New Roman" w:hAnsi="Times New Roman"/>
          <w:color w:val="000000"/>
          <w:sz w:val="24"/>
        </w:rPr>
        <w:t>. The Board may delegate to one or more Officers of the Company the authority to do one or both of the following: (i) 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provided, however,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78" w:after="283"/>
        <w:jc w:val="both"/>
        <w:rPr/>
      </w:pPr>
      <w:r>
        <w:rPr>
          <w:rFonts w:ascii="Times New Roman" w:hAnsi="Times New Roman"/>
          <w:b/>
          <w:color w:val="000000"/>
          <w:sz w:val="24"/>
        </w:rPr>
        <w:t>Effect of Board’s Decision</w:t>
      </w:r>
      <w:r>
        <w:rPr>
          <w:rFonts w:ascii="Times New Roman" w:hAnsi="Times New Roman"/>
          <w:color w:val="000000"/>
          <w:sz w:val="24"/>
        </w:rPr>
        <w:t>. All determinations, interpretations and constructions made by the Board in good faith shall not be subject to review by any person and shall be final, binding and conclusive on all persons.</w:t>
      </w:r>
    </w:p>
    <w:p>
      <w:pPr>
        <w:pStyle w:val="TextBody"/>
        <w:bidi w:val="0"/>
        <w:spacing w:before="279" w:after="283"/>
        <w:jc w:val="both"/>
        <w:rPr>
          <w:rFonts w:ascii="Times New Roman" w:hAnsi="Times New Roman"/>
          <w:sz w:val="20"/>
        </w:rPr>
      </w:pP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b/>
          <w:color w:val="000000"/>
          <w:sz w:val="24"/>
        </w:rPr>
        <w:t>SHARES SUBJECT TO THE PLAN.</w:t>
      </w:r>
    </w:p>
    <w:p>
      <w:pPr>
        <w:pStyle w:val="TextBody"/>
        <w:bidi w:val="0"/>
        <w:spacing w:before="277"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7" w:after="283"/>
        <w:jc w:val="both"/>
        <w:rPr/>
      </w:pPr>
      <w:r>
        <w:rPr>
          <w:rFonts w:ascii="Times New Roman" w:hAnsi="Times New Roman"/>
          <w:b/>
          <w:color w:val="000000"/>
          <w:sz w:val="24"/>
        </w:rPr>
        <w:t>Share Reserve</w:t>
      </w:r>
      <w:r>
        <w:rPr>
          <w:rFonts w:ascii="Times New Roman" w:hAnsi="Times New Roman"/>
          <w:color w:val="000000"/>
          <w:sz w:val="24"/>
        </w:rPr>
        <w:t>. Subject to the provisions of Section 9(a) relating to Capitalization Adjustments, the aggregate number of shares of Common Stock that may be issued pursuant to Stock Awards beginning on the Effective Date shall not exceed thirteen thousand two hundred forty (13,240) shares (the “</w:t>
      </w:r>
      <w:r>
        <w:rPr>
          <w:rFonts w:ascii="Times New Roman" w:hAnsi="Times New Roman"/>
          <w:b/>
          <w:i/>
          <w:color w:val="000000"/>
          <w:sz w:val="24"/>
        </w:rPr>
        <w:t>Share Reserve</w:t>
      </w:r>
      <w:r>
        <w:rPr>
          <w:color w:val="000000"/>
        </w:rPr>
        <w:t>”</w:t>
      </w:r>
      <w:r>
        <w:rPr>
          <w:rFonts w:ascii="Times New Roman" w:hAnsi="Times New Roman"/>
          <w:color w:val="000000"/>
          <w:sz w:val="24"/>
        </w:rPr>
        <w:t>). Furthermore, if a Stock Award (i) expires or otherwise terminates without having been exercised in full or (ii) is settled in cash (</w:t>
      </w:r>
      <w:r>
        <w:rPr>
          <w:rFonts w:ascii="Times New Roman" w:hAnsi="Times New Roman"/>
          <w:i/>
          <w:color w:val="000000"/>
          <w:sz w:val="24"/>
        </w:rPr>
        <w:t>i.e.</w:t>
      </w:r>
      <w:r>
        <w:rPr>
          <w:rFonts w:ascii="Times New Roman" w:hAnsi="Times New Roman"/>
          <w:color w:val="000000"/>
          <w:sz w:val="24"/>
        </w:rPr>
        <w:t>, the holder of the Stock Award receives cash rather than stock), such expiration, termination or settlement shall not reduce (or otherwise offset) the number of shares of Common Stock that may be issued pursuant to the Plan. For clarity, the limitation in this Section 3(a) is a limitation in the number of shares of Common Stock that may be issued pursuant to the Plan. Accordingly, this Section 3(a) does not limit the granting of Stock Awards except as provided in Section 7(a).</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4" w:after="283"/>
        <w:jc w:val="both"/>
        <w:rPr/>
      </w:pPr>
      <w:r>
        <w:rPr>
          <w:rFonts w:ascii="Times New Roman" w:hAnsi="Times New Roman"/>
          <w:b/>
          <w:color w:val="000000"/>
          <w:sz w:val="24"/>
        </w:rPr>
        <w:t>Reversion of Shares to the Share Reserve</w:t>
      </w:r>
      <w:r>
        <w:rPr>
          <w:rFonts w:ascii="Times New Roman" w:hAnsi="Times New Roman"/>
          <w:color w:val="000000"/>
          <w:sz w:val="24"/>
        </w:rPr>
        <w:t>. If any shares of Common Stock issued pursuant to a Stock Award are forfeited back to the 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8" w:after="283"/>
        <w:jc w:val="both"/>
        <w:rPr/>
      </w:pPr>
      <w:r>
        <w:rPr>
          <w:rFonts w:ascii="Times New Roman" w:hAnsi="Times New Roman"/>
          <w:b/>
          <w:color w:val="000000"/>
          <w:sz w:val="24"/>
        </w:rPr>
        <w:t>Incentive Stock Option Limit</w:t>
      </w:r>
      <w:r>
        <w:rPr>
          <w:rFonts w:ascii="Times New Roman" w:hAnsi="Times New Roman"/>
          <w:color w:val="000000"/>
          <w:sz w:val="24"/>
        </w:rPr>
        <w:t>. Notwithstanding anything to the contrary in this Section 3(c), subject to the provisions of Section 9(a) relating to Capitalization Adjustments, the aggregate maximum number of shares of Common Stock that may be issued pursuant to the exercise of Incentive Stock Options shall be three (3) times the Share Reserve.</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76" w:after="283"/>
        <w:jc w:val="both"/>
        <w:rPr/>
      </w:pPr>
      <w:r>
        <w:rPr>
          <w:rFonts w:ascii="Times New Roman" w:hAnsi="Times New Roman"/>
          <w:b/>
          <w:color w:val="000000"/>
          <w:sz w:val="24"/>
        </w:rPr>
        <w:t>Source of Shares</w:t>
      </w:r>
      <w:r>
        <w:rPr>
          <w:rFonts w:ascii="Times New Roman" w:hAnsi="Times New Roman"/>
          <w:color w:val="000000"/>
          <w:sz w:val="24"/>
        </w:rPr>
        <w:t>. The stock issuable under the Plan shall be shares of authorized but unissued or reacquired Common Stock, including shares repurchased by the Company on the open market or otherwise.</w:t>
      </w:r>
    </w:p>
    <w:p>
      <w:pPr>
        <w:pStyle w:val="TextBody"/>
        <w:bidi w:val="0"/>
        <w:spacing w:before="279" w:after="283"/>
        <w:jc w:val="both"/>
        <w:rPr>
          <w:rFonts w:ascii="Times New Roman" w:hAnsi="Times New Roman"/>
          <w:sz w:val="20"/>
        </w:rPr>
      </w:pP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b/>
          <w:color w:val="000000"/>
          <w:sz w:val="24"/>
        </w:rPr>
        <w:t>ELIGIBILITY.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3"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Eligibility for Specific Stock Awards</w:t>
      </w:r>
      <w:r>
        <w:rPr>
          <w:rFonts w:ascii="Times New Roman" w:hAnsi="Times New Roman"/>
          <w:color w:val="000000"/>
          <w:sz w:val="24"/>
        </w:rPr>
        <w:t>. Incentive Stock Options may be granted only to employees of the Company or a “parent corporation” or “subsidiary corporation” thereof (as such terms are defined in Sections 424(e) and (f) of the Code). Stock Awards other than Incentive Stock Options may be granted to Employees, Directors and Consultants; provided, however, Nonstatutory Stock Options and SARs may not be granted to Employees, Directors and Consultants who are providing Continuous Service 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4" w:after="283"/>
        <w:jc w:val="both"/>
        <w:rPr/>
      </w:pPr>
      <w:r>
        <w:rPr>
          <w:rFonts w:ascii="Times New Roman" w:hAnsi="Times New Roman"/>
          <w:b/>
          <w:color w:val="000000"/>
          <w:sz w:val="24"/>
        </w:rPr>
        <w:t>Ten Percent Shareholders</w:t>
      </w:r>
      <w:r>
        <w:rPr>
          <w:rFonts w:ascii="Times New Roman" w:hAnsi="Times New Roman"/>
          <w:color w:val="000000"/>
          <w:sz w:val="24"/>
        </w:rPr>
        <w:t>. A Ten Percent Shareholder shall not be granted an Incentive Stock Option unless the exercise price of such Option is at least one hundred ten percent (110%) of the Fair Market Value on the date of grant and the Option is not exercisable after the expiration of five (5) years from the date of grant.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6" w:after="283"/>
        <w:jc w:val="both"/>
        <w:rPr/>
      </w:pPr>
      <w:r>
        <w:rPr>
          <w:rFonts w:ascii="Times New Roman" w:hAnsi="Times New Roman"/>
          <w:b/>
          <w:color w:val="000000"/>
          <w:sz w:val="24"/>
        </w:rPr>
        <w:t>Consultants</w:t>
      </w:r>
      <w:r>
        <w:rPr>
          <w:rFonts w:ascii="Times New Roman" w:hAnsi="Times New Roman"/>
          <w:color w:val="000000"/>
          <w:sz w:val="24"/>
        </w:rPr>
        <w:t>. A Consultant shall not be eligible for the grant of a Stock Award if, at the time of grant, either the offer or the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pStyle w:val="TextBody"/>
        <w:bidi w:val="0"/>
        <w:spacing w:before="274" w:after="283"/>
        <w:jc w:val="both"/>
        <w:rPr>
          <w:rFonts w:ascii="Times New Roman" w:hAnsi="Times New Roman"/>
          <w:sz w:val="20"/>
        </w:rPr>
      </w:pPr>
      <w:r>
        <w:rPr>
          <w:rFonts w:ascii="Times New Roman" w:hAnsi="Times New Roman"/>
          <w:b/>
          <w:color w:val="000000"/>
          <w:sz w:val="24"/>
        </w:rPr>
        <w:t>5.</w:t>
      </w:r>
      <w:r>
        <w:rPr>
          <w:rFonts w:ascii="Times New Roman" w:hAnsi="Times New Roman"/>
          <w:color w:val="000000"/>
          <w:sz w:val="20"/>
        </w:rPr>
        <w:t xml:space="preserve"> </w:t>
      </w:r>
      <w:r>
        <w:rPr>
          <w:rFonts w:ascii="Times New Roman" w:hAnsi="Times New Roman"/>
          <w:b/>
          <w:color w:val="000000"/>
          <w:sz w:val="24"/>
        </w:rPr>
        <w:t>PROVISIONS RELATING TO OPTIONS AND STOCK APPRECIATION RIGHTS.</w:t>
      </w:r>
    </w:p>
    <w:p>
      <w:pPr>
        <w:pStyle w:val="TextBody"/>
        <w:bidi w:val="0"/>
        <w:spacing w:before="274" w:after="283"/>
        <w:jc w:val="both"/>
        <w:rPr>
          <w:rFonts w:ascii="Times New Roman" w:hAnsi="Times New Roman"/>
          <w:sz w:val="20"/>
        </w:rPr>
      </w:pPr>
      <w:r>
        <w:rPr>
          <w:rFonts w:ascii="Times New Roman" w:hAnsi="Times New Roman"/>
          <w:color w:val="000000"/>
          <w:sz w:val="24"/>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Times New Roman" w:hAnsi="Times New Roman"/>
          <w:i/>
          <w:color w:val="000000"/>
          <w:sz w:val="24"/>
        </w:rPr>
        <w:t>provided, however</w:t>
      </w:r>
      <w:r>
        <w:rPr>
          <w:rFonts w:ascii="Times New Roman" w:hAnsi="Times New Roman"/>
          <w:color w:val="000000"/>
          <w:sz w:val="24"/>
        </w:rPr>
        <w:t>, that each Option Agreement or Stock Appreciation Right Agreement shall conform to (through incorporation of provisions hereof by reference in the applicable Stock Award Agreement or otherwise) the substance of each of the following provisions:</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6" w:after="283"/>
        <w:jc w:val="both"/>
        <w:rPr/>
      </w:pPr>
      <w:r>
        <w:rPr>
          <w:rFonts w:ascii="Times New Roman" w:hAnsi="Times New Roman"/>
          <w:b/>
          <w:color w:val="000000"/>
          <w:sz w:val="24"/>
        </w:rPr>
        <w:t>Term</w:t>
      </w:r>
      <w:r>
        <w:rPr>
          <w:rFonts w:ascii="Times New Roman" w:hAnsi="Times New Roman"/>
          <w:color w:val="000000"/>
          <w:sz w:val="24"/>
        </w:rPr>
        <w:t>. Subject to the provisions of Section 4(b) regarding Ten Percent Shareholders, no Option or SAR shall be exercisable after the expiration of ten (10) years from the date of its grant or such shorter period specified in the Stock Award Agreement.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6" w:after="283"/>
        <w:jc w:val="both"/>
        <w:rPr/>
      </w:pPr>
      <w:r>
        <w:rPr>
          <w:rFonts w:ascii="Times New Roman" w:hAnsi="Times New Roman"/>
          <w:b/>
          <w:color w:val="000000"/>
          <w:sz w:val="24"/>
        </w:rPr>
        <w:t>Exercise Price</w:t>
      </w:r>
      <w:r>
        <w:rPr>
          <w:rFonts w:ascii="Times New Roman" w:hAnsi="Times New Roman"/>
          <w:color w:val="000000"/>
          <w:sz w:val="24"/>
        </w:rPr>
        <w:t>. Subject to the provisions of Section 4(b) regarding Incentive Stock Options granted to Ten Percent Shareholders, the exercise 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6" w:after="283"/>
        <w:jc w:val="both"/>
        <w:rPr/>
      </w:pPr>
      <w:r>
        <w:rPr>
          <w:rFonts w:ascii="Times New Roman" w:hAnsi="Times New Roman"/>
          <w:b/>
          <w:color w:val="000000"/>
          <w:sz w:val="24"/>
        </w:rPr>
        <w:t>Consideration for Options</w:t>
      </w:r>
      <w:r>
        <w:rPr>
          <w:rFonts w:ascii="Times New Roman" w:hAnsi="Times New Roman"/>
          <w:color w:val="000000"/>
          <w:sz w:val="24"/>
        </w:rPr>
        <w:t xml:space="preserve">. The purchase price of Common Stock acquired pursuant to the exercise of an Option shall be paid, to the extent 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ability. to use certain methods) and to grant Options that require the consent of the Company to utilize a particular method of payment. The permitted methods of payment are as follows: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by cash, check, bank draft or money order payable to the Company;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by delivery to the Company (either by actual delivery or attestation) of shares of Common Stock;</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8" w:after="283"/>
        <w:jc w:val="both"/>
        <w:rPr/>
      </w:pPr>
      <w:r>
        <w:rPr>
          <w:rFonts w:ascii="Times New Roman" w:hAnsi="Times New Roman"/>
          <w:color w:val="000000"/>
          <w:sz w:val="24"/>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hAnsi="Times New Roman"/>
          <w:i/>
          <w:color w:val="000000"/>
          <w:sz w:val="24"/>
        </w:rPr>
        <w:t>provided, however</w:t>
      </w:r>
      <w:r>
        <w:rPr>
          <w:rFonts w:ascii="Times New Roman" w:hAnsi="Times New Roman"/>
          <w:color w:val="000000"/>
          <w:sz w:val="24"/>
        </w:rPr>
        <w:t xml:space="preserve">, that the Company shall accept a cash or other payment from the Participant to the extent of any remaining balance of the aggregate exercise price not satisfied by such reduction in the number of whole shares to be issued; </w:t>
      </w:r>
      <w:r>
        <w:rPr>
          <w:rFonts w:ascii="Times New Roman" w:hAnsi="Times New Roman"/>
          <w:i/>
          <w:color w:val="000000"/>
          <w:sz w:val="24"/>
        </w:rPr>
        <w:t>provided, further</w:t>
      </w:r>
      <w:r>
        <w:rPr>
          <w:rFonts w:ascii="Times New Roman" w:hAnsi="Times New Roman"/>
          <w:color w:val="000000"/>
          <w:sz w:val="24"/>
        </w:rPr>
        <w:t>,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8" w:after="283"/>
        <w:jc w:val="both"/>
        <w:rPr/>
      </w:pPr>
      <w:r>
        <w:rPr>
          <w:rFonts w:ascii="Times New Roman" w:hAnsi="Times New Roman"/>
          <w:color w:val="000000"/>
          <w:sz w:val="24"/>
        </w:rPr>
        <w:t xml:space="preserve">according to a deferred payment or similar arrangement with the Optionholder; </w:t>
      </w:r>
      <w:r>
        <w:rPr>
          <w:rFonts w:ascii="Times New Roman" w:hAnsi="Times New Roman"/>
          <w:i/>
          <w:color w:val="000000"/>
          <w:sz w:val="24"/>
        </w:rPr>
        <w:t>provided, however</w:t>
      </w:r>
      <w:r>
        <w:rPr>
          <w:rFonts w:ascii="Times New Roman" w:hAnsi="Times New Roman"/>
          <w:color w:val="000000"/>
          <w:sz w:val="24"/>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in any other form of legal consideration that may be acceptable to the Board.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76" w:after="283"/>
        <w:jc w:val="both"/>
        <w:rPr/>
      </w:pPr>
      <w:r>
        <w:rPr>
          <w:rFonts w:ascii="Times New Roman" w:hAnsi="Times New Roman"/>
          <w:b/>
          <w:color w:val="000000"/>
          <w:sz w:val="24"/>
        </w:rPr>
        <w:t>Exercise and Payment of a SAR</w:t>
      </w:r>
      <w:r>
        <w:rPr>
          <w:rFonts w:ascii="Times New Roman" w:hAnsi="Times New Roman"/>
          <w:color w:val="000000"/>
          <w:sz w:val="24"/>
        </w:rPr>
        <w:t xml:space="preserve">. To exercise any outstanding Stock Appreciation Right, the Participant must provide 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Common </w:t>
      </w:r>
      <w:r>
        <w:rPr>
          <w:rFonts w:ascii="Times New Roman" w:hAnsi="Times New Roman"/>
          <w:color w:val="000000"/>
          <w:sz w:val="22"/>
        </w:rPr>
        <w:t>Stock, in cash, in any combination of the two or in any other form of consideration, as determined by the Board and contained in the Stock Appreciation Right Agreement evidencing such Stock Appreciation Right.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76" w:after="283"/>
        <w:jc w:val="both"/>
        <w:rPr/>
      </w:pPr>
      <w:r>
        <w:rPr>
          <w:rFonts w:ascii="Times New Roman" w:hAnsi="Times New Roman"/>
          <w:b/>
          <w:color w:val="000000"/>
          <w:sz w:val="24"/>
        </w:rPr>
        <w:t>Transferability of Options and SARs</w:t>
      </w:r>
      <w:r>
        <w:rPr>
          <w:rFonts w:ascii="Times New Roman" w:hAnsi="Times New Roman"/>
          <w:color w:val="000000"/>
          <w:sz w:val="24"/>
        </w:rPr>
        <w:t>. The Board may, in its sole discretion, impose such limitations on the transferability of Options and SARs as the Board shall determine. In the absence of such a determination by the Board to the contrary, the fo11owing restrictions on the transferability of Options and SARs shall apply:</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78" w:after="283"/>
        <w:jc w:val="both"/>
        <w:rPr/>
      </w:pPr>
      <w:r>
        <w:rPr>
          <w:rFonts w:ascii="Times New Roman" w:hAnsi="Times New Roman"/>
          <w:b/>
          <w:color w:val="000000"/>
          <w:sz w:val="24"/>
        </w:rPr>
        <w:t>Restrictions on Transfer</w:t>
      </w:r>
      <w:r>
        <w:rPr>
          <w:rFonts w:ascii="Times New Roman" w:hAnsi="Times New Roman"/>
          <w:color w:val="000000"/>
          <w:sz w:val="24"/>
        </w:rPr>
        <w:t xml:space="preserve">. An Option or SAR shall not be transferable except by will or by the laws of descent and distribution and shall be exercisable during the lifetime of the Participant only by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8" w:after="283"/>
        <w:jc w:val="both"/>
        <w:rPr/>
      </w:pPr>
      <w:r>
        <w:rPr>
          <w:rFonts w:ascii="Times New Roman" w:hAnsi="Times New Roman"/>
          <w:color w:val="000000"/>
          <w:sz w:val="24"/>
        </w:rPr>
        <w:t xml:space="preserve">Participant; </w:t>
      </w:r>
      <w:r>
        <w:rPr>
          <w:rFonts w:ascii="Times New Roman" w:hAnsi="Times New Roman"/>
          <w:i/>
          <w:color w:val="000000"/>
          <w:sz w:val="24"/>
        </w:rPr>
        <w:t>provided, however</w:t>
      </w:r>
      <w:r>
        <w:rPr>
          <w:rFonts w:ascii="Times New Roman" w:hAnsi="Times New Roman"/>
          <w:color w:val="000000"/>
          <w:sz w:val="24"/>
        </w:rPr>
        <w:t>, that the Board may, in its sole discretion, permit transfer of the Option or SAR to such extent as permitted by Rule 701 and in a manner consistent with applicable tax and securities laws upon the Participant’s request.</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278" w:after="283"/>
        <w:jc w:val="both"/>
        <w:rPr/>
      </w:pPr>
      <w:r>
        <w:rPr>
          <w:rFonts w:ascii="Times New Roman" w:hAnsi="Times New Roman"/>
          <w:b/>
          <w:color w:val="000000"/>
          <w:sz w:val="24"/>
        </w:rPr>
        <w:t>Domestic Relations Orders</w:t>
      </w:r>
      <w:r>
        <w:rPr>
          <w:rFonts w:ascii="Times New Roman" w:hAnsi="Times New Roman"/>
          <w:color w:val="000000"/>
          <w:sz w:val="24"/>
        </w:rPr>
        <w:t xml:space="preserve">. Notwithstanding the foregoing, an Option or SAR may be transferred pursuant to a domestic relations order; </w:t>
      </w:r>
      <w:r>
        <w:rPr>
          <w:rFonts w:ascii="Times New Roman" w:hAnsi="Times New Roman"/>
          <w:i/>
          <w:color w:val="000000"/>
          <w:sz w:val="24"/>
        </w:rPr>
        <w:t>provided, however</w:t>
      </w:r>
      <w:r>
        <w:rPr>
          <w:rFonts w:ascii="Times New Roman" w:hAnsi="Times New Roman"/>
          <w:color w:val="000000"/>
          <w:sz w:val="24"/>
        </w:rPr>
        <w:t>, that if an Option is an Incentive Stock Option, such Option may be deemed to be a Nonstatutory Stock Option as a result of such transfer.</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276" w:after="283"/>
        <w:jc w:val="both"/>
        <w:rPr/>
      </w:pPr>
      <w:r>
        <w:rPr>
          <w:rFonts w:ascii="Times New Roman" w:hAnsi="Times New Roman"/>
          <w:b/>
          <w:color w:val="000000"/>
          <w:sz w:val="24"/>
        </w:rPr>
        <w:t>Beneficiary Designation</w:t>
      </w:r>
      <w:r>
        <w:rPr>
          <w:rFonts w:ascii="Times New Roman" w:hAnsi="Times New Roman"/>
          <w:color w:val="000000"/>
          <w:sz w:val="24"/>
        </w:rPr>
        <w:t>. Notwithstanding the foregoing, the Participant may, by delivering 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76" w:after="283"/>
        <w:jc w:val="both"/>
        <w:rPr/>
      </w:pPr>
      <w:r>
        <w:rPr>
          <w:rFonts w:ascii="Times New Roman" w:hAnsi="Times New Roman"/>
          <w:b/>
          <w:color w:val="000000"/>
          <w:sz w:val="24"/>
        </w:rPr>
        <w:t>Vesting Generally</w:t>
      </w:r>
      <w:r>
        <w:rPr>
          <w:rFonts w:ascii="Times New Roman" w:hAnsi="Times New Roman"/>
          <w:color w:val="000000"/>
          <w:sz w:val="24"/>
        </w:rPr>
        <w:t>.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(g)</w:t>
      </w:r>
    </w:p>
    <w:p>
      <w:pPr>
        <w:pStyle w:val="TextBody"/>
        <w:bidi w:val="0"/>
        <w:spacing w:before="276" w:after="283"/>
        <w:jc w:val="both"/>
        <w:rPr/>
      </w:pPr>
      <w:r>
        <w:rPr>
          <w:rFonts w:ascii="Times New Roman" w:hAnsi="Times New Roman"/>
          <w:b/>
          <w:color w:val="000000"/>
          <w:sz w:val="24"/>
        </w:rPr>
        <w:t>Termination of Continuous Service</w:t>
      </w:r>
      <w:r>
        <w:rPr>
          <w:rFonts w:ascii="Times New Roman" w:hAnsi="Times New Roman"/>
          <w:color w:val="000000"/>
          <w:sz w:val="24"/>
        </w:rPr>
        <w:t>. Except as otherwise provided in the applicable Stock Award Agreement or other agreement between the 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 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 thirty (30) days if necessary to comply with applicable state laws unless such 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(h)</w:t>
      </w:r>
    </w:p>
    <w:p>
      <w:pPr>
        <w:pStyle w:val="TextBody"/>
        <w:bidi w:val="0"/>
        <w:spacing w:before="274" w:after="283"/>
        <w:jc w:val="both"/>
        <w:rPr/>
      </w:pPr>
      <w:r>
        <w:rPr>
          <w:rFonts w:ascii="Times New Roman" w:hAnsi="Times New Roman"/>
          <w:b/>
          <w:color w:val="000000"/>
          <w:sz w:val="24"/>
        </w:rPr>
        <w:t>Extension of Termination Date</w:t>
      </w:r>
      <w:r>
        <w:rPr>
          <w:rFonts w:ascii="Times New Roman" w:hAnsi="Times New Roman"/>
          <w:color w:val="000000"/>
          <w:sz w:val="24"/>
        </w:rPr>
        <w:t>. Except as otherwise provided in the applicable Stock Award Agreement or other agreement between the 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 (ii) the expiration of the term of the Option or SAR as set forth in the applicable Stock Award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78" w:after="283"/>
        <w:jc w:val="both"/>
        <w:rPr/>
      </w:pPr>
      <w:r>
        <w:rPr>
          <w:rFonts w:ascii="Times New Roman" w:hAnsi="Times New Roman"/>
          <w:b/>
          <w:color w:val="000000"/>
          <w:sz w:val="24"/>
        </w:rPr>
        <w:t>Disability of Participant</w:t>
      </w:r>
      <w:r>
        <w:rPr>
          <w:rFonts w:ascii="Times New Roman" w:hAnsi="Times New Roman"/>
          <w:color w:val="000000"/>
          <w:sz w:val="24"/>
        </w:rPr>
        <w:t>. Except as otherwise provided in the applicable Stock Award Agreement or other agreement between the Participant 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(j)</w:t>
      </w:r>
    </w:p>
    <w:p>
      <w:pPr>
        <w:pStyle w:val="TextBody"/>
        <w:bidi w:val="0"/>
        <w:spacing w:before="276" w:after="283"/>
        <w:jc w:val="both"/>
        <w:rPr/>
      </w:pPr>
      <w:r>
        <w:rPr>
          <w:rFonts w:ascii="Times New Roman" w:hAnsi="Times New Roman"/>
          <w:b/>
          <w:color w:val="000000"/>
          <w:sz w:val="24"/>
        </w:rPr>
        <w:t>Death of Participant</w:t>
      </w:r>
      <w:r>
        <w:rPr>
          <w:rFonts w:ascii="Times New Roman" w:hAnsi="Times New Roman"/>
          <w:color w:val="000000"/>
          <w:sz w:val="24"/>
        </w:rPr>
        <w:t>. Except as otherwise provided in the applicable Stock Award Agreement or other agreement between the Participant and the Company, in the event that (i) a Participant’s Continuous Service terminates as a result of the Participant’s death, or (ii)</w:t>
      </w:r>
      <w:r>
        <w:rPr>
          <w:color w:val="000000"/>
        </w:rPr>
        <w:t xml:space="preserve"> </w:t>
      </w:r>
      <w:r>
        <w:rPr>
          <w:rFonts w:ascii="Times New Roman" w:hAnsi="Times New Roman"/>
          <w:color w:val="000000"/>
          <w:sz w:val="24"/>
        </w:rPr>
        <w:t>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(k)</w:t>
      </w:r>
    </w:p>
    <w:p>
      <w:pPr>
        <w:pStyle w:val="TextBody"/>
        <w:bidi w:val="0"/>
        <w:spacing w:before="276" w:after="283"/>
        <w:jc w:val="both"/>
        <w:rPr/>
      </w:pPr>
      <w:r>
        <w:rPr>
          <w:rFonts w:ascii="Times New Roman" w:hAnsi="Times New Roman"/>
          <w:b/>
          <w:color w:val="000000"/>
          <w:sz w:val="24"/>
        </w:rPr>
        <w:t>Termination for Cause</w:t>
      </w:r>
      <w:r>
        <w:rPr>
          <w:rFonts w:ascii="Times New Roman" w:hAnsi="Times New Roman"/>
          <w:color w:val="000000"/>
          <w:sz w:val="24"/>
        </w:rPr>
        <w:t>. Except as explicitly provided otherwise in a Participant’s Stock Award Agreement, if a Participant’s Continuous 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(l)</w:t>
      </w:r>
    </w:p>
    <w:p>
      <w:pPr>
        <w:pStyle w:val="TextBody"/>
        <w:bidi w:val="0"/>
        <w:spacing w:before="274" w:after="283"/>
        <w:jc w:val="both"/>
        <w:rPr/>
      </w:pPr>
      <w:r>
        <w:rPr>
          <w:rFonts w:ascii="Times New Roman" w:hAnsi="Times New Roman"/>
          <w:b/>
          <w:color w:val="000000"/>
          <w:sz w:val="24"/>
        </w:rPr>
        <w:t>Non-Exempt Employees</w:t>
      </w:r>
      <w:r>
        <w:rPr>
          <w:rFonts w:ascii="Times New Roman" w:hAnsi="Times New Roman"/>
          <w:color w:val="000000"/>
          <w:sz w:val="24"/>
        </w:rPr>
        <w:t>. No Option or SAR granted to an Employee who is a non-exempt employee for purposes of the Fair Labor Standards 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w:t>
      </w:r>
      <w:r>
        <w:rPr>
          <w:color w:val="000000"/>
        </w:rPr>
        <w:t xml:space="preserve"> </w:t>
      </w:r>
      <w:r>
        <w:rPr>
          <w:rFonts w:ascii="Times New Roman" w:hAnsi="Times New Roman"/>
          <w:color w:val="000000"/>
          <w:sz w:val="24"/>
        </w:rPr>
        <w:t>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pStyle w:val="TextBody"/>
        <w:bidi w:val="0"/>
        <w:spacing w:before="276"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276" w:after="240"/>
        <w:jc w:val="both"/>
        <w:rPr/>
      </w:pPr>
      <w:r>
        <w:rPr>
          <w:rFonts w:ascii="Times New Roman" w:hAnsi="Times New Roman"/>
          <w:b/>
          <w:color w:val="000000"/>
          <w:sz w:val="24"/>
        </w:rPr>
        <w:t>Early Exercise of Options</w:t>
      </w:r>
      <w:r>
        <w:rPr>
          <w:rFonts w:ascii="Times New Roman" w:hAnsi="Times New Roman"/>
          <w:color w:val="000000"/>
          <w:sz w:val="24"/>
        </w:rPr>
        <w:t xml:space="preserve">. An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Subject to the “Repurchase Limitation” in Section 8(1), any unvested shares of Common Stock so purchased may be subject to a repurchase right in favor of the Company or to any other restriction the Board determines to be appropriate. Provided that the “Repurchase Limitation” in Section 8(1) is not violated, the Company shall not be required to exercise its repurchase right until at least six (6) months (or such longer or shorter period of time required to avoid classification of the Option as a liability for financial accounting purposes)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40"/>
        <w:jc w:val="both"/>
        <w:rPr>
          <w:rFonts w:ascii="Times New Roman" w:hAnsi="Times New Roman"/>
          <w:color w:val="000000"/>
          <w:sz w:val="24"/>
        </w:rPr>
      </w:pPr>
      <w:r>
        <w:rPr>
          <w:rFonts w:ascii="Times New Roman" w:hAnsi="Times New Roman"/>
          <w:color w:val="000000"/>
          <w:sz w:val="24"/>
        </w:rPr>
        <w:t>have elapsed following exercise of the Option unless the Board otherwise specifically provides in the Option Agreement.</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0"/>
        <w:jc w:val="both"/>
        <w:rPr/>
      </w:pPr>
      <w:r>
        <w:rPr>
          <w:rFonts w:ascii="Times New Roman" w:hAnsi="Times New Roman"/>
          <w:b/>
          <w:color w:val="000000"/>
          <w:sz w:val="24"/>
        </w:rPr>
        <w:t>Right of Repurchase</w:t>
      </w:r>
      <w:r>
        <w:rPr>
          <w:rFonts w:ascii="Times New Roman" w:hAnsi="Times New Roman"/>
          <w:color w:val="000000"/>
          <w:sz w:val="24"/>
        </w:rPr>
        <w:t>. Subject to the “Repurchase Limitation” in Section 8(1), the Option or SAR may include a provision whereby the Company may elect to repurchase all or any part of the vested shares of Common Stock acquired by the Participant pursuant to the exercise of the Option or SAR.</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(o)</w:t>
      </w:r>
    </w:p>
    <w:p>
      <w:pPr>
        <w:pStyle w:val="TextBody"/>
        <w:bidi w:val="0"/>
        <w:spacing w:before="278" w:after="283"/>
        <w:jc w:val="both"/>
        <w:rPr/>
      </w:pPr>
      <w:r>
        <w:rPr>
          <w:rFonts w:ascii="Times New Roman" w:hAnsi="Times New Roman"/>
          <w:b/>
          <w:color w:val="000000"/>
          <w:sz w:val="24"/>
        </w:rPr>
        <w:t>Right of First Refusal</w:t>
      </w:r>
      <w:r>
        <w:rPr>
          <w:rFonts w:ascii="Times New Roman" w:hAnsi="Times New Roman"/>
          <w:color w:val="000000"/>
          <w:sz w:val="24"/>
        </w:rPr>
        <w:t>. The Option or SAR may include a provision whereby the Company may elect to exercise a right of first refusal following receipt of notice from the Participant of the intent to transfer all or any part of the shares of Common Stock received upon the exercise of the Option or SAR. Such right of first refusal shall be subject to the “Repurchase Limitation” in Section 8(1). Except as expressly provided in this Section 5(o) or in the Stock Award Agreement, such right of first refusal shall otherwise comply with any applicable provisions of the Bylaws of the Company.</w:t>
      </w:r>
    </w:p>
    <w:p>
      <w:pPr>
        <w:pStyle w:val="TextBody"/>
        <w:bidi w:val="0"/>
        <w:spacing w:before="279" w:after="283"/>
        <w:jc w:val="both"/>
        <w:rPr>
          <w:rFonts w:ascii="Times New Roman" w:hAnsi="Times New Roman"/>
          <w:sz w:val="20"/>
        </w:rPr>
      </w:pPr>
      <w:r>
        <w:rPr>
          <w:rFonts w:ascii="Times New Roman" w:hAnsi="Times New Roman"/>
          <w:b/>
          <w:color w:val="000000"/>
          <w:sz w:val="24"/>
        </w:rPr>
        <w:t>6.</w:t>
      </w:r>
      <w:r>
        <w:rPr>
          <w:rFonts w:ascii="Times New Roman" w:hAnsi="Times New Roman"/>
          <w:color w:val="000000"/>
          <w:sz w:val="20"/>
        </w:rPr>
        <w:t xml:space="preserve"> </w:t>
      </w:r>
      <w:r>
        <w:rPr>
          <w:rFonts w:ascii="Times New Roman" w:hAnsi="Times New Roman"/>
          <w:b/>
          <w:color w:val="000000"/>
          <w:sz w:val="24"/>
        </w:rPr>
        <w:t>PROVISIONS OF RESTRICTED STOCK AWARDS AND RESTRICTED STOCK UNITS.</w:t>
      </w:r>
    </w:p>
    <w:p>
      <w:pPr>
        <w:pStyle w:val="TextBody"/>
        <w:bidi w:val="0"/>
        <w:spacing w:before="275"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Restricted Stock Awards</w:t>
      </w:r>
      <w:r>
        <w:rPr>
          <w:rFonts w:ascii="Times New Roman" w:hAnsi="Times New Roman"/>
          <w:color w:val="000000"/>
          <w:sz w:val="24"/>
        </w:rPr>
        <w:t>. Each Restricted Stock Award Agreement shall be in such form and shall contain such terms and conditions as the 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pStyle w:val="TextBody"/>
        <w:bidi w:val="0"/>
        <w:spacing w:before="277" w:after="283"/>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77" w:after="283"/>
        <w:jc w:val="both"/>
        <w:rPr/>
      </w:pPr>
      <w:r>
        <w:rPr>
          <w:rFonts w:ascii="Times New Roman" w:hAnsi="Times New Roman"/>
          <w:b/>
          <w:color w:val="000000"/>
          <w:sz w:val="24"/>
        </w:rPr>
        <w:t>Consideration</w:t>
      </w:r>
      <w:r>
        <w:rPr>
          <w:rFonts w:ascii="Times New Roman" w:hAnsi="Times New Roman"/>
          <w:color w:val="000000"/>
          <w:sz w:val="24"/>
        </w:rPr>
        <w:t>. A Restricted Stock Award may be awarded in consideration for (A) cash or cash equivalents, (B) past or future services actually or to be rendered to the Company or an Affiliate, or (C) any other form of legal consideration that may be acceptable to the Board in its sole discretion and permissible under applicable law.</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278" w:after="283"/>
        <w:jc w:val="both"/>
        <w:rPr/>
      </w:pPr>
      <w:r>
        <w:rPr>
          <w:rFonts w:ascii="Times New Roman" w:hAnsi="Times New Roman"/>
          <w:b/>
          <w:color w:val="000000"/>
          <w:sz w:val="24"/>
        </w:rPr>
        <w:t>Vesting</w:t>
      </w:r>
      <w:r>
        <w:rPr>
          <w:rFonts w:ascii="Times New Roman" w:hAnsi="Times New Roman"/>
          <w:color w:val="000000"/>
          <w:sz w:val="24"/>
        </w:rPr>
        <w:t>. Subject to the “Repurchase Limitation” in Section 8(1), shares of Common Stock awarded under the Restricted Stock Award Agreement may be subject to forfeiture to the Company in accordance with a vesting schedule to be determined by the Board.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276" w:after="283"/>
        <w:jc w:val="both"/>
        <w:rPr/>
      </w:pPr>
      <w:r>
        <w:rPr>
          <w:rFonts w:ascii="Times New Roman" w:hAnsi="Times New Roman"/>
          <w:b/>
          <w:color w:val="000000"/>
          <w:sz w:val="24"/>
        </w:rPr>
        <w:t>Termination of Participant’s Continuous Service</w:t>
      </w:r>
      <w:r>
        <w:rPr>
          <w:rFonts w:ascii="Times New Roman" w:hAnsi="Times New Roman"/>
          <w:color w:val="000000"/>
          <w:sz w:val="24"/>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276" w:after="283"/>
        <w:jc w:val="both"/>
        <w:rPr/>
      </w:pPr>
      <w:r>
        <w:rPr>
          <w:rFonts w:ascii="Times New Roman" w:hAnsi="Times New Roman"/>
          <w:b/>
          <w:color w:val="000000"/>
          <w:sz w:val="24"/>
        </w:rPr>
        <w:t>Transferability</w:t>
      </w:r>
      <w:r>
        <w:rPr>
          <w:rFonts w:ascii="Times New Roman" w:hAnsi="Times New Roman"/>
          <w:color w:val="000000"/>
          <w:sz w:val="24"/>
        </w:rPr>
        <w:t>. Rights to acquire shares of Common Stock under the Restricted Stock Award Agreement shall be transferable by the Participant only upon such terms and conditions as are set forth in the Restricted Stock Award Agreement, asthe Board shall determine in its sole discretion, so long as Common Stock awarded under the Restricted Stock Award Agreement remains subject to the terms of the Restricted Stock Award Agreement.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(v)</w:t>
      </w:r>
    </w:p>
    <w:p>
      <w:pPr>
        <w:pStyle w:val="TextBody"/>
        <w:bidi w:val="0"/>
        <w:spacing w:before="276" w:after="283"/>
        <w:jc w:val="both"/>
        <w:rPr/>
      </w:pPr>
      <w:r>
        <w:rPr>
          <w:rFonts w:ascii="Times New Roman" w:hAnsi="Times New Roman"/>
          <w:b/>
          <w:color w:val="000000"/>
          <w:sz w:val="24"/>
        </w:rPr>
        <w:t>Dividends</w:t>
      </w:r>
      <w:r>
        <w:rPr>
          <w:rFonts w:ascii="Times New Roman" w:hAnsi="Times New Roman"/>
          <w:color w:val="000000"/>
          <w:sz w:val="24"/>
        </w:rPr>
        <w:t>. A Restricted Stock Award Agreement may provide that any dividends paid on Restricted Stock will be subject to the same vesting and forfeiture restrictions as apply to the shares subject to the Restricted Stock Award to which they relate.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b/>
          <w:color w:val="000000"/>
          <w:sz w:val="24"/>
        </w:rPr>
        <w:t>Restricted Stock Unit Awards</w:t>
      </w:r>
      <w:r>
        <w:rPr>
          <w:rFonts w:ascii="Times New Roman" w:hAnsi="Times New Roman"/>
          <w:color w:val="000000"/>
          <w:sz w:val="24"/>
        </w:rPr>
        <w:t xml:space="preserve">. Each Restricted Stock Unit Award Agreement shall be in such form and shall contain such terms and. conditions as the Board shall deem appropriate. The terms and conditions of Restricted Stock Unit Award Agreements may change from time to time, and the terms and conditions of separate Restricted Stock Unit Award Agreements need not be identical, </w:t>
      </w:r>
      <w:r>
        <w:rPr>
          <w:rFonts w:ascii="Times New Roman" w:hAnsi="Times New Roman"/>
          <w:i/>
          <w:color w:val="000000"/>
          <w:sz w:val="24"/>
        </w:rPr>
        <w:t>provided, however</w:t>
      </w:r>
      <w:r>
        <w:rPr>
          <w:rFonts w:ascii="Times New Roman" w:hAnsi="Times New Roman"/>
          <w:color w:val="000000"/>
          <w:sz w:val="24"/>
        </w:rPr>
        <w:t>, that each Restricted Stock Unit Award Agreement shall conform to (through incorporation of the provisions hereof by reference in the Agreement or otherwise) the substance of each of the following provisions:</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76" w:after="283"/>
        <w:jc w:val="both"/>
        <w:rPr/>
      </w:pPr>
      <w:r>
        <w:rPr>
          <w:rFonts w:ascii="Times New Roman" w:hAnsi="Times New Roman"/>
          <w:b/>
          <w:color w:val="000000"/>
          <w:sz w:val="24"/>
        </w:rPr>
        <w:t>Consideration</w:t>
      </w:r>
      <w:r>
        <w:rPr>
          <w:rFonts w:ascii="Times New Roman" w:hAnsi="Times New Roman"/>
          <w:color w:val="000000"/>
          <w:sz w:val="24"/>
        </w:rPr>
        <w:t>.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276" w:after="283"/>
        <w:jc w:val="both"/>
        <w:rPr/>
      </w:pPr>
      <w:r>
        <w:rPr>
          <w:rFonts w:ascii="Times New Roman" w:hAnsi="Times New Roman"/>
          <w:b/>
          <w:color w:val="000000"/>
          <w:sz w:val="24"/>
        </w:rPr>
        <w:t>Vesting</w:t>
      </w:r>
      <w:r>
        <w:rPr>
          <w:rFonts w:ascii="Times New Roman" w:hAnsi="Times New Roman"/>
          <w:color w:val="000000"/>
          <w:sz w:val="24"/>
        </w:rPr>
        <w:t>. At the time of the grant of a Restricted Stock Unit Award, the Board may impose such restrictions or conditions to the vesting of the Restricted Stock Unit Award as it, in its sole discretion, deems appropriate.</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278" w:after="283"/>
        <w:jc w:val="both"/>
        <w:rPr/>
      </w:pPr>
      <w:r>
        <w:rPr>
          <w:rFonts w:ascii="Times New Roman" w:hAnsi="Times New Roman"/>
          <w:b/>
          <w:color w:val="000000"/>
          <w:sz w:val="24"/>
        </w:rPr>
        <w:t>Payment</w:t>
      </w:r>
      <w:r>
        <w:rPr>
          <w:rFonts w:ascii="Times New Roman" w:hAnsi="Times New Roman"/>
          <w:color w:val="000000"/>
          <w:sz w:val="24"/>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276" w:after="283"/>
        <w:jc w:val="both"/>
        <w:rPr/>
      </w:pPr>
      <w:r>
        <w:rPr>
          <w:rFonts w:ascii="Times New Roman" w:hAnsi="Times New Roman"/>
          <w:b/>
          <w:color w:val="000000"/>
          <w:sz w:val="24"/>
        </w:rPr>
        <w:t>Additional Restrictions</w:t>
      </w:r>
      <w:r>
        <w:rPr>
          <w:rFonts w:ascii="Times New Roman" w:hAnsi="Times New Roman"/>
          <w:color w:val="000000"/>
          <w:sz w:val="24"/>
        </w:rPr>
        <w:t>. 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(v)</w:t>
      </w:r>
    </w:p>
    <w:p>
      <w:pPr>
        <w:pStyle w:val="TextBody"/>
        <w:bidi w:val="0"/>
        <w:spacing w:before="276" w:after="283"/>
        <w:jc w:val="both"/>
        <w:rPr/>
      </w:pPr>
      <w:r>
        <w:rPr>
          <w:rFonts w:ascii="Times New Roman" w:hAnsi="Times New Roman"/>
          <w:b/>
          <w:color w:val="000000"/>
          <w:sz w:val="24"/>
        </w:rPr>
        <w:t>Dividend Equivalents</w:t>
      </w:r>
      <w:r>
        <w:rPr>
          <w:rFonts w:ascii="Times New Roman" w:hAnsi="Times New Roman"/>
          <w:color w:val="000000"/>
          <w:sz w:val="24"/>
        </w:rPr>
        <w:t>.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w:t>
      </w:r>
      <w:r>
        <w:rPr>
          <w:color w:val="000000"/>
        </w:rPr>
        <w:t xml:space="preserve"> </w:t>
      </w:r>
      <w:r>
        <w:rPr>
          <w:rFonts w:ascii="Times New Roman" w:hAnsi="Times New Roman"/>
          <w:color w:val="000000"/>
          <w:sz w:val="24"/>
        </w:rPr>
        <w:t>and conditions of the underlying Restricted Stock Unit Award Agreement to which they relate.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274" w:after="283"/>
        <w:jc w:val="both"/>
        <w:rPr/>
      </w:pPr>
      <w:r>
        <w:rPr>
          <w:rFonts w:ascii="Times New Roman" w:hAnsi="Times New Roman"/>
          <w:b/>
          <w:color w:val="000000"/>
          <w:sz w:val="24"/>
        </w:rPr>
        <w:t>Termination of Participant’s Continuous Service</w:t>
      </w:r>
      <w:r>
        <w:rPr>
          <w:rFonts w:ascii="Times New Roman" w:hAnsi="Times New Roman"/>
          <w:color w:val="000000"/>
          <w:sz w:val="24"/>
        </w:rPr>
        <w:t>. 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278" w:after="283"/>
        <w:jc w:val="both"/>
        <w:rPr/>
      </w:pPr>
      <w:r>
        <w:rPr>
          <w:rFonts w:ascii="Times New Roman" w:hAnsi="Times New Roman"/>
          <w:b/>
          <w:color w:val="000000"/>
          <w:sz w:val="24"/>
        </w:rPr>
        <w:t>Compliance with Section 409A of the Code</w:t>
      </w:r>
      <w:r>
        <w:rPr>
          <w:rFonts w:ascii="Times New Roman" w:hAnsi="Times New Roman"/>
          <w:color w:val="000000"/>
          <w:sz w:val="24"/>
        </w:rPr>
        <w:t>. Notwithstanding anything to the contrary set forth herein, any Restricted Stock Unit Award granted under the Plan that is not exempt from the requirements of Section 409A of the Code shall contain such provisions so that such Restricted Stock Unit Award will comply with the requirell1ents of Section 409A of the Code. Such restrictions, if any, shall be determined by the Board and contained in the Restricted Stock Unit Award Agreement evidencing such Restricted Stock Unit Award. . For example, such restrictions may include, without limitation, a requirement that any Common Stock that is to be issued in a year following the year in which the Restricted Stock Unit Award vests must be issued in accordance with a fixed pre-determined schedule.</w:t>
      </w:r>
    </w:p>
    <w:p>
      <w:pPr>
        <w:pStyle w:val="TextBody"/>
        <w:bidi w:val="0"/>
        <w:spacing w:before="279" w:after="283"/>
        <w:jc w:val="both"/>
        <w:rPr>
          <w:rFonts w:ascii="Times New Roman" w:hAnsi="Times New Roman"/>
          <w:sz w:val="20"/>
        </w:rPr>
      </w:pPr>
      <w:r>
        <w:rPr>
          <w:rFonts w:ascii="Times New Roman" w:hAnsi="Times New Roman"/>
          <w:b/>
          <w:color w:val="000000"/>
          <w:sz w:val="24"/>
        </w:rPr>
        <w:t>7.</w:t>
      </w:r>
      <w:r>
        <w:rPr>
          <w:rFonts w:ascii="Times New Roman" w:hAnsi="Times New Roman"/>
          <w:color w:val="000000"/>
          <w:sz w:val="20"/>
        </w:rPr>
        <w:t xml:space="preserve"> </w:t>
      </w:r>
      <w:r>
        <w:rPr>
          <w:rFonts w:ascii="Times New Roman" w:hAnsi="Times New Roman"/>
          <w:b/>
          <w:color w:val="000000"/>
          <w:sz w:val="24"/>
        </w:rPr>
        <w:t>COVENANTS OF THE COMPANY.</w:t>
      </w:r>
    </w:p>
    <w:p>
      <w:pPr>
        <w:pStyle w:val="TextBody"/>
        <w:bidi w:val="0"/>
        <w:spacing w:before="275"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5" w:after="283"/>
        <w:jc w:val="both"/>
        <w:rPr/>
      </w:pPr>
      <w:r>
        <w:rPr>
          <w:rFonts w:ascii="Times New Roman" w:hAnsi="Times New Roman"/>
          <w:b/>
          <w:color w:val="000000"/>
          <w:sz w:val="24"/>
        </w:rPr>
        <w:t>Availability of Shares</w:t>
      </w:r>
      <w:r>
        <w:rPr>
          <w:rFonts w:ascii="Times New Roman" w:hAnsi="Times New Roman"/>
          <w:color w:val="000000"/>
          <w:sz w:val="24"/>
        </w:rPr>
        <w:t>. During the terms of the Stock Awards, the Company shall keep available at all times the number of shares of Common Stock reasonably required to satisfy such Stock Awards.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6" w:after="283"/>
        <w:jc w:val="both"/>
        <w:rPr/>
      </w:pPr>
      <w:r>
        <w:rPr>
          <w:rFonts w:ascii="Times New Roman" w:hAnsi="Times New Roman"/>
          <w:b/>
          <w:color w:val="000000"/>
          <w:sz w:val="24"/>
        </w:rPr>
        <w:t>Securities Law Compliance</w:t>
      </w:r>
      <w:r>
        <w:rPr>
          <w:rFonts w:ascii="Times New Roman" w:hAnsi="Times New Roman"/>
          <w:color w:val="000000"/>
          <w:sz w:val="24"/>
        </w:rPr>
        <w:t xml:space="preserve">. The Company shall seek to obtain from each regulatory commission or agency having jurisdiction over the Plan such authority as may be required to grant Stock Awards and to issue and sell shares of Common Stock upon exercise of the Stock Awards; </w:t>
      </w:r>
      <w:r>
        <w:rPr>
          <w:rFonts w:ascii="Times New Roman" w:hAnsi="Times New Roman"/>
          <w:i/>
          <w:color w:val="000000"/>
          <w:sz w:val="24"/>
        </w:rPr>
        <w:t>provided, however</w:t>
      </w:r>
      <w:r>
        <w:rPr>
          <w:rFonts w:ascii="Times New Roman" w:hAnsi="Times New Roman"/>
          <w:color w:val="000000"/>
          <w:sz w:val="24"/>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4" w:after="283"/>
        <w:jc w:val="both"/>
        <w:rPr/>
      </w:pPr>
      <w:r>
        <w:rPr>
          <w:rFonts w:ascii="Times New Roman" w:hAnsi="Times New Roman"/>
          <w:b/>
          <w:color w:val="000000"/>
          <w:sz w:val="24"/>
        </w:rPr>
        <w:t>No Obligation to Notify</w:t>
      </w:r>
      <w:r>
        <w:rPr>
          <w:rFonts w:ascii="Times New Roman" w:hAnsi="Times New Roman"/>
          <w:color w:val="000000"/>
          <w:sz w:val="24"/>
        </w:rPr>
        <w:t>. The Company shall have no duty or obligation to any Participant to advise such 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pStyle w:val="TextBody"/>
        <w:bidi w:val="0"/>
        <w:spacing w:before="22" w:after="283"/>
        <w:jc w:val="both"/>
        <w:rPr/>
      </w:pPr>
      <w:r>
        <w:rPr/>
        <w:t> </w:t>
      </w:r>
    </w:p>
    <w:p>
      <w:pPr>
        <w:pStyle w:val="TextBody"/>
        <w:bidi w:val="0"/>
        <w:spacing w:before="22" w:after="283"/>
        <w:jc w:val="both"/>
        <w:rPr>
          <w:rFonts w:ascii="Times New Roman" w:hAnsi="Times New Roman"/>
          <w:sz w:val="20"/>
        </w:rPr>
      </w:pPr>
      <w:r>
        <w:rPr>
          <w:rFonts w:ascii="Times New Roman" w:hAnsi="Times New Roman"/>
          <w:b/>
          <w:color w:val="000000"/>
          <w:sz w:val="24"/>
        </w:rPr>
        <w:t>8.</w:t>
      </w:r>
      <w:r>
        <w:rPr>
          <w:rFonts w:ascii="Times New Roman" w:hAnsi="Times New Roman"/>
          <w:color w:val="000000"/>
          <w:sz w:val="20"/>
        </w:rPr>
        <w:t xml:space="preserve"> </w:t>
      </w:r>
      <w:r>
        <w:rPr>
          <w:rFonts w:ascii="Times New Roman" w:hAnsi="Times New Roman"/>
          <w:b/>
          <w:color w:val="000000"/>
          <w:sz w:val="24"/>
        </w:rPr>
        <w:t>MISCELLANEOUS.</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9" w:after="283"/>
        <w:jc w:val="both"/>
        <w:rPr/>
      </w:pPr>
      <w:r>
        <w:rPr>
          <w:rFonts w:ascii="Times New Roman" w:hAnsi="Times New Roman"/>
          <w:b/>
          <w:color w:val="000000"/>
          <w:sz w:val="24"/>
        </w:rPr>
        <w:t>Use of Proceeds from Sales of Common Stock</w:t>
      </w:r>
      <w:r>
        <w:rPr>
          <w:rFonts w:ascii="Times New Roman" w:hAnsi="Times New Roman"/>
          <w:color w:val="000000"/>
          <w:sz w:val="24"/>
        </w:rPr>
        <w:t>. Proceeds from the sale of shares of Common Stock pursuant to Stock Awards shall constitute general funds of the Company.</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6" w:after="283"/>
        <w:jc w:val="both"/>
        <w:rPr/>
      </w:pPr>
      <w:r>
        <w:rPr>
          <w:rFonts w:ascii="Times New Roman" w:hAnsi="Times New Roman"/>
          <w:b/>
          <w:color w:val="000000"/>
          <w:sz w:val="24"/>
        </w:rPr>
        <w:t>Corporate Action Constituting Grant of Stock Awards</w:t>
      </w:r>
      <w:r>
        <w:rPr>
          <w:rFonts w:ascii="Times New Roman" w:hAnsi="Times New Roman"/>
          <w:color w:val="000000"/>
          <w:sz w:val="24"/>
        </w:rPr>
        <w:t>. Corporate action constituting a grant by the Company of a Stock 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6" w:after="283"/>
        <w:jc w:val="both"/>
        <w:rPr/>
      </w:pPr>
      <w:r>
        <w:rPr>
          <w:rFonts w:ascii="Times New Roman" w:hAnsi="Times New Roman"/>
          <w:b/>
          <w:color w:val="000000"/>
          <w:sz w:val="24"/>
        </w:rPr>
        <w:t>Shareholder Rights</w:t>
      </w:r>
      <w:r>
        <w:rPr>
          <w:rFonts w:ascii="Times New Roman" w:hAnsi="Times New Roman"/>
          <w:color w:val="000000"/>
          <w:sz w:val="24"/>
        </w:rPr>
        <w:t>. No Participant shall be deemed to be the holder of, or to have any of the rights of a holder with respect to, any shares of Common Stock subject to such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74" w:after="283"/>
        <w:jc w:val="both"/>
        <w:rPr/>
      </w:pPr>
      <w:r>
        <w:rPr>
          <w:rFonts w:ascii="Times New Roman" w:hAnsi="Times New Roman"/>
          <w:b/>
          <w:color w:val="000000"/>
          <w:sz w:val="24"/>
        </w:rPr>
        <w:t>No Employment or Other Service Rights</w:t>
      </w:r>
      <w:r>
        <w:rPr>
          <w:rFonts w:ascii="Times New Roman" w:hAnsi="Times New Roman"/>
          <w:color w:val="000000"/>
          <w:sz w:val="24"/>
        </w:rPr>
        <w:t>. Nothing in the Plan, any Stock Award Agreement or any other instrument executed thereunder or 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76" w:after="283"/>
        <w:jc w:val="both"/>
        <w:rPr/>
      </w:pPr>
      <w:r>
        <w:rPr>
          <w:rFonts w:ascii="Times New Roman" w:hAnsi="Times New Roman"/>
          <w:b/>
          <w:color w:val="000000"/>
          <w:sz w:val="24"/>
        </w:rPr>
        <w:t>Incentive Stock Option $100,000 Limitation</w:t>
      </w:r>
      <w:r>
        <w:rPr>
          <w:rFonts w:ascii="Times New Roman" w:hAnsi="Times New Roman"/>
          <w:color w:val="000000"/>
          <w:sz w:val="24"/>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78" w:after="283"/>
        <w:jc w:val="both"/>
        <w:rPr/>
      </w:pPr>
      <w:r>
        <w:rPr>
          <w:rFonts w:ascii="Times New Roman" w:hAnsi="Times New Roman"/>
          <w:b/>
          <w:color w:val="000000"/>
          <w:sz w:val="24"/>
        </w:rPr>
        <w:t>Investment Assurances</w:t>
      </w:r>
      <w:r>
        <w:rPr>
          <w:rFonts w:ascii="Times New Roman" w:hAnsi="Times New Roman"/>
          <w:color w:val="000000"/>
          <w:sz w:val="24"/>
        </w:rPr>
        <w:t>.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(g)</w:t>
      </w:r>
    </w:p>
    <w:p>
      <w:pPr>
        <w:pStyle w:val="TextBody"/>
        <w:bidi w:val="0"/>
        <w:spacing w:before="278" w:after="283"/>
        <w:jc w:val="both"/>
        <w:rPr/>
      </w:pPr>
      <w:r>
        <w:rPr>
          <w:rFonts w:ascii="Times New Roman" w:hAnsi="Times New Roman"/>
          <w:b/>
          <w:color w:val="000000"/>
          <w:sz w:val="24"/>
        </w:rPr>
        <w:t>Withholding Obligations</w:t>
      </w:r>
      <w:r>
        <w:rPr>
          <w:rFonts w:ascii="Times New Roman" w:hAnsi="Times New Roman"/>
          <w:color w:val="000000"/>
          <w:sz w:val="24"/>
        </w:rPr>
        <w:t>. Unless prohibited by the terms of a Stock Award Agreement, the Board, in its sole discretion and pursuant to such procedures as it may specify from time to time, may permit a Participant to satisfy any U.S. federal, state, local, non-U.S., and other taxes required to be withheld or paid with respect to a Stock Award, in whole or in part by such methods as the Board shall determine, including without limitation: (i) paying cash, (ii) electing to have the Company withhold otherwise deliverable cash or shares of Common Stock having a fair market value equal to the minimum statutory amount required to be withheld or such greater amount as the Board may determine if such amount would not have adverse accounting consequences, as the Board determines in its sole discretion, (iii) delivering to the Company already-owned shares of Common Stock having a fair market value equal to the statutory amount required to be withheld or such greater amount as the Board may determine, in each case, provided the delivery of such shares of Common Stock will not result in any adverse accounting consequences, as the Board determines in its sole discretion, (iv) selling a sufficient number of shares of Common Stock otherwise deliverable to the Participant through such means as the Board may determine in its sole discretion (whether through a broker or otherwise) equal to the amount required to be withheld or paid, (v) such other consideration and method of payment for the meeting of tax liabilities or withholding obligations as the Board may determine to the extent permitted by applicable laws, or (vi) any combination of the foregoing methods of payment. The amount of the withholding requirement will be deemed to include any amount which the Board agrees may be withheld at the time the election is made, not to exceed the amount determined by using the maximum federal, state or local marginal income tax rates applicable to the Participant with respect to the Stock Award on the date that the amount of tax to be withheld is to be determined or such greater amount as the Board may determine if such amount would not have adverse accounting consequences, as the Board determines in its sole discretion. The fair market value of the shares of Common Stock to be withheld or delivered will be determined as of the date that the taxes are required to be withheld.</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(h)</w:t>
      </w:r>
    </w:p>
    <w:p>
      <w:pPr>
        <w:pStyle w:val="TextBody"/>
        <w:bidi w:val="0"/>
        <w:spacing w:before="278" w:after="283"/>
        <w:jc w:val="both"/>
        <w:rPr/>
      </w:pPr>
      <w:r>
        <w:rPr>
          <w:rFonts w:ascii="Times New Roman" w:hAnsi="Times New Roman"/>
          <w:b/>
          <w:color w:val="000000"/>
          <w:sz w:val="24"/>
        </w:rPr>
        <w:t>Electronic Delivery</w:t>
      </w:r>
      <w:r>
        <w:rPr>
          <w:rFonts w:ascii="Times New Roman" w:hAnsi="Times New Roman"/>
          <w:color w:val="000000"/>
          <w:sz w:val="24"/>
        </w:rPr>
        <w:t>. Any reference herein to a “written” agreement or document shall include any agreement or document delivered electronically or posted on the Company’s intranet.</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(i)</w:t>
      </w:r>
    </w:p>
    <w:p>
      <w:pPr>
        <w:pStyle w:val="TextBody"/>
        <w:bidi w:val="0"/>
        <w:spacing w:before="278" w:after="283"/>
        <w:jc w:val="both"/>
        <w:rPr/>
      </w:pPr>
      <w:r>
        <w:rPr>
          <w:rFonts w:ascii="Times New Roman" w:hAnsi="Times New Roman"/>
          <w:b/>
          <w:color w:val="000000"/>
          <w:sz w:val="24"/>
        </w:rPr>
        <w:t>Deferrals</w:t>
      </w:r>
      <w:r>
        <w:rPr>
          <w:rFonts w:ascii="Times New Roman" w:hAnsi="Times New Roman"/>
          <w:color w:val="000000"/>
          <w:sz w:val="24"/>
        </w:rPr>
        <w:t xml:space="preserve">. To the extent permitted by applicable law, the Board, in its sole discretion, may determine that the 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(j)</w:t>
      </w:r>
    </w:p>
    <w:p>
      <w:pPr>
        <w:pStyle w:val="TextBody"/>
        <w:bidi w:val="0"/>
        <w:spacing w:before="278" w:after="283"/>
        <w:jc w:val="both"/>
        <w:rPr/>
      </w:pPr>
      <w:r>
        <w:rPr>
          <w:rFonts w:ascii="Times New Roman" w:hAnsi="Times New Roman"/>
          <w:b/>
          <w:color w:val="000000"/>
          <w:sz w:val="24"/>
        </w:rPr>
        <w:t>Compliance with Section 409A</w:t>
      </w:r>
      <w:r>
        <w:rPr>
          <w:rFonts w:ascii="Times New Roman" w:hAnsi="Times New Roman"/>
          <w:color w:val="000000"/>
          <w:sz w:val="24"/>
        </w:rPr>
        <w:t>. To the extent that the Board determines that any Stock Award granted hereunder is subject to Section 409A of the Code, the Stock Award Agreement evidencing such Stock Award shall incorporate the terms and conditions necessary to avoid the consequences specified in Section 409A(a)(l) of the Code. To the extent applicable, the Plan and Stock Award Agreements shall be interpreted in accordance with Section 409A of the Code.</w:t>
      </w:r>
    </w:p>
    <w:p>
      <w:pPr>
        <w:pStyle w:val="TextBody"/>
        <w:bidi w:val="0"/>
        <w:spacing w:before="9" w:after="283"/>
        <w:jc w:val="both"/>
        <w:rPr>
          <w:rFonts w:ascii="Times New Roman" w:hAnsi="Times New Roman"/>
          <w:b/>
          <w:color w:val="000000"/>
          <w:sz w:val="24"/>
        </w:rPr>
      </w:pPr>
      <w:r>
        <w:rPr>
          <w:rFonts w:ascii="Times New Roman" w:hAnsi="Times New Roman"/>
          <w:b/>
          <w:color w:val="000000"/>
          <w:sz w:val="24"/>
        </w:rPr>
        <w:t>(k)</w:t>
      </w:r>
    </w:p>
    <w:p>
      <w:pPr>
        <w:pStyle w:val="TextBody"/>
        <w:bidi w:val="0"/>
        <w:spacing w:before="9" w:after="283"/>
        <w:jc w:val="both"/>
        <w:rPr/>
      </w:pPr>
      <w:r>
        <w:rPr>
          <w:rFonts w:ascii="Times New Roman" w:hAnsi="Times New Roman"/>
          <w:b/>
          <w:color w:val="000000"/>
          <w:sz w:val="24"/>
        </w:rPr>
        <w:t>Compliance with Exemption Provided by Rule 12h-l(t)</w:t>
      </w:r>
      <w:r>
        <w:rPr>
          <w:rFonts w:ascii="Times New Roman" w:hAnsi="Times New Roman"/>
          <w:color w:val="000000"/>
          <w:sz w:val="24"/>
        </w:rPr>
        <w:t>. If: (i) the aggregate of the number of Optionholders and the number of holders of 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12h-l(f) promulgated under the Exchange Act (“</w:t>
      </w:r>
      <w:r>
        <w:rPr>
          <w:rFonts w:ascii="Times New Roman" w:hAnsi="Times New Roman"/>
          <w:b/>
          <w:i/>
          <w:color w:val="000000"/>
          <w:sz w:val="24"/>
        </w:rPr>
        <w:t>Rule 12h-l(f)</w:t>
      </w:r>
      <w:r>
        <w:rPr>
          <w:color w:val="000000"/>
        </w:rPr>
        <w:t>”</w:t>
      </w:r>
      <w:r>
        <w:rPr>
          <w:rFonts w:ascii="Times New Roman" w:hAnsi="Times New Roman"/>
          <w:color w:val="000000"/>
          <w:sz w:val="24"/>
        </w:rPr>
        <w:t>), except: (1) as permitted by Rule 701(c) promulgated under the Securities Act, (2) to a guardian upon the disability of the Optionholder, or (3) to an executor upon the death of the Optionholder (collectively, the “</w:t>
      </w:r>
      <w:r>
        <w:rPr>
          <w:rFonts w:ascii="Times New Roman" w:hAnsi="Times New Roman"/>
          <w:b/>
          <w:i/>
          <w:color w:val="000000"/>
          <w:sz w:val="24"/>
        </w:rPr>
        <w:t>Permitted Transferees</w:t>
      </w:r>
      <w:r>
        <w:rPr>
          <w:color w:val="00000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l 2h-1(f); </w:t>
      </w:r>
      <w:r>
        <w:rPr>
          <w:rFonts w:ascii="Times New Roman" w:hAnsi="Times New Roman"/>
          <w:i/>
          <w:color w:val="000000"/>
          <w:sz w:val="24"/>
        </w:rPr>
        <w:t>provided further</w:t>
      </w:r>
      <w:r>
        <w:rPr>
          <w:rFonts w:ascii="Times New Roman" w:hAnsi="Times New Roman"/>
          <w:color w:val="000000"/>
          <w:sz w:val="24"/>
        </w:rPr>
        <w:t xml:space="preserve">, that any Permitted Transferees may not further transfer the Options; (B) except as otherwise provided in (A) above, the Options and shares of Common Stock acquired upon exercise of the Options are restricted as to any pledge, hypothecation, or other transfer, including any short position, any “put equivalent position” as defined by Rule 16a-1(h) promulgated under the Exchange Act, or any “call equivalent position” as defined by Rule 16a-l(b) promulgated under the Exchange Act by the Optionholder prior to exercise of an Option until the Company is no longer relying on the exemption provided by Rule 12h-l(f); and (C) at any time that the Company is relying on the exemption provided by Rule 12h-l(f),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Times New Roman" w:hAnsi="Times New Roman"/>
          <w:i/>
          <w:color w:val="000000"/>
          <w:sz w:val="24"/>
        </w:rPr>
        <w:t>provided, however</w:t>
      </w:r>
      <w:r>
        <w:rPr>
          <w:rFonts w:ascii="Times New Roman" w:hAnsi="Times New Roman"/>
          <w:color w:val="000000"/>
          <w:sz w:val="24"/>
        </w:rPr>
        <w:t>, that the Company may condition the delivery of such information upon the Optionholder’s agreement to maintain its confidentiality.</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(l)</w:t>
      </w:r>
    </w:p>
    <w:p>
      <w:pPr>
        <w:pStyle w:val="TextBody"/>
        <w:bidi w:val="0"/>
        <w:spacing w:before="276" w:after="283"/>
        <w:jc w:val="both"/>
        <w:rPr/>
      </w:pPr>
      <w:r>
        <w:rPr>
          <w:rFonts w:ascii="Times New Roman" w:hAnsi="Times New Roman"/>
          <w:b/>
          <w:color w:val="000000"/>
          <w:sz w:val="24"/>
        </w:rPr>
        <w:t>Repurchase Limitation</w:t>
      </w:r>
      <w:r>
        <w:rPr>
          <w:rFonts w:ascii="Times New Roman" w:hAnsi="Times New Roman"/>
          <w:color w:val="000000"/>
          <w:sz w:val="24"/>
        </w:rPr>
        <w:t>. The terms of any repurchase right shall be specified in the Stock Award Agreement. The repurchase price for vested 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w:t>
      </w:r>
    </w:p>
    <w:p>
      <w:pPr>
        <w:pStyle w:val="TextBody"/>
        <w:bidi w:val="0"/>
        <w:jc w:val="both"/>
        <w:rPr>
          <w:rFonts w:ascii="Times New Roman" w:hAnsi="Times New Roman"/>
          <w:color w:val="000000"/>
          <w:sz w:val="24"/>
        </w:rPr>
      </w:pPr>
      <w:r>
        <w:rPr>
          <w:rFonts w:ascii="Times New Roman" w:hAnsi="Times New Roman"/>
          <w:color w:val="000000"/>
          <w:sz w:val="24"/>
        </w:rPr>
        <w:t>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(m)</w:t>
      </w:r>
    </w:p>
    <w:p>
      <w:pPr>
        <w:pStyle w:val="TextBody"/>
        <w:bidi w:val="0"/>
        <w:spacing w:before="276" w:after="283"/>
        <w:jc w:val="both"/>
        <w:rPr/>
      </w:pPr>
      <w:r>
        <w:rPr>
          <w:rFonts w:ascii="Times New Roman" w:hAnsi="Times New Roman"/>
          <w:b/>
          <w:color w:val="000000"/>
          <w:sz w:val="24"/>
        </w:rPr>
        <w:t>Lock-Up</w:t>
      </w:r>
      <w:r>
        <w:rPr>
          <w:rFonts w:ascii="Times New Roman" w:hAnsi="Times New Roman"/>
          <w:color w:val="000000"/>
          <w:sz w:val="24"/>
        </w:rPr>
        <w:t>. The Company shall require each Participant, as a condition of exercising or acquiring Common Stock under any Stock Award, to agree that in connection with the first underwritten registration of the offering of any securities of the Company under the Securities Act, that such Participant will not sell, dispose of, transfer, make any short sale of, grant any option for the purchase of, or enter into any hedging or similar transaction with the</w:t>
      </w:r>
      <w:r>
        <w:rPr>
          <w:color w:val="000000"/>
        </w:rPr>
        <w:t xml:space="preserve"> </w:t>
      </w:r>
      <w:r>
        <w:rPr>
          <w:rFonts w:ascii="Times New Roman" w:hAnsi="Times New Roman"/>
          <w:color w:val="000000"/>
          <w:sz w:val="24"/>
        </w:rPr>
        <w:t xml:space="preserve">same economic effect as a sale, any shares of Common Stock or other securities of the Company for a period of one hundred eighty (180) days following the effective date of a registration statement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of the Company filed under the Securities Act or such longer period as necessary to permit compliance with NASD Rule 2711 or NYSE Member Rule 472 and similar rules and regulations.</w:t>
      </w:r>
    </w:p>
    <w:p>
      <w:pPr>
        <w:pStyle w:val="TextBody"/>
        <w:bidi w:val="0"/>
        <w:spacing w:before="274" w:after="283"/>
        <w:jc w:val="both"/>
        <w:rPr>
          <w:rFonts w:ascii="Times New Roman" w:hAnsi="Times New Roman"/>
          <w:sz w:val="20"/>
        </w:rPr>
      </w:pPr>
      <w:r>
        <w:rPr>
          <w:rFonts w:ascii="Times New Roman" w:hAnsi="Times New Roman"/>
          <w:b/>
          <w:color w:val="000000"/>
          <w:sz w:val="24"/>
        </w:rPr>
        <w:t>9.</w:t>
      </w:r>
      <w:r>
        <w:rPr>
          <w:rFonts w:ascii="Times New Roman" w:hAnsi="Times New Roman"/>
          <w:color w:val="000000"/>
          <w:sz w:val="20"/>
        </w:rPr>
        <w:t xml:space="preserve"> </w:t>
      </w:r>
      <w:r>
        <w:rPr>
          <w:rFonts w:ascii="Times New Roman" w:hAnsi="Times New Roman"/>
          <w:b/>
          <w:color w:val="000000"/>
          <w:sz w:val="24"/>
        </w:rPr>
        <w:t>ADJUSTMENTS UPON CHANGES IN COMMON STOCK; OTHER CORPORATE EVENTS.</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6" w:after="283"/>
        <w:jc w:val="both"/>
        <w:rPr/>
      </w:pPr>
      <w:r>
        <w:rPr>
          <w:rFonts w:ascii="Times New Roman" w:hAnsi="Times New Roman"/>
          <w:b/>
          <w:color w:val="000000"/>
          <w:sz w:val="24"/>
        </w:rPr>
        <w:t>Capitalization Adjustments</w:t>
      </w:r>
      <w:r>
        <w:rPr>
          <w:rFonts w:ascii="Times New Roman" w:hAnsi="Times New Roman"/>
          <w:color w:val="000000"/>
          <w:sz w:val="24"/>
        </w:rPr>
        <w:t>. In the event of a Capitalization Adjustment, the Board shall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4" w:after="283"/>
        <w:jc w:val="both"/>
        <w:rPr/>
      </w:pPr>
      <w:r>
        <w:rPr>
          <w:rFonts w:ascii="Times New Roman" w:hAnsi="Times New Roman"/>
          <w:b/>
          <w:color w:val="000000"/>
          <w:sz w:val="24"/>
        </w:rPr>
        <w:t>Dissolution or Liquidation</w:t>
      </w:r>
      <w:r>
        <w:rPr>
          <w:rFonts w:ascii="Times New Roman" w:hAnsi="Times New Roman"/>
          <w:color w:val="000000"/>
          <w:sz w:val="24"/>
        </w:rPr>
        <w:t>.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78" w:after="283"/>
        <w:jc w:val="both"/>
        <w:rPr/>
      </w:pPr>
      <w:r>
        <w:rPr>
          <w:rFonts w:ascii="Times New Roman" w:hAnsi="Times New Roman"/>
          <w:b/>
          <w:color w:val="000000"/>
          <w:sz w:val="24"/>
        </w:rPr>
        <w:t>Corporate Transaction</w:t>
      </w:r>
      <w:r>
        <w:rPr>
          <w:rFonts w:ascii="Times New Roman" w:hAnsi="Times New Roman"/>
          <w:color w:val="000000"/>
          <w:sz w:val="24"/>
        </w:rPr>
        <w:t>. The following provisions shall apply to Stock Awards in the event of a Corporate Transaction unless otherwise 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pStyle w:val="TextBody"/>
        <w:bidi w:val="0"/>
        <w:spacing w:before="276" w:after="283"/>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pStyle w:val="TextBody"/>
        <w:bidi w:val="0"/>
        <w:spacing w:before="7" w:after="283"/>
        <w:jc w:val="both"/>
        <w:rPr/>
      </w:pPr>
      <w:r>
        <w:rPr/>
        <w:t> </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accelerate the vesting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arrange for the lapse of any reacquisition or repurchase rights held by the Company with respect to the Stock Award;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 xml:space="preserve">cancel or arrange for the cancellation of the Stock Award, to the extent not vested or not exercised prior to the effective time of the Corporate Transaction, for no consideration (subject to Section 8(l)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above with respect to outstanding shares of Common Stock, if applicable) or in exchange for such cash consideration, if any, as the Board, in its sole discretion, may consider appropriate; and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 Board need not take the same action with respect to all Stock Awards or with respect to all Participants.</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78" w:after="283"/>
        <w:jc w:val="both"/>
        <w:rPr/>
      </w:pPr>
      <w:r>
        <w:rPr>
          <w:rFonts w:ascii="Times New Roman" w:hAnsi="Times New Roman"/>
          <w:b/>
          <w:color w:val="000000"/>
          <w:sz w:val="24"/>
        </w:rPr>
        <w:t>Change in Control</w:t>
      </w:r>
      <w:r>
        <w:rPr>
          <w:rFonts w:ascii="Times New Roman" w:hAnsi="Times New Roman"/>
          <w:color w:val="000000"/>
          <w:sz w:val="24"/>
        </w:rPr>
        <w:t>.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pStyle w:val="TextBody"/>
        <w:bidi w:val="0"/>
        <w:spacing w:before="279" w:after="283"/>
        <w:jc w:val="both"/>
        <w:rPr>
          <w:rFonts w:ascii="Times New Roman" w:hAnsi="Times New Roman"/>
          <w:sz w:val="20"/>
        </w:rPr>
      </w:pPr>
      <w:r>
        <w:rPr>
          <w:rFonts w:ascii="Times New Roman" w:hAnsi="Times New Roman"/>
          <w:b/>
          <w:color w:val="000000"/>
          <w:sz w:val="24"/>
        </w:rPr>
        <w:t>10.</w:t>
      </w:r>
      <w:r>
        <w:rPr>
          <w:rFonts w:ascii="Times New Roman" w:hAnsi="Times New Roman"/>
          <w:color w:val="000000"/>
          <w:sz w:val="20"/>
        </w:rPr>
        <w:t xml:space="preserve"> </w:t>
      </w:r>
      <w:r>
        <w:rPr>
          <w:rFonts w:ascii="Times New Roman" w:hAnsi="Times New Roman"/>
          <w:b/>
          <w:color w:val="000000"/>
          <w:sz w:val="24"/>
        </w:rPr>
        <w:t>TERMINATION OR SUSPENSION OF THE PLAN.</w:t>
      </w:r>
    </w:p>
    <w:p>
      <w:pPr>
        <w:pStyle w:val="TextBody"/>
        <w:bidi w:val="0"/>
        <w:spacing w:before="275"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75" w:after="283"/>
        <w:jc w:val="both"/>
        <w:rPr/>
      </w:pPr>
      <w:r>
        <w:rPr>
          <w:rFonts w:ascii="Times New Roman" w:hAnsi="Times New Roman"/>
          <w:b/>
          <w:color w:val="000000"/>
          <w:sz w:val="24"/>
        </w:rPr>
        <w:t>Plan Term</w:t>
      </w:r>
      <w:r>
        <w:rPr>
          <w:rFonts w:ascii="Times New Roman" w:hAnsi="Times New Roman"/>
          <w:color w:val="000000"/>
          <w:sz w:val="24"/>
        </w:rPr>
        <w:t>. The Board may suspend or terminate the Plan at any time. Unless sooner terminated by the Board pursuant to Section 2, the Plan 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pStyle w:val="TextBody"/>
        <w:bidi w:val="0"/>
        <w:spacing w:before="276"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76" w:after="283"/>
        <w:jc w:val="both"/>
        <w:rPr/>
      </w:pPr>
      <w:r>
        <w:rPr>
          <w:rFonts w:ascii="Times New Roman" w:hAnsi="Times New Roman"/>
          <w:b/>
          <w:color w:val="000000"/>
          <w:sz w:val="24"/>
        </w:rPr>
        <w:t>No Impairment of Rights</w:t>
      </w:r>
      <w:r>
        <w:rPr>
          <w:rFonts w:ascii="Times New Roman" w:hAnsi="Times New Roman"/>
          <w:color w:val="000000"/>
          <w:sz w:val="24"/>
        </w:rPr>
        <w:t>. Suspension or termination of the Plan shall not impair rights and obligations under any Stock Award granted while the Plan is in effect except with the written consent of the affected Participant.</w:t>
      </w:r>
    </w:p>
    <w:p>
      <w:pPr>
        <w:pStyle w:val="TextBody"/>
        <w:bidi w:val="0"/>
        <w:spacing w:before="8" w:after="283"/>
        <w:jc w:val="both"/>
        <w:rPr/>
      </w:pPr>
      <w:r>
        <w:rPr/>
        <w:t> </w:t>
      </w:r>
    </w:p>
    <w:p>
      <w:pPr>
        <w:pStyle w:val="TextBody"/>
        <w:bidi w:val="0"/>
        <w:spacing w:before="8"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8" w:after="283"/>
        <w:jc w:val="both"/>
        <w:rPr>
          <w:rFonts w:ascii="Times New Roman" w:hAnsi="Times New Roman"/>
          <w:b/>
          <w:color w:val="000000"/>
          <w:sz w:val="24"/>
        </w:rPr>
      </w:pPr>
      <w:r>
        <w:rPr>
          <w:rFonts w:ascii="Times New Roman" w:hAnsi="Times New Roman"/>
          <w:b/>
          <w:color w:val="000000"/>
          <w:sz w:val="24"/>
        </w:rPr>
        <w:t>EFFECTIVE DATE OF PLAN.</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This Plan shall become effective on the Effective Date.</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CHOICE OF LAW.</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The law of the State of Washington shall govern all questions concerning the construction, validity and interpretation of this Plan, without regard to that state’s conflict of laws rules.</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78" w:after="283"/>
        <w:jc w:val="both"/>
        <w:rPr/>
      </w:pPr>
      <w:r>
        <w:rPr>
          <w:rFonts w:ascii="Times New Roman" w:hAnsi="Times New Roman"/>
          <w:b/>
          <w:color w:val="000000"/>
          <w:sz w:val="24"/>
        </w:rPr>
        <w:t>DEFINITIONS</w:t>
      </w:r>
      <w:r>
        <w:rPr>
          <w:rFonts w:ascii="Times New Roman" w:hAnsi="Times New Roman"/>
          <w:color w:val="000000"/>
          <w:sz w:val="24"/>
        </w:rPr>
        <w:t>. As used in the Plan, the following definitions shall apply to the capitalized terms indicated below:</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4" w:after="283"/>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8" w:after="283"/>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4" w:after="283"/>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 xml:space="preserve">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(revised)). Notwithstanding the foregoing, the conversion of any convertible securities of the Company shall not be treated as a Capitalization Adjustment.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6" w:after="283"/>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76" w:after="283"/>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6" w:after="283"/>
        <w:jc w:val="both"/>
        <w:rPr/>
      </w:pPr>
      <w:r>
        <w:rPr>
          <w:rFonts w:ascii="Times New Roman" w:hAnsi="Times New Roman"/>
          <w:color w:val="000000"/>
          <w:sz w:val="24"/>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olor w:val="000000"/>
          <w:sz w:val="24"/>
        </w:rPr>
        <w:t>Subject Person</w:t>
      </w:r>
      <w:r>
        <w:rPr>
          <w:color w:val="000000"/>
        </w:rPr>
        <w:t>”</w:t>
      </w:r>
      <w:r>
        <w:rPr>
          <w:rFonts w:ascii="Times New Roman" w:hAnsi="Times New Roman"/>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 xml:space="preserve">there is consummated a sale, lease, exclusive license or other disposition of all or substantially all of the consolidated assets of the Company and its Subsidiaries, other than a sale, lease, license or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74" w:after="283"/>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Internal Revenue Code of 1986, as amended, as well as any applicable regulations and guidance thereunder.</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78" w:after="283"/>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a committee of one (1) or more Directors to whom authority has been delegated by the Board in accordance with Section 2(c).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LeonaBio, Inc., a Delaware corporation, or any successor thereto.</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74" w:after="283"/>
        <w:jc w:val="both"/>
        <w:rPr/>
      </w:pPr>
      <w:r>
        <w:rPr>
          <w:color w:val="000000"/>
        </w:rPr>
        <w:t>“</w:t>
      </w:r>
      <w:r>
        <w:rPr>
          <w:rFonts w:ascii="Times New Roman" w:hAnsi="Times New Roman"/>
          <w:b/>
          <w:i/>
          <w:color w:val="000000"/>
          <w:sz w:val="24"/>
        </w:rPr>
        <w:t>Consultant</w:t>
      </w:r>
      <w:r>
        <w:rPr>
          <w:color w:val="000000"/>
        </w:rPr>
        <w:t xml:space="preserve">” </w:t>
      </w:r>
      <w:r>
        <w:rPr>
          <w:rFonts w:ascii="Times New Roman" w:hAnsi="Times New Roman"/>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pStyle w:val="TextBody"/>
        <w:bidi w:val="0"/>
        <w:spacing w:before="5" w:after="283"/>
        <w:jc w:val="both"/>
        <w:rPr/>
      </w:pPr>
      <w:r>
        <w:rPr/>
        <w:t> </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5" w:after="283"/>
        <w:jc w:val="both"/>
        <w:rPr/>
      </w:pPr>
      <w:r>
        <w:rPr>
          <w:color w:val="000000"/>
        </w:rPr>
        <w:t>“</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hAnsi="Times New Roman"/>
          <w:i/>
          <w:color w:val="000000"/>
          <w:sz w:val="24"/>
        </w:rPr>
        <w:t>provided, however</w:t>
      </w:r>
      <w:r>
        <w:rPr>
          <w:rFonts w:ascii="Times New Roman" w:hAnsi="Times New Roman"/>
          <w:color w:val="000000"/>
          <w:sz w:val="24"/>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pStyle w:val="TextBody"/>
        <w:bidi w:val="0"/>
        <w:spacing w:before="5" w:after="283"/>
        <w:jc w:val="both"/>
        <w:rPr/>
      </w:pPr>
      <w:r>
        <w:rPr/>
        <w:t> </w:t>
      </w:r>
    </w:p>
    <w:p>
      <w:pPr>
        <w:pStyle w:val="TextBody"/>
        <w:bidi w:val="0"/>
        <w:spacing w:before="5"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5"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the consummation of a sale or other disposition of all or substantially all, as determined by the Board in its sole discretion, of the consolidated assets of the Company and its Subsidiaries;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the consummation of a sale or other disposition of at least ninety percent (90%) of the outstanding securities of the Company;</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 consummation of a merger, consolidation or similar transaction following which the Company is not the surviving corporation; or</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279"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79" w:after="283"/>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279"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79" w:after="283"/>
        <w:jc w:val="both"/>
        <w:rPr/>
      </w:pPr>
      <w:r>
        <w:rPr>
          <w:color w:val="000000"/>
        </w:rPr>
        <w:t>“</w:t>
      </w:r>
      <w:r>
        <w:rPr>
          <w:rFonts w:ascii="Times New Roman" w:hAnsi="Times New Roman"/>
          <w:b/>
          <w:i/>
          <w:color w:val="000000"/>
          <w:sz w:val="24"/>
        </w:rPr>
        <w:t>Disability</w:t>
      </w:r>
      <w:r>
        <w:rPr>
          <w:color w:val="000000"/>
        </w:rPr>
        <w:t xml:space="preserve">” </w:t>
      </w:r>
      <w:r>
        <w:rPr>
          <w:rFonts w:ascii="Times New Roman" w:hAnsi="Times New Roman"/>
          <w:color w:val="000000"/>
          <w:sz w:val="24"/>
        </w:rPr>
        <w:t>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76" w:after="283"/>
        <w:jc w:val="both"/>
        <w:rPr/>
      </w:pPr>
      <w:r>
        <w:rPr>
          <w:color w:val="000000"/>
        </w:rPr>
        <w:t>“</w:t>
      </w:r>
      <w:r>
        <w:rPr>
          <w:rFonts w:ascii="Times New Roman" w:hAnsi="Times New Roman"/>
          <w:b/>
          <w:i/>
          <w:color w:val="000000"/>
          <w:sz w:val="24"/>
        </w:rPr>
        <w:t xml:space="preserve">Effective </w:t>
      </w:r>
      <w:r>
        <w:rPr>
          <w:rFonts w:ascii="Times New Roman" w:hAnsi="Times New Roman"/>
          <w:color w:val="000000"/>
          <w:sz w:val="24"/>
        </w:rPr>
        <w:t>Date” means the effective date of this Plan, which is the earlier. of (i) the date that this Plan is first approved by the Company’s stockholders, or (ii) the date this Plan is adopted by the Board.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76" w:after="283"/>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any person employed by the Company or an Affiliate. However, service solely as a Director, or payment of a fee for such services, shall not cause a Director to be considered an “Employee” for purposes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74" w:after="283"/>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means a corporation, partnership, limited liability company or other entity.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78" w:after="283"/>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74" w:after="283"/>
        <w:jc w:val="both"/>
        <w:rPr/>
      </w:pPr>
      <w:r>
        <w:rPr>
          <w:color w:val="000000"/>
        </w:rPr>
        <w:t>“</w:t>
      </w:r>
      <w:r>
        <w:rPr>
          <w:rFonts w:ascii="Times New Roman" w:hAnsi="Times New Roman"/>
          <w:b/>
          <w:i/>
          <w:color w:val="000000"/>
          <w:sz w:val="24"/>
        </w:rPr>
        <w:t>Exchange Act Person</w:t>
      </w:r>
      <w:r>
        <w:rPr>
          <w:color w:val="000000"/>
        </w:rPr>
        <w:t xml:space="preserve">” </w:t>
      </w:r>
      <w:r>
        <w:rPr>
          <w:rFonts w:ascii="Times New Roman" w:hAnsi="Times New Roman"/>
          <w:color w:val="000000"/>
          <w:sz w:val="24"/>
        </w:rPr>
        <w:t>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74" w:after="283"/>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the value of the Common Stock determined by the Board in compliance with Section 409A of the Code or, in the case of an Incentive Stock Option, in compliance with Section 422 of the Code.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274" w:after="283"/>
        <w:jc w:val="both"/>
        <w:rPr/>
      </w:pPr>
      <w:r>
        <w:rPr>
          <w:color w:val="000000"/>
        </w:rPr>
        <w:t>“</w:t>
      </w: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means an option that qualifies as an “incentive stock option” within the meaning of Section 422 of the Code and the regulations promulgated thereunder.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4" w:after="283"/>
        <w:jc w:val="both"/>
        <w:rPr/>
      </w:pPr>
      <w:r>
        <w:rPr>
          <w:color w:val="000000"/>
        </w:rPr>
        <w:t>“</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means an Option that does not qualify as an Incentive Stock Option.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(w)</w:t>
      </w:r>
    </w:p>
    <w:p>
      <w:pPr>
        <w:pStyle w:val="TextBody"/>
        <w:bidi w:val="0"/>
        <w:spacing w:before="274" w:after="283"/>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any person designated by the Company as an officer.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74" w:after="283"/>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means an Incentive Stock Option or a Nonstatutory Stock Option to purchase shares of Common Stock granted pursuant to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(y)</w:t>
      </w:r>
    </w:p>
    <w:p>
      <w:pPr>
        <w:pStyle w:val="TextBody"/>
        <w:bidi w:val="0"/>
        <w:spacing w:before="274" w:after="283"/>
        <w:jc w:val="both"/>
        <w:rPr/>
      </w:pPr>
      <w:r>
        <w:rPr>
          <w:color w:val="000000"/>
        </w:rPr>
        <w:t>“</w:t>
      </w:r>
      <w:r>
        <w:rPr>
          <w:rFonts w:ascii="Times New Roman" w:hAnsi="Times New Roman"/>
          <w:b/>
          <w:i/>
          <w:color w:val="000000"/>
          <w:sz w:val="24"/>
        </w:rPr>
        <w:t>Option Agreement</w:t>
      </w:r>
      <w:r>
        <w:rPr>
          <w:color w:val="000000"/>
        </w:rPr>
        <w:t xml:space="preserve">” </w:t>
      </w:r>
      <w:r>
        <w:rPr>
          <w:rFonts w:ascii="Times New Roman" w:hAnsi="Times New Roman"/>
          <w:color w:val="000000"/>
          <w:sz w:val="24"/>
        </w:rPr>
        <w:t>means a written agreement between the Company and an Optionholder evidencing the terms and conditions of an Option grant. Each Option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(z)</w:t>
      </w:r>
    </w:p>
    <w:p>
      <w:pPr>
        <w:pStyle w:val="TextBody"/>
        <w:bidi w:val="0"/>
        <w:spacing w:before="274" w:after="283"/>
        <w:jc w:val="both"/>
        <w:rPr/>
      </w:pPr>
      <w:r>
        <w:rPr>
          <w:color w:val="000000"/>
        </w:rPr>
        <w:t>“</w:t>
      </w:r>
      <w:r>
        <w:rPr>
          <w:rFonts w:ascii="Times New Roman" w:hAnsi="Times New Roman"/>
          <w:b/>
          <w:i/>
          <w:color w:val="000000"/>
          <w:sz w:val="24"/>
        </w:rPr>
        <w:t>Optionholder</w:t>
      </w:r>
      <w:r>
        <w:rPr>
          <w:color w:val="000000"/>
        </w:rPr>
        <w:t xml:space="preserve">” </w:t>
      </w:r>
      <w:r>
        <w:rPr>
          <w:rFonts w:ascii="Times New Roman" w:hAnsi="Times New Roman"/>
          <w:color w:val="000000"/>
          <w:sz w:val="24"/>
        </w:rPr>
        <w:t>means a person to whom an Option is granted pursuant to the Plan or, if applicable, such other person who holds an outstanding Option.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(aa)</w:t>
      </w:r>
    </w:p>
    <w:p>
      <w:pPr>
        <w:pStyle w:val="TextBody"/>
        <w:bidi w:val="0"/>
        <w:spacing w:before="274" w:after="283"/>
        <w:jc w:val="both"/>
        <w:rPr/>
      </w:pPr>
      <w:r>
        <w:rPr>
          <w:color w:val="000000"/>
        </w:rPr>
        <w:t>“</w:t>
      </w:r>
      <w:r>
        <w:rPr>
          <w:rFonts w:ascii="Times New Roman" w:hAnsi="Times New Roman"/>
          <w:b/>
          <w:i/>
          <w:color w:val="000000"/>
          <w:sz w:val="24"/>
        </w:rPr>
        <w:t>Own</w:t>
      </w:r>
      <w:r>
        <w:rPr>
          <w:rFonts w:ascii="Times New Roman" w:hAnsi="Times New Roman"/>
          <w:color w:val="000000"/>
          <w:sz w:val="24"/>
        </w:rPr>
        <w:t>,” “</w:t>
      </w:r>
      <w:r>
        <w:rPr>
          <w:rFonts w:ascii="Times New Roman" w:hAnsi="Times New Roman"/>
          <w:b/>
          <w:i/>
          <w:color w:val="000000"/>
          <w:sz w:val="24"/>
        </w:rPr>
        <w:t>Owned</w:t>
      </w:r>
      <w:r>
        <w:rPr>
          <w:rFonts w:ascii="Times New Roman" w:hAnsi="Times New Roman"/>
          <w:color w:val="000000"/>
          <w:sz w:val="24"/>
        </w:rPr>
        <w:t>,” “</w:t>
      </w:r>
      <w:r>
        <w:rPr>
          <w:rFonts w:ascii="Times New Roman" w:hAnsi="Times New Roman"/>
          <w:b/>
          <w:i/>
          <w:color w:val="000000"/>
          <w:sz w:val="24"/>
        </w:rPr>
        <w:t>Owner</w:t>
      </w:r>
      <w:r>
        <w:rPr>
          <w:rFonts w:ascii="Times New Roman" w:hAnsi="Times New Roman"/>
          <w:color w:val="000000"/>
          <w:sz w:val="24"/>
        </w:rPr>
        <w:t>,” “</w:t>
      </w:r>
      <w:r>
        <w:rPr>
          <w:rFonts w:ascii="Times New Roman" w:hAnsi="Times New Roman"/>
          <w:b/>
          <w:i/>
          <w:color w:val="000000"/>
          <w:sz w:val="24"/>
        </w:rPr>
        <w:t>Ownership</w:t>
      </w:r>
      <w:r>
        <w:rPr>
          <w:color w:val="000000"/>
        </w:rPr>
        <w:t xml:space="preserve">” </w:t>
      </w:r>
      <w:r>
        <w:rPr>
          <w:rFonts w:ascii="Times New Roman" w:hAnsi="Times New Roman"/>
          <w:color w:val="000000"/>
          <w:sz w:val="24"/>
        </w:rPr>
        <w:t>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(bb)</w:t>
      </w:r>
    </w:p>
    <w:p>
      <w:pPr>
        <w:pStyle w:val="TextBody"/>
        <w:bidi w:val="0"/>
        <w:spacing w:before="274" w:after="283"/>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 person to whom a Stock Award is granted pursuant to the Plan or, if applicable, such other person who holds an outstanding Stock Award.</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(cc)</w:t>
      </w:r>
    </w:p>
    <w:p>
      <w:pPr>
        <w:pStyle w:val="TextBody"/>
        <w:bidi w:val="0"/>
        <w:spacing w:before="274" w:after="283"/>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LeonaBio, Inc. 2014 Equity Incentive Plan.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78" w:after="283"/>
        <w:jc w:val="both"/>
        <w:rPr/>
      </w:pPr>
      <w:r>
        <w:rPr>
          <w:color w:val="000000"/>
        </w:rPr>
        <w:t>“</w:t>
      </w:r>
      <w:r>
        <w:rPr>
          <w:rFonts w:ascii="Times New Roman" w:hAnsi="Times New Roman"/>
          <w:b/>
          <w:i/>
          <w:color w:val="000000"/>
          <w:sz w:val="24"/>
        </w:rPr>
        <w:t>Restricted Stock Award</w:t>
      </w:r>
      <w:r>
        <w:rPr>
          <w:color w:val="000000"/>
        </w:rPr>
        <w:t xml:space="preserve">” </w:t>
      </w:r>
      <w:r>
        <w:rPr>
          <w:rFonts w:ascii="Times New Roman" w:hAnsi="Times New Roman"/>
          <w:color w:val="000000"/>
          <w:sz w:val="24"/>
        </w:rPr>
        <w:t>means an award of shares of Common Stock which is granted pursuant to the terms and conditions of Section 6(a).</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(dd)</w:t>
      </w:r>
    </w:p>
    <w:p>
      <w:pPr>
        <w:pStyle w:val="TextBody"/>
        <w:bidi w:val="0"/>
        <w:spacing w:before="274" w:after="283"/>
        <w:jc w:val="both"/>
        <w:rPr/>
      </w:pPr>
      <w:r>
        <w:rPr>
          <w:color w:val="000000"/>
        </w:rPr>
        <w:t>“</w:t>
      </w:r>
      <w:r>
        <w:rPr>
          <w:rFonts w:ascii="Times New Roman" w:hAnsi="Times New Roman"/>
          <w:b/>
          <w:i/>
          <w:color w:val="000000"/>
          <w:sz w:val="24"/>
        </w:rPr>
        <w:t>Restricted Stock Award Agreement</w:t>
      </w:r>
      <w:r>
        <w:rPr>
          <w:color w:val="000000"/>
        </w:rPr>
        <w:t xml:space="preserve">” </w:t>
      </w:r>
      <w:r>
        <w:rPr>
          <w:rFonts w:ascii="Times New Roman" w:hAnsi="Times New Roman"/>
          <w:color w:val="000000"/>
          <w:sz w:val="24"/>
        </w:rPr>
        <w:t>means a written agreement between the Company and a holder of a Restricted Stock Award evidencing the terms and conditions of a Restricted Stock Award. Each Restricted Stock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(ee)</w:t>
      </w:r>
    </w:p>
    <w:p>
      <w:pPr>
        <w:pStyle w:val="TextBody"/>
        <w:bidi w:val="0"/>
        <w:spacing w:before="274" w:after="283"/>
        <w:jc w:val="both"/>
        <w:rPr/>
      </w:pPr>
      <w:r>
        <w:rPr>
          <w:color w:val="000000"/>
        </w:rPr>
        <w:t>“</w:t>
      </w:r>
      <w:r>
        <w:rPr>
          <w:rFonts w:ascii="Times New Roman" w:hAnsi="Times New Roman"/>
          <w:b/>
          <w:i/>
          <w:color w:val="000000"/>
          <w:sz w:val="24"/>
        </w:rPr>
        <w:t>Restricted Stock Unit Award</w:t>
      </w:r>
      <w:r>
        <w:rPr>
          <w:color w:val="000000"/>
        </w:rPr>
        <w:t xml:space="preserve">” </w:t>
      </w:r>
      <w:r>
        <w:rPr>
          <w:rFonts w:ascii="Times New Roman" w:hAnsi="Times New Roman"/>
          <w:color w:val="000000"/>
          <w:sz w:val="24"/>
        </w:rPr>
        <w:t>means a right to receive shares of Common Stock which is granted pursuant to the terms and conditions of Section 6(b).</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(ff)</w:t>
      </w:r>
    </w:p>
    <w:p>
      <w:pPr>
        <w:pStyle w:val="TextBody"/>
        <w:bidi w:val="0"/>
        <w:spacing w:before="274" w:after="283"/>
        <w:jc w:val="both"/>
        <w:rPr/>
      </w:pPr>
      <w:r>
        <w:rPr>
          <w:color w:val="000000"/>
        </w:rPr>
        <w:t>“</w:t>
      </w:r>
      <w:r>
        <w:rPr>
          <w:rFonts w:ascii="Times New Roman" w:hAnsi="Times New Roman"/>
          <w:b/>
          <w:i/>
          <w:color w:val="000000"/>
          <w:sz w:val="24"/>
        </w:rPr>
        <w:t>Restricted Stock Unit Award Agreement</w:t>
      </w:r>
      <w:r>
        <w:rPr>
          <w:color w:val="000000"/>
        </w:rPr>
        <w:t xml:space="preserve">” </w:t>
      </w:r>
      <w:r>
        <w:rPr>
          <w:rFonts w:ascii="Times New Roman" w:hAnsi="Times New Roman"/>
          <w:color w:val="000000"/>
          <w:sz w:val="24"/>
        </w:rPr>
        <w:t>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(gg)</w:t>
      </w:r>
    </w:p>
    <w:p>
      <w:pPr>
        <w:pStyle w:val="TextBody"/>
        <w:bidi w:val="0"/>
        <w:spacing w:before="274" w:after="283"/>
        <w:jc w:val="both"/>
        <w:rPr/>
      </w:pPr>
      <w:r>
        <w:rPr>
          <w:color w:val="000000"/>
        </w:rPr>
        <w:t>“</w:t>
      </w:r>
      <w:r>
        <w:rPr>
          <w:rFonts w:ascii="Times New Roman" w:hAnsi="Times New Roman"/>
          <w:b/>
          <w:i/>
          <w:color w:val="000000"/>
          <w:sz w:val="24"/>
        </w:rPr>
        <w:t>Rule 405</w:t>
      </w:r>
      <w:r>
        <w:rPr>
          <w:color w:val="000000"/>
        </w:rPr>
        <w:t xml:space="preserve">” </w:t>
      </w:r>
      <w:r>
        <w:rPr>
          <w:rFonts w:ascii="Times New Roman" w:hAnsi="Times New Roman"/>
          <w:color w:val="000000"/>
          <w:sz w:val="24"/>
        </w:rPr>
        <w:t>means Rule 405 promulgated under the Securities Act.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(hh)</w:t>
      </w:r>
    </w:p>
    <w:p>
      <w:pPr>
        <w:pStyle w:val="TextBody"/>
        <w:bidi w:val="0"/>
        <w:spacing w:before="274" w:after="283"/>
        <w:jc w:val="both"/>
        <w:rPr/>
      </w:pPr>
      <w:r>
        <w:rPr>
          <w:color w:val="000000"/>
        </w:rPr>
        <w:t>“</w:t>
      </w:r>
      <w:r>
        <w:rPr>
          <w:rFonts w:ascii="Times New Roman" w:hAnsi="Times New Roman"/>
          <w:b/>
          <w:i/>
          <w:color w:val="000000"/>
          <w:sz w:val="24"/>
        </w:rPr>
        <w:t>Rule 701</w:t>
      </w:r>
      <w:r>
        <w:rPr>
          <w:color w:val="000000"/>
        </w:rPr>
        <w:t xml:space="preserve">” </w:t>
      </w:r>
      <w:r>
        <w:rPr>
          <w:rFonts w:ascii="Times New Roman" w:hAnsi="Times New Roman"/>
          <w:color w:val="000000"/>
          <w:sz w:val="24"/>
        </w:rPr>
        <w:t>means Rule 701 promulgated under the Securities Act.</w:t>
      </w:r>
    </w:p>
    <w:p>
      <w:pPr>
        <w:pStyle w:val="TextBody"/>
        <w:bidi w:val="0"/>
        <w:spacing w:before="274" w:after="283"/>
        <w:jc w:val="both"/>
        <w:rPr>
          <w:rFonts w:ascii="Times New Roman" w:hAnsi="Times New Roman"/>
          <w:b/>
          <w:i/>
          <w:color w:val="000000"/>
          <w:sz w:val="24"/>
        </w:rPr>
      </w:pPr>
      <w:r>
        <w:rPr>
          <w:rFonts w:ascii="Times New Roman" w:hAnsi="Times New Roman"/>
          <w:b/>
          <w:i/>
          <w:color w:val="000000"/>
          <w:sz w:val="24"/>
        </w:rPr>
        <w:t>(ii)</w:t>
      </w:r>
    </w:p>
    <w:p>
      <w:pPr>
        <w:pStyle w:val="TextBody"/>
        <w:bidi w:val="0"/>
        <w:spacing w:before="274" w:after="283"/>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Securities Act of 1933, as amended.</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(jj)</w:t>
      </w:r>
    </w:p>
    <w:p>
      <w:pPr>
        <w:pStyle w:val="TextBody"/>
        <w:bidi w:val="0"/>
        <w:spacing w:before="274" w:after="283"/>
        <w:jc w:val="both"/>
        <w:rPr/>
      </w:pPr>
      <w:r>
        <w:rPr>
          <w:color w:val="000000"/>
        </w:rPr>
        <w:t>“</w:t>
      </w:r>
      <w:r>
        <w:rPr>
          <w:rFonts w:ascii="Times New Roman" w:hAnsi="Times New Roman"/>
          <w:b/>
          <w:i/>
          <w:color w:val="000000"/>
          <w:sz w:val="24"/>
        </w:rPr>
        <w:t>Stock Appreciation Right</w:t>
      </w:r>
      <w:r>
        <w:rPr>
          <w:color w:val="000000"/>
        </w:rPr>
        <w:t xml:space="preserve">” </w:t>
      </w:r>
      <w:r>
        <w:rPr>
          <w:rFonts w:ascii="Times New Roman" w:hAnsi="Times New Roman"/>
          <w:color w:val="000000"/>
          <w:sz w:val="24"/>
        </w:rPr>
        <w:t>or “</w:t>
      </w:r>
      <w:r>
        <w:rPr>
          <w:rFonts w:ascii="Times New Roman" w:hAnsi="Times New Roman"/>
          <w:b/>
          <w:i/>
          <w:color w:val="000000"/>
          <w:sz w:val="24"/>
        </w:rPr>
        <w:t>SAR</w:t>
      </w:r>
      <w:r>
        <w:rPr>
          <w:color w:val="000000"/>
        </w:rPr>
        <w:t xml:space="preserve">” </w:t>
      </w:r>
      <w:r>
        <w:rPr>
          <w:rFonts w:ascii="Times New Roman" w:hAnsi="Times New Roman"/>
          <w:color w:val="000000"/>
          <w:sz w:val="24"/>
        </w:rPr>
        <w:t>means a right to receive the appreciation on Common Stock that is granted pursuant to the terms and conditions of Section 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(kk)</w:t>
      </w:r>
    </w:p>
    <w:p>
      <w:pPr>
        <w:pStyle w:val="TextBody"/>
        <w:bidi w:val="0"/>
        <w:spacing w:before="274" w:after="283"/>
        <w:jc w:val="both"/>
        <w:rPr/>
      </w:pPr>
      <w:r>
        <w:rPr>
          <w:color w:val="000000"/>
        </w:rPr>
        <w:t>“</w:t>
      </w:r>
      <w:r>
        <w:rPr>
          <w:rFonts w:ascii="Times New Roman" w:hAnsi="Times New Roman"/>
          <w:b/>
          <w:i/>
          <w:color w:val="000000"/>
          <w:sz w:val="24"/>
        </w:rPr>
        <w:t>Stock Appreciation Right Agreement</w:t>
      </w:r>
      <w:r>
        <w:rPr>
          <w:color w:val="000000"/>
        </w:rPr>
        <w:t xml:space="preserve">” </w:t>
      </w:r>
      <w:r>
        <w:rPr>
          <w:rFonts w:ascii="Times New Roman" w:hAnsi="Times New Roman"/>
          <w:color w:val="000000"/>
          <w:sz w:val="24"/>
        </w:rPr>
        <w:t>means a written agreement between the Company and a holder of a Stock Appreciation Right evidencing the terms and conditions of a Stock Appreciation Right grant. Each Stock Appreciation Right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(ll)</w:t>
      </w:r>
    </w:p>
    <w:p>
      <w:pPr>
        <w:pStyle w:val="TextBody"/>
        <w:bidi w:val="0"/>
        <w:spacing w:before="274" w:after="283"/>
        <w:jc w:val="both"/>
        <w:rPr/>
      </w:pPr>
      <w:r>
        <w:rPr>
          <w:color w:val="000000"/>
        </w:rPr>
        <w:t>“</w:t>
      </w:r>
      <w:r>
        <w:rPr>
          <w:rFonts w:ascii="Times New Roman" w:hAnsi="Times New Roman"/>
          <w:b/>
          <w:i/>
          <w:color w:val="000000"/>
          <w:sz w:val="24"/>
        </w:rPr>
        <w:t>Stock Award</w:t>
      </w:r>
      <w:r>
        <w:rPr>
          <w:color w:val="000000"/>
        </w:rPr>
        <w:t xml:space="preserve">” </w:t>
      </w:r>
      <w:r>
        <w:rPr>
          <w:rFonts w:ascii="Times New Roman" w:hAnsi="Times New Roman"/>
          <w:color w:val="000000"/>
          <w:sz w:val="24"/>
        </w:rPr>
        <w:t>means any right to receive Common Stock granted under the Plan, including an Incentive Stock Option, a Nonstatutory Stock Option, a Restricted Stock Award, a Restricted Stock Unit Award, or a Stock Appreciation Right.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(mm)</w:t>
      </w:r>
    </w:p>
    <w:p>
      <w:pPr>
        <w:pStyle w:val="TextBody"/>
        <w:bidi w:val="0"/>
        <w:spacing w:before="274" w:after="283"/>
        <w:jc w:val="both"/>
        <w:rPr/>
      </w:pPr>
      <w:r>
        <w:rPr>
          <w:color w:val="000000"/>
        </w:rPr>
        <w:t>“</w:t>
      </w:r>
      <w:r>
        <w:rPr>
          <w:rFonts w:ascii="Times New Roman" w:hAnsi="Times New Roman"/>
          <w:b/>
          <w:i/>
          <w:color w:val="000000"/>
          <w:sz w:val="24"/>
        </w:rPr>
        <w:t>Stock Award Agreement</w:t>
      </w:r>
      <w:r>
        <w:rPr>
          <w:color w:val="000000"/>
        </w:rPr>
        <w:t xml:space="preserve">” </w:t>
      </w:r>
      <w:r>
        <w:rPr>
          <w:rFonts w:ascii="Times New Roman" w:hAnsi="Times New Roman"/>
          <w:color w:val="000000"/>
          <w:sz w:val="24"/>
        </w:rPr>
        <w:t>means a written agreement between the Company and a Participant evidencing the terms and conditions of a Stock Award grant. Each Stock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(nn)</w:t>
      </w:r>
    </w:p>
    <w:p>
      <w:pPr>
        <w:pStyle w:val="TextBody"/>
        <w:bidi w:val="0"/>
        <w:spacing w:before="274" w:after="283"/>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(oo)</w:t>
      </w:r>
    </w:p>
    <w:p>
      <w:pPr>
        <w:pStyle w:val="TextBody"/>
        <w:bidi w:val="0"/>
        <w:spacing w:before="274" w:after="283"/>
        <w:jc w:val="both"/>
        <w:rPr/>
      </w:pPr>
      <w:r>
        <w:rPr>
          <w:color w:val="000000"/>
        </w:rPr>
        <w:t>“</w:t>
      </w:r>
      <w:r>
        <w:rPr>
          <w:rFonts w:ascii="Times New Roman" w:hAnsi="Times New Roman"/>
          <w:b/>
          <w:i/>
          <w:color w:val="000000"/>
          <w:sz w:val="24"/>
        </w:rPr>
        <w:t>Ten Percent Shareholder</w:t>
      </w:r>
      <w:r>
        <w:rPr>
          <w:color w:val="000000"/>
        </w:rPr>
        <w:t xml:space="preserve">” </w:t>
      </w:r>
      <w:r>
        <w:rPr>
          <w:rFonts w:ascii="Times New Roman" w:hAnsi="Times New Roman"/>
          <w:color w:val="000000"/>
          <w:sz w:val="24"/>
        </w:rPr>
        <w:t>means a person who Owns (or is deemed to Own pursuant to Section 424(d) of the Code) stock possessing more than ten percent (10%) of the total combined voting power of all classes of stock of the Company or any Affiliate.</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3"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lona-ex10_3.htm"/>
      <w:bookmarkStart w:id="44" w:name="kslonaex10_3"/>
      <w:bookmarkEnd w:id="43"/>
      <w:bookmarkEnd w:id="44"/>
      <w:r>
        <w:rPr>
          <w:rFonts w:ascii="Times New Roman" w:hAnsi="Times New Roman"/>
          <w:b/>
          <w:color w:val="000000"/>
          <w:sz w:val="20"/>
        </w:rPr>
        <w:t>Exhibit 10.3</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(As Amended and Restated on January 9,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Purposes of the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left"/>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left"/>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left"/>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left"/>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left"/>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2.6.1.1.</w:t>
      </w:r>
    </w:p>
    <w:p>
      <w:pPr>
        <w:pStyle w:val="TextBody"/>
        <w:bidi w:val="0"/>
        <w:spacing w:before="240" w:after="283"/>
        <w:jc w:val="left"/>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pPr>
      <w:r>
        <w:rPr>
          <w:rFonts w:ascii="Times New Roman" w:hAnsi="Times New Roman"/>
          <w:color w:val="000000"/>
          <w:sz w:val="24"/>
        </w:rPr>
        <w:t>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2.6.1.2.</w:t>
      </w:r>
    </w:p>
    <w:p>
      <w:pPr>
        <w:pStyle w:val="TextBody"/>
        <w:bidi w:val="0"/>
        <w:spacing w:before="240" w:after="283"/>
        <w:jc w:val="left"/>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2.6.1.3.</w:t>
      </w:r>
    </w:p>
    <w:p>
      <w:pPr>
        <w:pStyle w:val="TextBody"/>
        <w:bidi w:val="0"/>
        <w:spacing w:before="240" w:after="283"/>
        <w:jc w:val="left"/>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left"/>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left"/>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4hereof.</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left"/>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left"/>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LeonaBio,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left"/>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left"/>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left"/>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left"/>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left"/>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left"/>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left"/>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2.17.1.1.</w:t>
      </w:r>
    </w:p>
    <w:p>
      <w:pPr>
        <w:pStyle w:val="TextBody"/>
        <w:bidi w:val="0"/>
        <w:spacing w:before="240" w:after="283"/>
        <w:jc w:val="left"/>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2.17.1.2.</w:t>
      </w:r>
    </w:p>
    <w:p>
      <w:pPr>
        <w:pStyle w:val="TextBody"/>
        <w:bidi w:val="0"/>
        <w:spacing w:before="240" w:after="283"/>
        <w:jc w:val="left"/>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 xml:space="preserve">or such other source as the Administrator deems reliable;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For purposes of any Awards granted on the Registration Date, the Fair Market Value will be the initial price to the public as set forth in the final prospectus included within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registration statement on Form S-1 filed with the Securities and Exchange Commission for the initial public offering of the Common Stock;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left"/>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left"/>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left"/>
        <w:rPr/>
      </w:pPr>
      <w:r>
        <w:rPr>
          <w:color w:val="000000"/>
        </w:rPr>
        <w:t>“</w:t>
      </w:r>
      <w:r>
        <w:rPr>
          <w:rFonts w:ascii="Times New Roman" w:hAnsi="Times New Roman"/>
          <w:color w:val="000000"/>
          <w:sz w:val="24"/>
          <w:u w:val="single"/>
        </w:rPr>
        <w:t>Inside Director</w:t>
      </w:r>
      <w:r>
        <w:rPr>
          <w:color w:val="000000"/>
        </w:rPr>
        <w:t xml:space="preserve">” </w:t>
      </w:r>
      <w:r>
        <w:rPr>
          <w:rFonts w:ascii="Times New Roman" w:hAnsi="Times New Roman"/>
          <w:color w:val="000000"/>
          <w:sz w:val="24"/>
        </w:rPr>
        <w:t xml:space="preserve">means a Director who is an Employee.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left"/>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left"/>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left"/>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left"/>
        <w:rPr/>
      </w:pPr>
      <w:r>
        <w:rPr>
          <w:color w:val="000000"/>
        </w:rPr>
        <w:t>“</w:t>
      </w:r>
      <w:r>
        <w:rPr>
          <w:rFonts w:ascii="Times New Roman" w:hAnsi="Times New Roman"/>
          <w:color w:val="000000"/>
          <w:sz w:val="24"/>
          <w:u w:val="single"/>
        </w:rPr>
        <w:t>Outside Director</w:t>
      </w:r>
      <w:r>
        <w:rPr>
          <w:color w:val="000000"/>
        </w:rPr>
        <w:t xml:space="preserve">” </w:t>
      </w:r>
      <w:r>
        <w:rPr>
          <w:rFonts w:ascii="Times New Roman" w:hAnsi="Times New Roman"/>
          <w:color w:val="000000"/>
          <w:sz w:val="24"/>
        </w:rPr>
        <w:t>means a Director who is not an Employee.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left"/>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left"/>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left"/>
        <w:rPr/>
      </w:pPr>
      <w:r>
        <w:rPr>
          <w:color w:val="000000"/>
          <w:u w:val="single"/>
        </w:rPr>
        <w:t>“</w:t>
      </w:r>
      <w:r>
        <w:rPr>
          <w:rFonts w:ascii="Times New Roman" w:hAnsi="Times New Roman"/>
          <w:color w:val="000000"/>
          <w:sz w:val="24"/>
          <w:u w:val="single"/>
        </w:rPr>
        <w:t>Performance Awards</w:t>
      </w:r>
      <w:r>
        <w:rPr>
          <w:color w:val="000000"/>
        </w:rPr>
        <w:t xml:space="preserve">” </w:t>
      </w:r>
      <w:r>
        <w:rPr>
          <w:rFonts w:ascii="Times New Roman" w:hAnsi="Times New Roman"/>
          <w:color w:val="000000"/>
          <w:sz w:val="24"/>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left"/>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left"/>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left"/>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2020 Equity Incentive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left"/>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left"/>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left"/>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left"/>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left"/>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left"/>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left"/>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left"/>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left"/>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left"/>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left"/>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w:t>
        <w:softHyphen/>
        <w:t>ing, as defined in Code Section 424(f).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left"/>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2.43.</w:t>
      </w:r>
    </w:p>
    <w:p>
      <w:pPr>
        <w:pStyle w:val="TextBody"/>
        <w:bidi w:val="0"/>
        <w:spacing w:before="240" w:after="283"/>
        <w:jc w:val="left"/>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15 and the automatic increase set forth in Section 3.2, the maximum aggregate number of Shares that may be subject to Awards and sold under the Plan will be equal to (a) 473,350 Shares plus (b) any Shares subject to awards granted under the Company’s 2014 Equity Incentive Plan (the “</w:t>
      </w:r>
      <w:r>
        <w:rPr>
          <w:rFonts w:ascii="Times New Roman" w:hAnsi="Times New Roman"/>
          <w:color w:val="000000"/>
          <w:sz w:val="24"/>
          <w:u w:val="single"/>
        </w:rPr>
        <w:t>2014 Plan</w:t>
      </w:r>
      <w:r>
        <w:rPr>
          <w:color w:val="000000"/>
        </w:rPr>
        <w:t>”</w:t>
      </w:r>
      <w:r>
        <w:rPr>
          <w:rFonts w:ascii="Times New Roman" w:hAnsi="Times New Roman"/>
          <w:color w:val="000000"/>
          <w:sz w:val="24"/>
        </w:rPr>
        <w:t>) that, after the date the 2014 Plan is terminated, are cancelled, expire or otherwise terminate without having been exercised in full and Shares issued pursuant to awards granted under the 2014 Plan that are forfeited to or repurchased by the Company, with the maximum number of Shares to be added to the Plan pursuant to clause (b) equal to 195,083 Shares. In addition, Shares may become available for issuance under Sections 3.2and 3.3. The Shares may be authorized but unissued, or reacquired Common Stock.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left"/>
        <w:rPr/>
      </w:pPr>
      <w:r>
        <w:rPr>
          <w:rFonts w:ascii="Times New Roman" w:hAnsi="Times New Roman"/>
          <w:color w:val="000000"/>
          <w:sz w:val="24"/>
          <w:u w:val="single"/>
        </w:rPr>
        <w:t>Automatic Share Reserve Increase</w:t>
      </w:r>
      <w:r>
        <w:rPr>
          <w:rFonts w:ascii="Times New Roman" w:hAnsi="Times New Roman"/>
          <w:color w:val="000000"/>
          <w:sz w:val="24"/>
        </w:rPr>
        <w:t>. Subject to adjustment upon changes in capitalization of the Company as provided in Section 15, the number of Shares available for issuance under the Plan will be increased on the first day of each Fiscal Year beginning with the 2021 Fiscal Year, in an amount equal to the least of (a) 323,000 Shares, (b) five percent (5%) of the outstanding Shares on the last day of the immediately preceding Fiscal Year, or (c) such number of Shares determined by the Board no later than the last day of the immediately preceding Fiscal Year.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left"/>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is surrendered pursuant to an Exchange Program, or, with respect to Restricted Stock,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pPr>
      <w:r>
        <w:rPr>
          <w:rFonts w:ascii="Times New Roman" w:hAnsi="Times New Roman"/>
          <w:color w:val="000000"/>
          <w:sz w:val="24"/>
        </w:rPr>
        <w:t>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r>
        <w:rPr>
          <w:color w:val="00000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left"/>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left"/>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xml:space="preserve">. Other than as provided above, the Plan will be administered by (A) the Board or (B) a Committee, which Committee will be constituted to comply with Applicable Laws.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left"/>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select the Service Providers to whom Awards may be granted 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to determine the terms and conditions, not inconsistent with the terms of the Plan, of any Award granted hereunder. Such terms and conditions include, but are not limited to,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institute and determine the terms and conditions of an Exchange Program, including, subject to Section 20.3, to unilaterally implement an Exchange Program without the consent of the applicable Award holder;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4.2.1.10.</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4.2.1.13.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left"/>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left"/>
        <w:rPr/>
      </w:pPr>
      <w:r>
        <w:rPr>
          <w:rFonts w:ascii="Times New Roman" w:hAnsi="Times New Roman"/>
          <w:color w:val="000000"/>
          <w:sz w:val="24"/>
          <w:u w:val="single"/>
        </w:rPr>
        <w:t>Grant of Options</w:t>
      </w:r>
      <w:r>
        <w:rPr>
          <w:rFonts w:ascii="Times New Roman" w:hAnsi="Times New Roman"/>
          <w:color w:val="000000"/>
          <w:sz w:val="24"/>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left"/>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left"/>
        <w:rPr/>
      </w:pPr>
      <w:r>
        <w:rPr>
          <w:rFonts w:ascii="Times New Roman" w:hAnsi="Times New Roman"/>
          <w:color w:val="000000"/>
          <w:sz w:val="24"/>
          <w:u w:val="single"/>
        </w:rPr>
        <w:t>Limitations</w:t>
      </w:r>
      <w:r>
        <w:rPr>
          <w:rFonts w:ascii="Times New Roman" w:hAnsi="Times New Roman"/>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left"/>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left"/>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6.6.</w:t>
      </w:r>
    </w:p>
    <w:p>
      <w:pPr>
        <w:pStyle w:val="TextBody"/>
        <w:bidi w:val="0"/>
        <w:spacing w:before="240" w:after="283"/>
        <w:jc w:val="left"/>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xml:space="preserve">. Any Option granted hereunder will be exercisable according to the terms of the Plan and at such times and under such conditions as determined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16</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both"/>
        <w:rPr/>
      </w:pPr>
      <w:r>
        <w:rPr>
          <w:rFonts w:ascii="Times New Roman" w:hAnsi="Times New Roman"/>
          <w:color w:val="000000"/>
          <w:sz w:val="24"/>
        </w:rPr>
        <w:t>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6.6.5.1.</w:t>
      </w:r>
    </w:p>
    <w:p>
      <w:pPr>
        <w:pStyle w:val="TextBody"/>
        <w:bidi w:val="0"/>
        <w:spacing w:before="240" w:after="283"/>
        <w:jc w:val="left"/>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6.6.5.2.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left"/>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left"/>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left"/>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left"/>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left"/>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left"/>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7.6.1.1.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7.6.1.2.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left"/>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left"/>
        <w:rPr/>
      </w:pP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left"/>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left"/>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left"/>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left"/>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left"/>
        <w:rPr/>
      </w:pPr>
      <w:r>
        <w:rPr>
          <w:rFonts w:ascii="Times New Roman" w:hAnsi="Times New Roman"/>
          <w:color w:val="000000"/>
          <w:sz w:val="24"/>
          <w:u w:val="single"/>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left"/>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left"/>
        <w:rPr/>
      </w:pPr>
      <w:r>
        <w:rPr>
          <w:rFonts w:ascii="Times New Roman" w:hAnsi="Times New Roman"/>
          <w:color w:val="000000"/>
          <w:sz w:val="24"/>
          <w:u w:val="single"/>
        </w:rPr>
        <w:t>Grant</w:t>
      </w:r>
      <w:r>
        <w:rPr>
          <w:rFonts w:ascii="Times New Roman" w:hAnsi="Times New Roman"/>
          <w:color w:val="000000"/>
          <w:sz w:val="24"/>
        </w:rPr>
        <w:t xml:space="preserve">. Restricted Stock Units may be granted at any time and from time to time as determined by the Administrator. After the Administrator determines that it will grant Restricted Stock Units, it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will advise the Participant in an Award Agreement of the terms, conditions, and restrictions related to the grant, including the number of Restricted Stock Units.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left"/>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left"/>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left"/>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left"/>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 xml:space="preserve">Award Agreement.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left"/>
        <w:rPr/>
      </w:pPr>
      <w:r>
        <w:rPr>
          <w:rFonts w:ascii="Times New Roman" w:hAnsi="Times New Roman"/>
          <w:color w:val="000000"/>
          <w:sz w:val="24"/>
          <w:u w:val="single"/>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left"/>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left"/>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left"/>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Outside Director Award Limitations</w:t>
      </w:r>
      <w:r>
        <w:rPr>
          <w:rFonts w:ascii="Times New Roman" w:hAnsi="Times New Roman"/>
          <w:color w:val="000000"/>
          <w:sz w:val="24"/>
        </w:rPr>
        <w:t xml:space="preserve">. No Outside Director may be granted, in any Fiscal Year, Awards (the value of which will be based on their grant date fair value determined in accordance with U.S.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both"/>
        <w:rPr/>
      </w:pPr>
      <w:r>
        <w:rPr>
          <w:rFonts w:ascii="Times New Roman" w:hAnsi="Times New Roman"/>
          <w:color w:val="000000"/>
          <w:sz w:val="24"/>
        </w:rPr>
        <w:t>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11.</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6"/>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xml:space="preserve">. </w:t>
      </w:r>
      <w:r>
        <w:rPr>
          <w:rFonts w:ascii="Times New Roman" w:hAnsi="Times New Roman"/>
          <w:color w:val="0000FF"/>
          <w:sz w:val="24"/>
          <w:u w:val="single"/>
        </w:rPr>
        <w:t>Unless determined otherwise by the Administrator, Awards</w:t>
      </w:r>
      <w:r>
        <w:rPr>
          <w:color w:val="000000"/>
        </w:rPr>
        <w:t xml:space="preserve"> </w:t>
      </w:r>
      <w:r>
        <w:rPr>
          <w:rFonts w:ascii="Times New Roman" w:hAnsi="Times New Roman"/>
          <w:color w:val="000000"/>
          <w:sz w:val="24"/>
        </w:rPr>
        <w:t>may not be</w:t>
      </w:r>
      <w:r>
        <w:rPr>
          <w:color w:val="0000FF"/>
          <w:u w:val="single"/>
        </w:rPr>
        <w:t xml:space="preserve"> </w:t>
      </w:r>
      <w:r>
        <w:rPr>
          <w:rFonts w:ascii="Times New Roman" w:hAnsi="Times New Roman"/>
          <w:color w:val="0000FF"/>
          <w:sz w:val="24"/>
          <w:u w:val="single"/>
        </w:rPr>
        <w:t xml:space="preserve">sold, pledged, assigned, hypothecated, </w:t>
      </w:r>
      <w:r>
        <w:rPr>
          <w:rFonts w:ascii="Times New Roman" w:hAnsi="Times New Roman"/>
          <w:color w:val="000000"/>
          <w:sz w:val="24"/>
        </w:rPr>
        <w:t>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left"/>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left"/>
        <w:rPr/>
      </w:pPr>
      <w:r>
        <w:rPr>
          <w:rFonts w:ascii="Times New Roman" w:hAnsi="Times New Roman"/>
          <w:color w:val="000000"/>
          <w:sz w:val="24"/>
          <w:u w:val="single"/>
        </w:rPr>
        <w:t>Dissolution or Liquidation</w:t>
      </w:r>
      <w:r>
        <w:rPr>
          <w:rFonts w:ascii="Times New Roman" w:hAnsi="Times New Roman"/>
          <w:color w:val="000000"/>
          <w:sz w:val="24"/>
        </w:rPr>
        <w:t xml:space="preserve">. In the event of the proposed dissolution or liquidation of the Company, the Administrator will notify each Participant as soon as practicable prior to the effective date of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such proposed transaction. To the extent it has not been previously exercised, an Award will terminate immediately prior to the consummation of such proposed 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15.3.</w:t>
      </w:r>
    </w:p>
    <w:p>
      <w:pPr>
        <w:pStyle w:val="TextBody"/>
        <w:bidi w:val="0"/>
        <w:spacing w:before="240" w:after="283"/>
        <w:jc w:val="left"/>
        <w:rPr/>
      </w:pPr>
      <w:r>
        <w:rPr>
          <w:rFonts w:ascii="Times New Roman" w:hAnsi="Times New Roman"/>
          <w:color w:val="000000"/>
          <w:sz w:val="24"/>
          <w:u w:val="single"/>
        </w:rPr>
        <w:t>Merger or Change in Control</w:t>
      </w:r>
      <w:r>
        <w:rPr>
          <w:rFonts w:ascii="Times New Roman" w:hAnsi="Times New Roman"/>
          <w:color w:val="000000"/>
          <w:sz w:val="24"/>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sz w:val="20"/>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15.4.</w:t>
      </w:r>
    </w:p>
    <w:p>
      <w:pPr>
        <w:pStyle w:val="TextBody"/>
        <w:bidi w:val="0"/>
        <w:spacing w:before="240" w:after="283"/>
        <w:jc w:val="left"/>
        <w:rPr/>
      </w:pPr>
      <w:r>
        <w:rPr>
          <w:rFonts w:ascii="Times New Roman" w:hAnsi="Times New Roman"/>
          <w:color w:val="000000"/>
          <w:sz w:val="24"/>
          <w:u w:val="single"/>
        </w:rPr>
        <w:t>Outside Director Awards</w:t>
      </w:r>
      <w:r>
        <w:rPr>
          <w:rFonts w:ascii="Times New Roman" w:hAnsi="Times New Roman"/>
          <w:color w:val="000000"/>
          <w:sz w:val="24"/>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16.1.</w:t>
      </w:r>
    </w:p>
    <w:p>
      <w:pPr>
        <w:pStyle w:val="TextBody"/>
        <w:bidi w:val="0"/>
        <w:spacing w:before="240" w:after="283"/>
        <w:jc w:val="left"/>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16.2.</w:t>
      </w:r>
    </w:p>
    <w:p>
      <w:pPr>
        <w:pStyle w:val="TextBody"/>
        <w:bidi w:val="0"/>
        <w:spacing w:before="240" w:after="283"/>
        <w:jc w:val="left"/>
        <w:rPr/>
      </w:pPr>
      <w:r>
        <w:rPr>
          <w:rFonts w:ascii="Times New Roman" w:hAnsi="Times New Roman"/>
          <w:color w:val="000000"/>
          <w:sz w:val="24"/>
          <w:u w:val="single"/>
        </w:rPr>
        <w:t>Withholding Arrangements</w:t>
      </w:r>
      <w:r>
        <w:rPr>
          <w:rFonts w:ascii="Times New Roman" w:hAnsi="Times New Roman"/>
          <w:color w:val="000000"/>
          <w:sz w:val="24"/>
        </w:rPr>
        <w:t xml:space="preserve">.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pPr>
      <w:r>
        <w:rPr>
          <w:rFonts w:ascii="Times New Roman" w:hAnsi="Times New Roman"/>
          <w:color w:val="000000"/>
          <w:sz w:val="24"/>
        </w:rPr>
        <w:t>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Subject to Section 23 of the Plan, the Plan will become effective as of one business day prior to the Registration Date (the “</w:t>
      </w:r>
      <w:r>
        <w:rPr>
          <w:rFonts w:ascii="Times New Roman" w:hAnsi="Times New Roman"/>
          <w:color w:val="000000"/>
          <w:sz w:val="24"/>
          <w:u w:val="single"/>
        </w:rPr>
        <w:t>Effective Date</w:t>
      </w:r>
      <w:r>
        <w:rPr>
          <w:color w:val="000000"/>
        </w:rPr>
        <w:t>”</w:t>
      </w:r>
      <w:r>
        <w:rPr>
          <w:rFonts w:ascii="Times New Roman" w:hAnsi="Times New Roman"/>
          <w:color w:val="000000"/>
          <w:sz w:val="24"/>
        </w:rPr>
        <w:t>). The Plan will continue in effect until terminated under Section 20,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left"/>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left"/>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necessary and desirable to comply with Applicable Laws.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20.3.</w:t>
      </w:r>
    </w:p>
    <w:p>
      <w:pPr>
        <w:pStyle w:val="TextBody"/>
        <w:bidi w:val="0"/>
        <w:spacing w:before="240" w:after="283"/>
        <w:jc w:val="left"/>
        <w:rPr/>
      </w:pP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left"/>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left"/>
        <w:rPr/>
      </w:pPr>
      <w:r>
        <w:rPr>
          <w:rFonts w:ascii="Times New Roman" w:hAnsi="Times New Roman"/>
          <w:color w:val="000000"/>
          <w:sz w:val="24"/>
          <w:u w:val="single"/>
        </w:rPr>
        <w:t>Investment Representations</w:t>
      </w:r>
      <w:r>
        <w:rPr>
          <w:rFonts w:ascii="Times New Roman" w:hAnsi="Times New Roman"/>
          <w:color w:val="000000"/>
          <w:sz w:val="24"/>
        </w:rPr>
        <w:t xml:space="preserve">. As a condition to the exercise of an Award, the Company may require the person exercising such Award to represent and warrant at the time of any such exercise that the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lona-ex10_4.htm"/>
      <w:bookmarkStart w:id="46" w:name="kslonaex10_4"/>
      <w:bookmarkEnd w:id="45"/>
      <w:bookmarkEnd w:id="46"/>
      <w:r>
        <w:rPr>
          <w:rFonts w:ascii="Times New Roman" w:hAnsi="Times New Roman"/>
          <w:b/>
          <w:color w:val="000000"/>
          <w:sz w:val="20"/>
        </w:rPr>
        <w:t>Exhibit 10.4</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STOCK OPTION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LeonaBio, Inc. 2020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shall have the same defined meanings in this Stock Option Agreement, which includes the Notice of Stock Option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Stock Option Grant, attached hereto as </w:t>
      </w:r>
      <w:r>
        <w:rPr>
          <w:rFonts w:ascii="Times New Roman" w:hAnsi="Times New Roman"/>
          <w:b/>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b/>
          <w:color w:val="000000"/>
          <w:sz w:val="24"/>
          <w:u w:val="single"/>
        </w:rPr>
        <w:t>Exhibit B</w:t>
      </w:r>
      <w:r>
        <w:rPr>
          <w:rFonts w:ascii="Times New Roman" w:hAnsi="Times New Roman"/>
          <w:color w:val="000000"/>
          <w:sz w:val="24"/>
        </w:rPr>
        <w:t>, and all other exhibits, appendices, and addenda attached hereto (together, the “</w:t>
      </w:r>
      <w:r>
        <w:rPr>
          <w:rFonts w:ascii="Times New Roman" w:hAnsi="Times New Roman"/>
          <w:color w:val="000000"/>
          <w:sz w:val="24"/>
          <w:u w:val="single"/>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Participant Name: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Option to purchase Common Stock of the Company, subject to the terms and conditions of the Plan and this Option Agreement, as follows:</w:t>
      </w:r>
    </w:p>
    <w:p>
      <w:pPr>
        <w:pStyle w:val="TextBody"/>
        <w:bidi w:val="0"/>
        <w:jc w:val="both"/>
        <w:rPr/>
      </w:pPr>
      <w:r>
        <w:rPr/>
        <w:t> </w:t>
      </w:r>
    </w:p>
    <w:tbl>
      <w:tblPr>
        <w:tblW w:w="3703" w:type="dxa"/>
        <w:jc w:val="left"/>
        <w:tblInd w:w="0" w:type="dxa"/>
        <w:tblLayout w:type="fixed"/>
        <w:tblCellMar>
          <w:top w:w="28" w:type="dxa"/>
          <w:left w:w="28" w:type="dxa"/>
          <w:bottom w:w="28" w:type="dxa"/>
          <w:right w:w="28" w:type="dxa"/>
        </w:tblCellMar>
      </w:tblPr>
      <w:tblGrid>
        <w:gridCol w:w="3286"/>
        <w:gridCol w:w="226"/>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Number:</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Grant:</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Price per Share:</w:t>
            </w:r>
          </w:p>
        </w:tc>
        <w:tc>
          <w:tcPr>
            <w:tcW w:w="2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Number of Shares Granted:</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Exercise Price:</w:t>
            </w:r>
          </w:p>
        </w:tc>
        <w:tc>
          <w:tcPr>
            <w:tcW w:w="2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Type of Option:</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Incentive Stock Option</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Nonstatutory Stock Option</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Term/Expiration Date:</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Termination Period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Option shall be exercisable, to the extent vested, for [ ]after Participant ceases to be a Service Provider, unless (x) such cessation is due to Participant’s Disability, in which case this Option shall be exercisable, to the extent vested, for [ ] after Participant ceases to be a Service Provider, or (y) such cessation is due to Participant’s death or Participant dies within three (3) months following such date of cessation, in which case this Option shall be exercisable, to the extent vested, for [ ] after Participant ceases to be a Service Provider. Notwithstanding the foregoing sentence, in no event may this Option be exercised after the Term/Expiration Date as provided above and this Option may be subject to earlier termination as provided in Section 15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hAnsi="Times New Roman"/>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color w:val="000000"/>
          <w:sz w:val="24"/>
          <w:u w:val="single"/>
        </w:rPr>
        <w:t>Exhibit B</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pStyle w:val="TextBody"/>
        <w:bidi w:val="0"/>
        <w:jc w:val="both"/>
        <w:rPr/>
      </w:pPr>
      <w:r>
        <w:rPr/>
        <w:t> </w:t>
      </w:r>
    </w:p>
    <w:tbl>
      <w:tblPr>
        <w:tblW w:w="4153" w:type="dxa"/>
        <w:jc w:val="left"/>
        <w:tblInd w:w="0" w:type="dxa"/>
        <w:tblLayout w:type="fixed"/>
        <w:tblCellMar>
          <w:top w:w="28" w:type="dxa"/>
          <w:left w:w="28" w:type="dxa"/>
          <w:bottom w:w="28" w:type="dxa"/>
          <w:right w:w="28" w:type="dxa"/>
        </w:tblCellMar>
      </w:tblPr>
      <w:tblGrid>
        <w:gridCol w:w="1996"/>
        <w:gridCol w:w="146"/>
        <w:gridCol w:w="20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LEONABIO, INC.</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Residence 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STOCK OPTION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Grant of Option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1.1.1.</w:t>
      </w:r>
    </w:p>
    <w:p>
      <w:pPr>
        <w:pStyle w:val="TextBody"/>
        <w:bidi w:val="0"/>
        <w:spacing w:before="240" w:after="283"/>
        <w:jc w:val="both"/>
        <w:rPr/>
      </w:pPr>
      <w:r>
        <w:rPr>
          <w:rFonts w:ascii="Times New Roman" w:hAnsi="Times New Roman"/>
          <w:color w:val="000000"/>
          <w:sz w:val="24"/>
        </w:rPr>
        <w:t>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Stock Option Grant of this Option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an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the number of Shares set forth in the Notice of Grant, at the exercise price per Share set forth in the Notice of Grant (the “</w:t>
      </w:r>
      <w:r>
        <w:rPr>
          <w:rFonts w:ascii="Times New Roman" w:hAnsi="Times New Roman"/>
          <w:color w:val="000000"/>
          <w:sz w:val="24"/>
          <w:u w:val="single"/>
        </w:rPr>
        <w:t>Exercise Price</w:t>
      </w:r>
      <w:r>
        <w:rPr>
          <w:color w:val="000000"/>
        </w:rPr>
        <w:t>”</w:t>
      </w:r>
      <w:r>
        <w:rPr>
          <w:rFonts w:ascii="Times New Roman" w:hAnsi="Times New Roman"/>
          <w:color w:val="000000"/>
          <w:sz w:val="24"/>
        </w:rPr>
        <w:t>), subject to all of the terms and conditions in this Option Agreement and the Plan, which is incorporated herein by reference. Subject to Section 20 of the Plan, in the event of a conflict between the terms and conditions of the Plan and this Option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1.1.2.</w:t>
      </w:r>
    </w:p>
    <w:p>
      <w:pPr>
        <w:pStyle w:val="TextBody"/>
        <w:bidi w:val="0"/>
        <w:spacing w:before="240" w:after="283"/>
        <w:jc w:val="both"/>
        <w:rPr/>
      </w:pPr>
      <w:r>
        <w:rPr>
          <w:rFonts w:ascii="Times New Roman" w:hAnsi="Times New Roman"/>
          <w:color w:val="000000"/>
          <w:sz w:val="24"/>
        </w:rPr>
        <w:t>For U.S. taxpayers, if designated in the Notice of Grant as an Incentive Stock Option (“</w:t>
      </w:r>
      <w:r>
        <w:rPr>
          <w:rFonts w:ascii="Times New Roman" w:hAnsi="Times New Roman"/>
          <w:color w:val="000000"/>
          <w:sz w:val="24"/>
          <w:u w:val="single"/>
        </w:rPr>
        <w:t>ISO</w:t>
      </w:r>
      <w:r>
        <w:rPr>
          <w:color w:val="000000"/>
        </w:rPr>
        <w:t>”</w:t>
      </w:r>
      <w:r>
        <w:rPr>
          <w:rFonts w:ascii="Times New Roman" w:hAnsi="Times New Roman"/>
          <w:color w:val="000000"/>
          <w:sz w:val="24"/>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hAnsi="Times New Roman"/>
          <w:color w:val="000000"/>
          <w:sz w:val="24"/>
          <w:u w:val="single"/>
        </w:rPr>
        <w:t>NSO</w:t>
      </w:r>
      <w:r>
        <w:rPr>
          <w:color w:val="000000"/>
        </w:rPr>
        <w:t>”</w:t>
      </w:r>
      <w:r>
        <w:rPr>
          <w:rFonts w:ascii="Times New Roman" w:hAnsi="Times New Roman"/>
          <w:color w:val="000000"/>
          <w:sz w:val="24"/>
        </w:rPr>
        <w:t xml:space="preserve">).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For non-U.S. taxpayers, the Option will be designated as an NSO.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both"/>
        <w:rPr/>
      </w:pPr>
      <w:r>
        <w:rPr>
          <w:rFonts w:ascii="Times New Roman" w:hAnsi="Times New Roman"/>
          <w:color w:val="000000"/>
          <w:sz w:val="24"/>
          <w:u w:val="single"/>
        </w:rPr>
        <w:t>Right to Exercise</w:t>
      </w:r>
      <w:r>
        <w:rPr>
          <w:rFonts w:ascii="Times New Roman" w:hAnsi="Times New Roman"/>
          <w:color w:val="000000"/>
          <w:sz w:val="24"/>
        </w:rPr>
        <w:t>. This Option shall be exercisable during its term in accordance with the Vesting Schedule set out in the Notice of Grant and with the applicable provisions of the Plan and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both"/>
        <w:rPr/>
      </w:pPr>
      <w:r>
        <w:rPr>
          <w:rFonts w:ascii="Times New Roman" w:hAnsi="Times New Roman"/>
          <w:color w:val="000000"/>
          <w:sz w:val="24"/>
          <w:u w:val="single"/>
        </w:rPr>
        <w:t>Method of Exercise</w:t>
      </w:r>
      <w:r>
        <w:rPr>
          <w:rFonts w:ascii="Times New Roman" w:hAnsi="Times New Roman"/>
          <w:color w:val="000000"/>
          <w:sz w:val="24"/>
        </w:rPr>
        <w:t>. This Option shall be exercisable by delivery of an exercise notice (the “</w:t>
      </w:r>
      <w:r>
        <w:rPr>
          <w:rFonts w:ascii="Times New Roman" w:hAnsi="Times New Roman"/>
          <w:color w:val="000000"/>
          <w:sz w:val="24"/>
          <w:u w:val="single"/>
        </w:rPr>
        <w:t>Exercise Notice</w:t>
      </w:r>
      <w:r>
        <w:rPr>
          <w:color w:val="000000"/>
        </w:rPr>
        <w:t>”</w:t>
      </w:r>
      <w:r>
        <w:rPr>
          <w:rFonts w:ascii="Times New Roman" w:hAnsi="Times New Roman"/>
          <w:color w:val="000000"/>
          <w:sz w:val="24"/>
        </w:rPr>
        <w:t xml:space="preserve">) in the form attached as </w:t>
      </w:r>
      <w:r>
        <w:rPr>
          <w:rFonts w:ascii="Times New Roman" w:hAnsi="Times New Roman"/>
          <w:color w:val="000000"/>
          <w:sz w:val="24"/>
          <w:u w:val="single"/>
        </w:rPr>
        <w:t>Exhibit B</w:t>
      </w:r>
      <w:r>
        <w:rPr>
          <w:rFonts w:ascii="Times New Roman" w:hAnsi="Times New Roman"/>
          <w:color w:val="000000"/>
          <w:sz w:val="24"/>
        </w:rPr>
        <w:t>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hAnsi="Times New Roman"/>
          <w:color w:val="000000"/>
          <w:sz w:val="24"/>
          <w:u w:val="single"/>
        </w:rPr>
        <w:t>Exercised Shares</w:t>
      </w:r>
      <w:r>
        <w:rPr>
          <w:color w:val="000000"/>
        </w:rPr>
        <w:t>”</w:t>
      </w:r>
      <w:r>
        <w:rPr>
          <w:rFonts w:ascii="Times New Roman" w:hAnsi="Times New Roman"/>
          <w:color w:val="000000"/>
          <w:sz w:val="24"/>
        </w:rPr>
        <w:t xml:space="preserve">), and such other representations and agreements as may be required by the Company. The Exercise Notice shall be completed by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Method of Payment</w:t>
      </w:r>
      <w:r>
        <w:rPr>
          <w:rFonts w:ascii="Times New Roman" w:hAnsi="Times New Roman"/>
          <w:color w:val="000000"/>
          <w:sz w:val="24"/>
        </w:rPr>
        <w:t>. Payment of the aggregate Exercise Price shall be by any of the following, or a combination thereof, at the election of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cash;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check;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consideration received by the Company under a formal cashless exercise program adopted by the Company in connection with the Plan;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non-U.S. resident’s methods of exercise may be restricted by the terms and conditions of any appendix to this Agreement for Participant’s country (including the Country Addendum,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Non-Transferability of Option</w:t>
      </w:r>
      <w:r>
        <w:rPr>
          <w:rFonts w:ascii="Times New Roman" w:hAnsi="Times New Roman"/>
          <w:color w:val="000000"/>
          <w:sz w:val="24"/>
        </w:rPr>
        <w:t xml:space="preserve">. This Option may not be transferred in any manner otherwise than by will or by the laws of descent or distribution and may be exercised during the lifetime of Participant only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This Option may be exercised only within the term set out in the Notice of Grant, and may be exercised during such term only in accordance with the Plan and the terms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Tax 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1.8.1.</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xml:space="preserve">),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1.8.2.</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have the right (but not the obligation) to satisfy any Tax Obligations by reducing the number of Shares otherwise deliverable to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1.8.3.</w:t>
      </w:r>
    </w:p>
    <w:p>
      <w:pPr>
        <w:pStyle w:val="TextBody"/>
        <w:bidi w:val="0"/>
        <w:spacing w:before="240" w:after="283"/>
        <w:jc w:val="both"/>
        <w:rPr/>
      </w:pPr>
      <w:r>
        <w:rPr>
          <w:rFonts w:ascii="Times New Roman" w:hAnsi="Times New Roman"/>
          <w:color w:val="000000"/>
          <w:sz w:val="24"/>
          <w:u w:val="single"/>
        </w:rPr>
        <w:t>Notice of Disqualifying Disposition of ISO Shares</w:t>
      </w:r>
      <w:r>
        <w:rPr>
          <w:rFonts w:ascii="Times New Roman" w:hAnsi="Times New Roman"/>
          <w:color w:val="000000"/>
          <w:sz w:val="24"/>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1.8.4.</w:t>
      </w:r>
    </w:p>
    <w:p>
      <w:pPr>
        <w:pStyle w:val="TextBody"/>
        <w:bidi w:val="0"/>
        <w:spacing w:before="240" w:after="283"/>
        <w:jc w:val="both"/>
        <w:rPr/>
      </w:pP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color w:val="000000"/>
          <w:sz w:val="24"/>
          <w:u w:val="single"/>
        </w:rPr>
        <w:t>IRS</w:t>
      </w:r>
      <w:r>
        <w:rPr>
          <w:color w:val="000000"/>
        </w:rPr>
        <w:t>”</w:t>
      </w:r>
      <w:r>
        <w:rPr>
          <w:rFonts w:ascii="Times New Roman" w:hAnsi="Times New Roman"/>
          <w:color w:val="000000"/>
          <w:sz w:val="24"/>
        </w:rPr>
        <w:t>) to be less than the fair market value of an underlying share on the date of grant (a “</w:t>
      </w:r>
      <w:r>
        <w:rPr>
          <w:rFonts w:ascii="Times New Roman" w:hAnsi="Times New Roman"/>
          <w:color w:val="000000"/>
          <w:sz w:val="24"/>
          <w:u w:val="single"/>
        </w:rPr>
        <w:t>discount option</w:t>
      </w:r>
      <w:r>
        <w:rPr>
          <w:color w:val="000000"/>
        </w:rPr>
        <w:t>”</w:t>
      </w:r>
      <w:r>
        <w:rPr>
          <w:rFonts w:ascii="Times New Roman" w:hAnsi="Times New Roman"/>
          <w:color w:val="000000"/>
          <w:sz w:val="24"/>
        </w:rPr>
        <w:t xml:space="preserve">)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w:t>
      </w:r>
    </w:p>
    <w:p>
      <w:pPr>
        <w:pStyle w:val="TextBody"/>
        <w:bidi w:val="0"/>
        <w:spacing w:before="240" w:after="283"/>
        <w:jc w:val="both"/>
        <w:rPr/>
      </w:pPr>
      <w:r>
        <w:rPr>
          <w:rFonts w:ascii="Times New Roman" w:hAnsi="Times New Roman"/>
          <w:color w:val="000000"/>
          <w:sz w:val="24"/>
          <w:u w:val="single"/>
        </w:rPr>
        <w:t>Entire Agreement; Governing Law</w:t>
      </w:r>
      <w:r>
        <w:rPr>
          <w:rFonts w:ascii="Times New Roman" w:hAnsi="Times New Roman"/>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1.11.</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1.12.</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the Option,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option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 and any Shares acquired under the Plan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Option is unknown, indeterminable, and cannot be predicted with certainty;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underlying Shares do not increase in value, the Option will have no value;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exercises the Option and acquires Shares, the value of such Shares may increase or decrease in value, even below the Exercise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the Shares subject to the Option are not part of normal or expected compensation or salary for any purpose;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240" w:after="283"/>
        <w:jc w:val="both"/>
        <w:rPr/>
      </w:pPr>
      <w:r>
        <w:rPr>
          <w:rFonts w:ascii="Times New Roman" w:hAnsi="Times New Roman"/>
          <w:b/>
          <w:color w:val="000000"/>
          <w:sz w:val="24"/>
          <w:u w:val="single"/>
        </w:rPr>
        <w:t>Data Privacy</w:t>
      </w:r>
      <w:r>
        <w:rPr>
          <w:rFonts w:ascii="Times New Roman" w:hAnsi="Times New Roman"/>
          <w:color w:val="000000"/>
          <w:sz w:val="24"/>
        </w:rPr>
        <w:t xml:space="preserve">. </w:t>
      </w:r>
      <w:r>
        <w:rPr>
          <w:rFonts w:ascii="Times New Roman" w:hAnsi="Times New Roman"/>
          <w:b/>
          <w:i/>
          <w:color w:val="000000"/>
          <w:sz w:val="24"/>
        </w:rPr>
        <w:t xml:space="preserve">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1.15.</w:t>
      </w:r>
    </w:p>
    <w:p>
      <w:pPr>
        <w:pStyle w:val="TextBody"/>
        <w:bidi w:val="0"/>
        <w:spacing w:before="240" w:after="283"/>
        <w:jc w:val="left"/>
        <w:rPr/>
      </w:pPr>
      <w:r>
        <w:rPr>
          <w:rFonts w:ascii="Times New Roman" w:hAnsi="Times New Roman"/>
          <w:color w:val="000000"/>
          <w:sz w:val="24"/>
          <w:u w:val="single"/>
        </w:rPr>
        <w:t>Address for Notices</w:t>
      </w:r>
      <w:r>
        <w:rPr>
          <w:rFonts w:ascii="Times New Roman" w:hAnsi="Times New Roman"/>
          <w:color w:val="000000"/>
          <w:sz w:val="24"/>
        </w:rPr>
        <w:t xml:space="preserve">. Any notice to be given to the Company under the terms of this Option Agreement will be addressed to the Company at LeonaBio, Inc., 18706 North Creek Parkway, Suite 104, Bothell, Washington 98011, or at such other address as the Company may hereafter designate in writing.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1.16.</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pPr>
      <w:r>
        <w:rPr>
          <w:rFonts w:ascii="Times New Roman" w:hAnsi="Times New Roman"/>
          <w:color w:val="000000"/>
          <w:sz w:val="24"/>
        </w:rPr>
        <w:t>upon the executors, administrators, heirs, successors and assigns of Participant. The rights and obligations of Participant under this Option Agreement may be assigned only with the prior written consent of the Company.</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1.17.</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1.18.</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1.19.</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1.20.</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both"/>
        <w:rPr/>
      </w:pPr>
      <w:r>
        <w:rPr>
          <w:rFonts w:ascii="Times New Roman" w:hAnsi="Times New Roman"/>
          <w:color w:val="000000"/>
          <w:sz w:val="24"/>
          <w:u w:val="single"/>
        </w:rPr>
        <w:t>Option Agreement Severable</w:t>
      </w:r>
      <w:r>
        <w:rPr>
          <w:rFonts w:ascii="Times New Roman" w:hAnsi="Times New Roman"/>
          <w:color w:val="000000"/>
          <w:sz w:val="24"/>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1.23.</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1.24.</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xml:space="preserve">.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pPr>
      <w:r>
        <w:rPr>
          <w:rFonts w:ascii="Times New Roman" w:hAnsi="Times New Roman"/>
          <w:color w:val="000000"/>
          <w:sz w:val="24"/>
        </w:rPr>
        <w:t>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1.25.</w:t>
      </w:r>
    </w:p>
    <w:p>
      <w:pPr>
        <w:pStyle w:val="TextBody"/>
        <w:bidi w:val="0"/>
        <w:spacing w:before="240" w:after="283"/>
        <w:jc w:val="both"/>
        <w:rPr/>
      </w:pPr>
      <w:r>
        <w:rPr>
          <w:rFonts w:ascii="Times New Roman" w:hAnsi="Times New Roman"/>
          <w:color w:val="000000"/>
          <w:sz w:val="24"/>
          <w:u w:val="single"/>
        </w:rPr>
        <w:t>Modifications to the Option Agreement</w:t>
      </w:r>
      <w:r>
        <w:rPr>
          <w:rFonts w:ascii="Times New Roman" w:hAnsi="Times New Roman"/>
          <w:color w:val="000000"/>
          <w:sz w:val="24"/>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1.26.</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1.27.</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EXERCISE NOTICE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LeonaBio, Inc.</w:t>
      </w:r>
    </w:p>
    <w:p>
      <w:pPr>
        <w:pStyle w:val="TextBody"/>
        <w:bidi w:val="0"/>
        <w:jc w:val="left"/>
        <w:rPr>
          <w:rFonts w:ascii="Times New Roman" w:hAnsi="Times New Roman"/>
          <w:color w:val="000000"/>
          <w:sz w:val="24"/>
        </w:rPr>
      </w:pPr>
      <w:r>
        <w:rPr>
          <w:rFonts w:ascii="Times New Roman" w:hAnsi="Times New Roman"/>
          <w:color w:val="000000"/>
          <w:sz w:val="24"/>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Attention: [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 Effective as of today, ________________, ____, the undersigned (“</w:t>
      </w:r>
      <w:r>
        <w:rPr>
          <w:rFonts w:ascii="Times New Roman" w:hAnsi="Times New Roman"/>
          <w:color w:val="000000"/>
          <w:sz w:val="24"/>
          <w:u w:val="single"/>
        </w:rPr>
        <w:t>Participant</w:t>
      </w:r>
      <w:r>
        <w:rPr>
          <w:color w:val="000000"/>
        </w:rPr>
        <w:t>”</w:t>
      </w:r>
      <w:r>
        <w:rPr>
          <w:rFonts w:ascii="Times New Roman" w:hAnsi="Times New Roman"/>
          <w:color w:val="000000"/>
          <w:sz w:val="24"/>
        </w:rPr>
        <w:t>) hereby elects to exercise Participant’s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________________ shares of the Common Stock (the “Shares”) of LeonaBio, Inc. (the “</w:t>
      </w:r>
      <w:r>
        <w:rPr>
          <w:rFonts w:ascii="Times New Roman" w:hAnsi="Times New Roman"/>
          <w:color w:val="000000"/>
          <w:sz w:val="24"/>
          <w:u w:val="single"/>
        </w:rPr>
        <w:t>Company</w:t>
      </w:r>
      <w:r>
        <w:rPr>
          <w:color w:val="000000"/>
        </w:rPr>
        <w:t>”</w:t>
      </w:r>
      <w:r>
        <w:rPr>
          <w:rFonts w:ascii="Times New Roman" w:hAnsi="Times New Roman"/>
          <w:color w:val="000000"/>
          <w:sz w:val="24"/>
        </w:rPr>
        <w:t>) under and pursuant to the 2020 Equity Incentive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and the Stock Option Agreement dated ______________, _____, including the Notice of Stock Option Grant, and the Terms and Conditions of Stock Option Grant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thereto and other exhibits, appendices and addenda attached thereto (the “</w:t>
      </w:r>
      <w:r>
        <w:rPr>
          <w:rFonts w:ascii="Times New Roman" w:hAnsi="Times New Roman"/>
          <w:color w:val="000000"/>
          <w:sz w:val="24"/>
          <w:u w:val="single"/>
        </w:rPr>
        <w:t>Option Agreement</w:t>
      </w:r>
      <w:r>
        <w:rPr>
          <w:color w:val="000000"/>
        </w:rPr>
        <w:t>”</w:t>
      </w:r>
      <w:r>
        <w:rPr>
          <w:rFonts w:ascii="Times New Roman" w:hAnsi="Times New Roman"/>
          <w:color w:val="000000"/>
          <w:sz w:val="24"/>
        </w:rPr>
        <w:t xml:space="preserve">). Unless otherwise defined herein, capitalized terms used in this Exercise Notice will be ascribed the same defined meanings as set forth in the Option Agreement (or the Plan or other written agreement as specified in the Option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Delivery of Payment</w:t>
      </w:r>
      <w:r>
        <w:rPr>
          <w:rFonts w:ascii="Times New Roman" w:hAnsi="Times New Roman"/>
          <w:color w:val="000000"/>
          <w:sz w:val="24"/>
        </w:rPr>
        <w:t>. Participant herewith delivers to the Company the full purchase price of the Shares, as set forth in the Option Agreement, and any Tax Obligations to be paid in connection with the exercise of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Representations of Participant</w:t>
      </w:r>
      <w:r>
        <w:rPr>
          <w:rFonts w:ascii="Times New Roman" w:hAnsi="Times New Roman"/>
          <w:color w:val="000000"/>
          <w:sz w:val="24"/>
        </w:rPr>
        <w:t>. Participant acknowledges that Participant has received, read and understood the Plan and the Option Agreement and agrees to abide by and be bound by their 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15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Tax Consultation</w:t>
      </w:r>
      <w:r>
        <w:rPr>
          <w:rFonts w:ascii="Times New Roman" w:hAnsi="Times New Roman"/>
          <w:color w:val="000000"/>
          <w:sz w:val="24"/>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Governing Law; Severability</w:t>
      </w:r>
      <w:r>
        <w:rPr>
          <w:rFonts w:ascii="Times New Roman" w:hAnsi="Times New Roman"/>
          <w:color w:val="000000"/>
          <w:sz w:val="24"/>
        </w:rPr>
        <w:t xml:space="preserve">. This Exercise Notice is governed by the internal substantive laws, but not the choice of law rules, of Delaware. In the event that any provision hereof becomes or is declared by a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court of competent jurisdiction to be illegal, unenforceable or void, this Exercise Notice shall continue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jc w:val="both"/>
        <w:rPr/>
      </w:pPr>
      <w:r>
        <w:rPr/>
        <w:t> </w:t>
      </w:r>
    </w:p>
    <w:tbl>
      <w:tblPr>
        <w:tblW w:w="3868" w:type="dxa"/>
        <w:jc w:val="left"/>
        <w:tblInd w:w="0" w:type="dxa"/>
        <w:tblLayout w:type="fixed"/>
        <w:tblCellMar>
          <w:top w:w="28" w:type="dxa"/>
          <w:left w:w="28" w:type="dxa"/>
          <w:bottom w:w="28" w:type="dxa"/>
          <w:right w:w="28" w:type="dxa"/>
        </w:tblCellMar>
      </w:tblPr>
      <w:tblGrid>
        <w:gridCol w:w="1711"/>
        <w:gridCol w:w="146"/>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Submitted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Accepted by: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LEONABIO,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Received</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STOCK OPTION AGREEMENT</w:t>
      </w:r>
    </w:p>
    <w:p>
      <w:pPr>
        <w:pStyle w:val="TextBody"/>
        <w:bidi w:val="0"/>
        <w:spacing w:before="240" w:after="283"/>
        <w:jc w:val="both"/>
        <w:rPr>
          <w:rFonts w:ascii="Times New Roman" w:hAnsi="Times New Roman"/>
          <w:sz w:val="20"/>
        </w:rPr>
      </w:pPr>
      <w:r>
        <w:rPr>
          <w:rFonts w:ascii="Times New Roman" w:hAnsi="Times New Roman"/>
          <w:b/>
          <w:i/>
          <w:color w:val="000000"/>
          <w:sz w:val="24"/>
        </w:rPr>
        <w:t>Unless otherwise defined herein, capitalized terms used in this Country Addendum to Stock Option Agreement (the “</w:t>
      </w:r>
      <w:r>
        <w:rPr>
          <w:rFonts w:ascii="Times New Roman" w:hAnsi="Times New Roman"/>
          <w:b/>
          <w:i/>
          <w:color w:val="000000"/>
          <w:sz w:val="24"/>
          <w:u w:val="single"/>
        </w:rPr>
        <w:t>Country Addendum</w:t>
      </w:r>
      <w:r>
        <w:rPr>
          <w:rFonts w:ascii="Times New Roman" w:hAnsi="Times New Roman"/>
          <w:color w:val="000000"/>
          <w:sz w:val="20"/>
        </w:rPr>
        <w:t>”</w:t>
      </w:r>
      <w:r>
        <w:rPr>
          <w:rFonts w:ascii="Times New Roman" w:hAnsi="Times New Roman"/>
          <w:b/>
          <w:i/>
          <w:color w:val="000000"/>
          <w:sz w:val="24"/>
        </w:rPr>
        <w:t>) will be ascribed the same defined meanings as set forth in the Option Agreement of which this Country Addendum forms a part (or the Plan or other written agreement as specified in the Option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pStyle w:val="HorizontalLine"/>
        <w:pBdr>
          <w:bottom w:val="double" w:sz="2" w:space="0" w:color="808080"/>
        </w:pBdr>
        <w:bidi w:val="0"/>
        <w:spacing w:before="0" w:after="283"/>
        <w:jc w:val="left"/>
        <w:rPr/>
      </w:pPr>
      <w:r>
        <w:rPr/>
      </w:r>
    </w:p>
    <w:p>
      <w:pPr>
        <w:pStyle w:val="TextBody"/>
        <w:bidi w:val="0"/>
        <w:spacing w:before="240" w:after="283"/>
        <w:jc w:val="right"/>
        <w:rPr/>
      </w:pPr>
      <w:bookmarkStart w:id="47" w:name="lona-ex10_5.htm"/>
      <w:bookmarkStart w:id="48" w:name="kslonaex10_5"/>
      <w:bookmarkEnd w:id="47"/>
      <w:bookmarkEnd w:id="48"/>
      <w:r>
        <w:rPr/>
        <w:t> </w:t>
      </w:r>
      <w:r>
        <w:br w:type="page"/>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Exhibit 10.5</w:t>
      </w:r>
    </w:p>
    <w:p>
      <w:pPr>
        <w:pStyle w:val="TextBody"/>
        <w:bidi w:val="0"/>
        <w:spacing w:before="240" w:after="283"/>
        <w:jc w:val="center"/>
        <w:rPr>
          <w:rFonts w:ascii="Times New Roman" w:hAnsi="Times New Roman"/>
          <w:sz w:val="20"/>
        </w:rPr>
      </w:pPr>
      <w:r>
        <w:rPr>
          <w:rFonts w:ascii="Times New Roman" w:hAnsi="Times New Roman"/>
          <w:b/>
          <w:color w:val="000000"/>
          <w:sz w:val="24"/>
        </w:rPr>
        <w:t>LEONABIO,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AWARD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RESTRICTED STOCK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LeonaBio, Inc. 2020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will have the same defined meanings in this Restricted Stock Award Agreement which includes the Notice of Restricted Stock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Restricted Stock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(the “</w:t>
      </w:r>
      <w:r>
        <w:rPr>
          <w:rFonts w:ascii="Times New Roman" w:hAnsi="Times New Roman"/>
          <w:color w:val="000000"/>
          <w:sz w:val="24"/>
          <w:u w:val="single"/>
        </w:rPr>
        <w:t>Award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Participant Name: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Address: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Award of Shares of Restricted Stock, subject to the terms and conditions of the Plan and this Award Agreement, as follows:</w:t>
      </w:r>
    </w:p>
    <w:p>
      <w:pPr>
        <w:pStyle w:val="TextBody"/>
        <w:bidi w:val="0"/>
        <w:jc w:val="both"/>
        <w:rPr/>
      </w:pPr>
      <w:r>
        <w:rPr/>
        <w:t> </w:t>
      </w:r>
    </w:p>
    <w:tbl>
      <w:tblPr>
        <w:tblW w:w="4137" w:type="dxa"/>
        <w:jc w:val="left"/>
        <w:tblInd w:w="0" w:type="dxa"/>
        <w:tblLayout w:type="fixed"/>
        <w:tblCellMar>
          <w:top w:w="28" w:type="dxa"/>
          <w:left w:w="28" w:type="dxa"/>
          <w:bottom w:w="28" w:type="dxa"/>
          <w:right w:w="28" w:type="dxa"/>
        </w:tblCellMar>
      </w:tblPr>
      <w:tblGrid>
        <w:gridCol w:w="394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Number:</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Grant:</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Number of Restricted Stock Units:</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For purposes of this Agreement, “</w:t>
      </w:r>
      <w:r>
        <w:rPr>
          <w:rFonts w:ascii="Times New Roman" w:hAnsi="Times New Roman"/>
          <w:color w:val="000000"/>
          <w:sz w:val="24"/>
          <w:u w:val="single"/>
        </w:rPr>
        <w:t>Quarterly Vesting Dates</w:t>
      </w:r>
      <w:r>
        <w:rPr>
          <w:rFonts w:ascii="Times New Roman" w:hAnsi="Times New Roman"/>
          <w:color w:val="000000"/>
          <w:sz w:val="20"/>
        </w:rPr>
        <w:t xml:space="preserve">” </w:t>
      </w:r>
      <w:r>
        <w:rPr>
          <w:rFonts w:ascii="Times New Roman" w:hAnsi="Times New Roman"/>
          <w:color w:val="000000"/>
          <w:sz w:val="24"/>
        </w:rPr>
        <w:t>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Award Agreement, or any other written agreement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pStyle w:val="TextBody"/>
        <w:bidi w:val="0"/>
        <w:jc w:val="left"/>
        <w:rPr/>
      </w:pPr>
      <w:r>
        <w:rPr/>
        <w:t> </w:t>
      </w:r>
    </w:p>
    <w:p>
      <w:pPr>
        <w:pStyle w:val="TextBody"/>
        <w:bidi w:val="0"/>
        <w:jc w:val="both"/>
        <w:rPr/>
      </w:pPr>
      <w:r>
        <w:rPr/>
        <w:t> </w:t>
      </w:r>
    </w:p>
    <w:tbl>
      <w:tblPr>
        <w:tblW w:w="4153" w:type="dxa"/>
        <w:jc w:val="left"/>
        <w:tblInd w:w="0" w:type="dxa"/>
        <w:tblLayout w:type="fixed"/>
        <w:tblCellMar>
          <w:top w:w="28" w:type="dxa"/>
          <w:left w:w="28" w:type="dxa"/>
          <w:bottom w:w="28" w:type="dxa"/>
          <w:right w:w="28" w:type="dxa"/>
        </w:tblCellMar>
      </w:tblPr>
      <w:tblGrid>
        <w:gridCol w:w="1996"/>
        <w:gridCol w:w="146"/>
        <w:gridCol w:w="20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LEONABIO, INC.</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Residence 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AWARD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RESTRICTED STOCK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Grant of Shares of Restricted Stock</w:t>
      </w:r>
      <w:r>
        <w:rPr>
          <w:rFonts w:ascii="Times New Roman" w:hAnsi="Times New Roman"/>
          <w:color w:val="000000"/>
          <w:sz w:val="24"/>
        </w:rPr>
        <w:t>. 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Restricted Stock Grant of this Award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Forfeiture Upon Termination as a Service Provider</w:t>
      </w:r>
      <w:r>
        <w:rPr>
          <w:rFonts w:ascii="Times New Roman" w:hAnsi="Times New Roman"/>
          <w:color w:val="000000"/>
          <w:sz w:val="24"/>
        </w:rPr>
        <w:t>. Unless specifically provided otherwise in this Award Agreement or other written agreement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1.6.1.</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Times New Roman" w:hAnsi="Times New Roman"/>
          <w:color w:val="000000"/>
          <w:sz w:val="24"/>
          <w:u w:val="single"/>
        </w:rPr>
        <w:t>83(b) Election</w:t>
      </w:r>
      <w:r>
        <w:rPr>
          <w:color w:val="000000"/>
        </w:rPr>
        <w:t>”</w:t>
      </w:r>
      <w:r>
        <w:rPr>
          <w:rFonts w:ascii="Times New Roman" w:hAnsi="Times New Roman"/>
          <w:color w:val="000000"/>
          <w:sz w:val="24"/>
        </w:rPr>
        <w:t xml:space="preserve">) with the IRS within thirty (30) days from the date of grant of the Restricted Stock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1.6.2.</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Notwithstanding any contrary provision of this Award Agreement, no certificate representing the Shares of Restricted Stock may be released from the escrow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established pursuant to Section 13,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1.6.3.</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1.6.4.</w:t>
      </w:r>
    </w:p>
    <w:p>
      <w:pPr>
        <w:pStyle w:val="TextBody"/>
        <w:bidi w:val="0"/>
        <w:spacing w:before="240" w:after="283"/>
        <w:jc w:val="both"/>
        <w:rPr/>
      </w:pPr>
      <w:r>
        <w:rPr>
          <w:rFonts w:ascii="Times New Roman" w:hAnsi="Times New Roman"/>
          <w:color w:val="000000"/>
          <w:sz w:val="24"/>
          <w:u w:val="single"/>
        </w:rPr>
        <w:t>Company’s Obligation to Release Shares</w:t>
      </w:r>
      <w:r>
        <w:rPr>
          <w:rFonts w:ascii="Times New Roman" w:hAnsi="Times New Roman"/>
          <w:color w:val="000000"/>
          <w:sz w:val="24"/>
        </w:rPr>
        <w:t xml:space="preserve">. For clarification purposes, in no event will the Company release Shares from the escrow established pursuant to Section 13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2or 3, at the time Participant files a timely 83(b) Election with the IRS, or Participant’s Tax Obligations otherwise become due, Participant permanently will forfeit such Shares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Restricted Stock to which Participant’s Tax Obligation 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Grant is Not Transferable</w:t>
      </w:r>
      <w:r>
        <w:rPr>
          <w:rFonts w:ascii="Times New Roman" w:hAnsi="Times New Roman"/>
          <w:color w:val="000000"/>
          <w:sz w:val="24"/>
        </w:rPr>
        <w:t>. Except for the escrow described in Section 13or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this Award of Restricted Stock, Participant acknowledges, understands and agrees that: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grants of Restricted Stock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Restricted Stock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underlying Shares is unknown, indeterminable and cannot be predicted;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1.10.9.1.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Restricted Stock are not part of normal or expected compensation or salary for any purpose;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1.10.9.2.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1.10.9.3.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1.11.</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1.12.</w:t>
      </w:r>
    </w:p>
    <w:p>
      <w:pPr>
        <w:pStyle w:val="TextBody"/>
        <w:bidi w:val="0"/>
        <w:spacing w:before="240" w:after="283"/>
        <w:jc w:val="both"/>
        <w:rPr/>
      </w:pPr>
      <w:r>
        <w:rPr>
          <w:rFonts w:ascii="Times New Roman" w:hAnsi="Times New Roman"/>
          <w:b/>
          <w:i/>
          <w:color w:val="000000"/>
          <w:sz w:val="24"/>
          <w:u w:val="single"/>
        </w:rPr>
        <w:t>Data Privacy</w:t>
      </w:r>
      <w:r>
        <w:rPr>
          <w:rFonts w:ascii="Times New Roman" w:hAnsi="Times New Roman"/>
          <w:b/>
          <w:i/>
          <w:color w:val="000000"/>
          <w:sz w:val="24"/>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w:t>
      </w:r>
    </w:p>
    <w:p>
      <w:pPr>
        <w:pStyle w:val="TextBody"/>
        <w:bidi w:val="0"/>
        <w:spacing w:before="240" w:after="283"/>
        <w:jc w:val="both"/>
        <w:rPr/>
      </w:pPr>
      <w:r>
        <w:rPr>
          <w:rFonts w:ascii="Times New Roman" w:hAnsi="Times New Roman"/>
          <w:color w:val="000000"/>
          <w:sz w:val="24"/>
          <w:u w:val="single"/>
        </w:rPr>
        <w:t>Escrow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1.13.1.</w:t>
      </w:r>
    </w:p>
    <w:p>
      <w:pPr>
        <w:pStyle w:val="TextBody"/>
        <w:bidi w:val="0"/>
        <w:spacing w:before="240" w:after="283"/>
        <w:jc w:val="both"/>
        <w:rPr/>
      </w:pPr>
      <w:r>
        <w:rPr>
          <w:rFonts w:ascii="Times New Roman" w:hAnsi="Times New Roman"/>
          <w:color w:val="000000"/>
          <w:sz w:val="24"/>
        </w:rPr>
        <w:t>All Shares of Restricted Stock will, upon execution of this Award Agreement, be delivered and deposited with an escrow holder designated by the Company (the “</w:t>
      </w:r>
      <w:r>
        <w:rPr>
          <w:rFonts w:ascii="Times New Roman" w:hAnsi="Times New Roman"/>
          <w:color w:val="000000"/>
          <w:sz w:val="24"/>
          <w:u w:val="single"/>
        </w:rPr>
        <w:t>Escrow Holder</w:t>
      </w:r>
      <w:r>
        <w:rPr>
          <w:color w:val="000000"/>
        </w:rPr>
        <w:t>”</w:t>
      </w:r>
      <w:r>
        <w:rPr>
          <w:rFonts w:ascii="Times New Roman" w:hAnsi="Times New Roman"/>
          <w:color w:val="000000"/>
          <w:sz w:val="24"/>
        </w:rPr>
        <w:t>). The Shares of Restricted Stock will be held by the Escrow Holder until such time as the Shares of Restricted Stock vest or the date Participant ceases to be a Service Provider.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Escrow Holder will not be liable for any act it may do or omit to do with respect to holding the Shares of Restricted Stock in escrow and while acting in good faith and in the exercise of its judgment.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noBreakHyphen/>
        <w:t>in</w:t>
        <w:noBreakHyphen/>
        <w:t xml:space="preserve">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Escrow Holder will take all steps necessary to accomplish the transfer of Shares of Restricted Stock to Participant after they vest following Participant’s request that the Escrow Holder do so.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Subject to the terms hereof, Participant shall have all the rights of a stockholder with respect to such Shares while they are held in escrow, including without limitation, the right to vote the Shares and receive any cash dividends declared thereon.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the event of any dividend or other distribution (whether in the form of cash, Shares, other securities, or other property), recapitalization, stock split, reverse stock split, reorganization, merger, consolidation, split-up, spin-off, combination, reclassification, repurchase, or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1.13.7.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may instruct the transfer agent for its Common Stock to place a legend on the certificates representing the Restricted Stock or otherwise note its records as to the restrictions on transfer set forth in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1.14.</w:t>
      </w:r>
    </w:p>
    <w:p>
      <w:pPr>
        <w:pStyle w:val="TextBody"/>
        <w:bidi w:val="0"/>
        <w:spacing w:before="240" w:after="283"/>
        <w:jc w:val="left"/>
        <w:rPr/>
      </w:pPr>
      <w:r>
        <w:rPr>
          <w:rFonts w:ascii="Times New Roman" w:hAnsi="Times New Roman"/>
          <w:color w:val="000000"/>
          <w:sz w:val="24"/>
          <w:u w:val="single"/>
        </w:rPr>
        <w:t>Address for Notices</w:t>
      </w:r>
      <w:r>
        <w:rPr>
          <w:rFonts w:ascii="Times New Roman" w:hAnsi="Times New Roman"/>
          <w:color w:val="000000"/>
          <w:sz w:val="24"/>
        </w:rPr>
        <w:t>. Any notice to be given to the Company under the terms of this Award Agreement will be addressed to the Company at LeonaBio, Inc., 18706 North Creek Parkway, Suite 104, Bothell, Washington 98011, or at such other address as the Company may hereafter designate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1.15.</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1.16.</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xml:space="preserve">.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Restricted Stock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1.17.</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1.18.</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1.19.</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1.20.</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1.23.</w:t>
      </w:r>
    </w:p>
    <w:p>
      <w:pPr>
        <w:pStyle w:val="TextBody"/>
        <w:bidi w:val="0"/>
        <w:spacing w:before="240" w:after="283"/>
        <w:jc w:val="both"/>
        <w:rPr/>
      </w:pPr>
      <w:r>
        <w:rPr>
          <w:rFonts w:ascii="Times New Roman" w:hAnsi="Times New Roman"/>
          <w:color w:val="000000"/>
          <w:sz w:val="24"/>
          <w:u w:val="single"/>
        </w:rPr>
        <w:t>Modifications to the Award Agreement</w:t>
      </w:r>
      <w:r>
        <w:rPr>
          <w:rFonts w:ascii="Times New Roman" w:hAnsi="Times New Roman"/>
          <w:color w:val="000000"/>
          <w:sz w:val="24"/>
        </w:rPr>
        <w:t xml:space="preserve">.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1.24.</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1.25.</w:t>
      </w:r>
    </w:p>
    <w:p>
      <w:pPr>
        <w:pStyle w:val="TextBody"/>
        <w:bidi w:val="0"/>
        <w:spacing w:before="240" w:after="283"/>
        <w:jc w:val="both"/>
        <w:rPr/>
      </w:pPr>
      <w:r>
        <w:rPr>
          <w:rFonts w:ascii="Times New Roman" w:hAnsi="Times New Roman"/>
          <w:color w:val="000000"/>
          <w:sz w:val="24"/>
          <w:u w:val="single"/>
        </w:rPr>
        <w:t>Governing Law; Severability</w:t>
      </w:r>
      <w:r>
        <w:rPr>
          <w:rFonts w:ascii="Times New Roman" w:hAnsi="Times New Roman"/>
          <w:color w:val="000000"/>
          <w:sz w:val="24"/>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1.26.</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center"/>
        <w:rPr/>
      </w:pPr>
      <w:r>
        <w:rPr/>
        <w:t> </w:t>
      </w:r>
    </w:p>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RESTRICTED STOCK AWARD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Restricted Stock Award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Award Agreement of which this Country Addendum forms a part (or the Plan or other written agreement as specified in the Restricted Stock Award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includes additional terms and conditions that govern the Award of Restricted Stock granted pursuant to the terms and conditions of the LeonaBio, Inc. 2020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the Restricted Stock Award Agreement to which this Country Addendum is attached (the “</w:t>
      </w:r>
      <w:r>
        <w:rPr>
          <w:rFonts w:ascii="Times New Roman" w:hAnsi="Times New Roman"/>
          <w:color w:val="000000"/>
          <w:sz w:val="24"/>
          <w:u w:val="single"/>
        </w:rPr>
        <w:t>Restricted Stock Award Agreement</w:t>
      </w:r>
      <w:r>
        <w:rPr>
          <w:rFonts w:ascii="Times New Roman" w:hAnsi="Times New Roman"/>
          <w:color w:val="000000"/>
          <w:sz w:val="20"/>
        </w:rPr>
        <w:t>”</w:t>
      </w:r>
      <w:r>
        <w:rPr>
          <w:rFonts w:ascii="Times New Roman" w:hAnsi="Times New Roman"/>
          <w:color w:val="000000"/>
          <w:sz w:val="24"/>
        </w:rPr>
        <w:t>) to the extent the individual to whom the Shares of Restricted Stock were granted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is granted, the Company, in its discretion, will determine to what extent the terms and conditions contained herein will apply to the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the grant of the Shares of Restricted Stock, or is considered a resident of another country for local law purposes, the information in this Country Addendum may not apply to Participant in the same manner.</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lona-ex10_6.htm"/>
      <w:bookmarkStart w:id="50" w:name="kslonaex10_6"/>
      <w:bookmarkEnd w:id="49"/>
      <w:bookmarkEnd w:id="50"/>
      <w:r>
        <w:rPr>
          <w:rFonts w:ascii="Times New Roman" w:hAnsi="Times New Roman"/>
          <w:b/>
          <w:color w:val="000000"/>
          <w:sz w:val="20"/>
        </w:rPr>
        <w:t>Exhibit 10.6</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RESTRICTED STOCK UNIT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LeonaBio, Inc. 2020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will have the same defined meanings in this Restricted Stock Unit Agreement which includes the Notice of Restricted Stock Unit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(the “</w:t>
      </w:r>
      <w:r>
        <w:rPr>
          <w:rFonts w:ascii="Times New Roman" w:hAnsi="Times New Roman"/>
          <w:color w:val="000000"/>
          <w:sz w:val="24"/>
          <w:u w:val="single"/>
        </w:rPr>
        <w:t>Award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Participant Name: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rPr>
        <w:t>Address: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Award of Restricted Stock Units, subject to the terms and conditions of the Plan and this Award Agreement, as follows:</w:t>
      </w:r>
    </w:p>
    <w:p>
      <w:pPr>
        <w:pStyle w:val="TextBody"/>
        <w:bidi w:val="0"/>
        <w:spacing w:before="240" w:after="283"/>
        <w:jc w:val="both"/>
        <w:rPr>
          <w:rFonts w:ascii="Times New Roman" w:hAnsi="Times New Roman"/>
          <w:sz w:val="20"/>
        </w:rPr>
      </w:pPr>
      <w:r>
        <w:rPr>
          <w:rFonts w:ascii="Times New Roman" w:hAnsi="Times New Roman"/>
          <w:color w:val="000000"/>
          <w:sz w:val="24"/>
        </w:rPr>
        <w:t>Grant Number:</w:t>
      </w:r>
      <w:r>
        <w:rPr>
          <w:rFonts w:ascii="Times New Roman" w:hAnsi="Times New Roman"/>
          <w:color w:val="000000"/>
          <w:sz w:val="20"/>
        </w:rPr>
        <w:t xml:space="preserve"> </w:t>
      </w:r>
      <w:r>
        <w:rPr>
          <w:rFonts w:ascii="Times New Roman" w:hAnsi="Times New Roman"/>
          <w:color w:val="000000"/>
          <w:sz w:val="24"/>
        </w:rPr>
        <w:t>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rPr>
        <w:t>Date of Grant:</w:t>
      </w:r>
      <w:r>
        <w:rPr>
          <w:rFonts w:ascii="Times New Roman" w:hAnsi="Times New Roman"/>
          <w:color w:val="000000"/>
          <w:sz w:val="20"/>
        </w:rPr>
        <w:t xml:space="preserve"> </w:t>
      </w:r>
      <w:r>
        <w:rPr>
          <w:rFonts w:ascii="Times New Roman" w:hAnsi="Times New Roman"/>
          <w:color w:val="000000"/>
          <w:sz w:val="24"/>
        </w:rPr>
        <w:t>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rPr>
        <w:t>Vesting Commencement Date:</w:t>
      </w:r>
      <w:r>
        <w:rPr>
          <w:rFonts w:ascii="Times New Roman" w:hAnsi="Times New Roman"/>
          <w:color w:val="000000"/>
          <w:sz w:val="20"/>
        </w:rPr>
        <w:t xml:space="preserve"> </w:t>
      </w:r>
      <w:r>
        <w:rPr>
          <w:rFonts w:ascii="Times New Roman" w:hAnsi="Times New Roman"/>
          <w:color w:val="000000"/>
          <w:sz w:val="24"/>
        </w:rPr>
        <w:t>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rPr>
        <w:t>Total Number of Restricted Stock Units:</w:t>
      </w:r>
      <w:r>
        <w:rPr>
          <w:rFonts w:ascii="Times New Roman" w:hAnsi="Times New Roman"/>
          <w:color w:val="000000"/>
          <w:sz w:val="20"/>
        </w:rPr>
        <w:t xml:space="preserve"> </w:t>
      </w:r>
      <w:r>
        <w:rPr>
          <w:rFonts w:ascii="Times New Roman" w:hAnsi="Times New Roman"/>
          <w:color w:val="000000"/>
          <w:sz w:val="24"/>
        </w:rPr>
        <w:t>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120" w:after="283"/>
        <w:jc w:val="both"/>
        <w:rPr>
          <w:rFonts w:ascii="Times New Roman" w:hAnsi="Times New Roman"/>
          <w:sz w:val="20"/>
        </w:rPr>
      </w:pPr>
      <w:r>
        <w:rPr>
          <w:rFonts w:ascii="Times New Roman" w:hAnsi="Times New Roman"/>
          <w:color w:val="000000"/>
          <w:sz w:val="24"/>
        </w:rPr>
        <w:t>For purposes of this Agreement, “</w:t>
      </w:r>
      <w:r>
        <w:rPr>
          <w:rFonts w:ascii="Times New Roman" w:hAnsi="Times New Roman"/>
          <w:color w:val="000000"/>
          <w:sz w:val="24"/>
          <w:u w:val="single"/>
        </w:rPr>
        <w:t>Quarterly Vesting Dates</w:t>
      </w:r>
      <w:r>
        <w:rPr>
          <w:rFonts w:ascii="Times New Roman" w:hAnsi="Times New Roman"/>
          <w:color w:val="000000"/>
          <w:sz w:val="20"/>
        </w:rPr>
        <w:t xml:space="preserve">” </w:t>
      </w:r>
      <w:r>
        <w:rPr>
          <w:rFonts w:ascii="Times New Roman" w:hAnsi="Times New Roman"/>
          <w:color w:val="000000"/>
          <w:sz w:val="24"/>
        </w:rPr>
        <w:t>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Administrator upon any questions relating to the Plan or this Award Agreement. Participant further agrees to notify the Company upon any change in Participant’s residence address indicated below.</w:t>
      </w:r>
    </w:p>
    <w:p>
      <w:pPr>
        <w:pStyle w:val="TextBody"/>
        <w:bidi w:val="0"/>
        <w:spacing w:before="240" w:after="283"/>
        <w:jc w:val="both"/>
        <w:rPr/>
      </w:pPr>
      <w:r>
        <w:rPr/>
        <w:t> </w:t>
      </w:r>
    </w:p>
    <w:p>
      <w:pPr>
        <w:pStyle w:val="TextBody"/>
        <w:bidi w:val="0"/>
        <w:jc w:val="both"/>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LEONABIO,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Signature Signature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Print Name Print Name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Title</w:t>
      </w:r>
    </w:p>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Residence Address:</w:t>
      </w:r>
    </w:p>
    <w:p>
      <w:pPr>
        <w:pStyle w:val="TextBody"/>
        <w:bidi w:val="0"/>
        <w:jc w:val="both"/>
        <w:rPr/>
      </w:pPr>
      <w:r>
        <w:rPr/>
        <w:t> </w:t>
      </w:r>
    </w:p>
    <w:p>
      <w:pPr>
        <w:pStyle w:val="TextBody"/>
        <w:bidi w:val="0"/>
        <w:spacing w:before="240" w:after="283"/>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RESTRICTED STOCK UNIT GRANT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pPr>
      <w:r>
        <w:rPr>
          <w:rFonts w:ascii="Times New Roman" w:hAnsi="Times New Roman"/>
          <w:color w:val="000000"/>
          <w:sz w:val="24"/>
          <w:u w:val="single"/>
        </w:rPr>
        <w:t>Grant of Restricted Stock Units</w:t>
      </w:r>
      <w:r>
        <w:rPr>
          <w:rFonts w:ascii="Times New Roman" w:hAnsi="Times New Roman"/>
          <w:color w:val="000000"/>
          <w:sz w:val="24"/>
        </w:rPr>
        <w:t>. 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Restricted Stock Unit Grant of this Award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under the Plan an Award of Restricted Stock Units,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rFonts w:ascii="Times New Roman" w:hAnsi="Times New Roman"/>
          <w:color w:val="000000"/>
          <w:sz w:val="24"/>
          <w:u w:val="single"/>
        </w:rPr>
        <w:t>Company’s Obligation to Pay</w:t>
      </w:r>
      <w:r>
        <w:rPr>
          <w:rFonts w:ascii="Times New Roman" w:hAnsi="Times New Roman"/>
          <w:color w:val="000000"/>
          <w:sz w:val="24"/>
        </w:rPr>
        <w:t>. Each Restricted Stock Unit represents the right to receive a Share on the date it vests. Unless and until the Restricted Stock Units will have vested in the manner set forth in Section 3or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rFonts w:ascii="Times New Roman" w:hAnsi="Times New Roman"/>
          <w:color w:val="000000"/>
          <w:sz w:val="24"/>
          <w:u w:val="single"/>
        </w:rPr>
        <w:t>Vesting Schedule</w:t>
      </w:r>
      <w:r>
        <w:rPr>
          <w:rFonts w:ascii="Times New Roman" w:hAnsi="Times New Roman"/>
          <w:color w:val="000000"/>
          <w:sz w:val="24"/>
        </w:rPr>
        <w:t xml:space="preserve">.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pPr>
      <w:r>
        <w:rPr>
          <w:rFonts w:ascii="Times New Roman" w:hAnsi="Times New Roman"/>
          <w:color w:val="000000"/>
          <w:sz w:val="24"/>
          <w:u w:val="single"/>
        </w:rPr>
        <w:t>Payment after Vesting</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left"/>
        <w:rPr/>
      </w:pPr>
      <w:r>
        <w:rPr>
          <w:rFonts w:ascii="Times New Roman" w:hAnsi="Times New Roman"/>
          <w:color w:val="000000"/>
          <w:sz w:val="24"/>
          <w:u w:val="single"/>
        </w:rPr>
        <w:t>General Rule</w:t>
      </w:r>
      <w:r>
        <w:rPr>
          <w:rFonts w:ascii="Times New Roman" w:hAnsi="Times New Roman"/>
          <w:color w:val="000000"/>
          <w:sz w:val="24"/>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left"/>
        <w:rPr/>
      </w:pPr>
      <w:r>
        <w:rPr>
          <w:rFonts w:ascii="Times New Roman" w:hAnsi="Times New Roman"/>
          <w:color w:val="000000"/>
          <w:sz w:val="24"/>
          <w:u w:val="single"/>
        </w:rPr>
        <w:t>Discretionary Acceleration</w:t>
      </w:r>
      <w:r>
        <w:rPr>
          <w:rFonts w:ascii="Times New Roman" w:hAnsi="Times New Roman"/>
          <w:color w:val="000000"/>
          <w:sz w:val="24"/>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1.4.3.</w:t>
      </w:r>
    </w:p>
    <w:p>
      <w:pPr>
        <w:pStyle w:val="TextBody"/>
        <w:bidi w:val="0"/>
        <w:spacing w:before="240" w:after="283"/>
        <w:jc w:val="left"/>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1.4.3.1.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1.4.3.2.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1.4.3.3.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(or any other person) for any taxes, penalties and interest that may be imposed, or other costs that may be incurred, as a result of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Forfeiture Upon Termination as a Service Provider</w:t>
      </w:r>
      <w:r>
        <w:rPr>
          <w:rFonts w:ascii="Times New Roman" w:hAnsi="Times New Roman"/>
          <w:color w:val="000000"/>
          <w:sz w:val="24"/>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rFonts w:ascii="Times New Roman" w:hAnsi="Times New Roman"/>
          <w:color w:val="000000"/>
          <w:sz w:val="24"/>
          <w:u w:val="single"/>
        </w:rPr>
        <w:t>Death of Participant</w:t>
      </w:r>
      <w:r>
        <w:rPr>
          <w:rFonts w:ascii="Times New Roman" w:hAnsi="Times New Roman"/>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Tax Obligations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pPr>
      <w:r>
        <w:rPr>
          <w:rFonts w:ascii="Times New Roman" w:hAnsi="Times New Roman"/>
          <w:color w:val="000000"/>
          <w:sz w:val="24"/>
        </w:rPr>
        <w:t>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r>
        <w:rPr>
          <w:color w:val="00000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rFonts w:ascii="Times New Roman" w:hAnsi="Times New Roman"/>
          <w:color w:val="000000"/>
          <w:sz w:val="24"/>
          <w:u w:val="single"/>
        </w:rPr>
        <w:t>Company’s Obligation to Deliver Shares</w:t>
      </w:r>
      <w:r>
        <w:rPr>
          <w:rFonts w:ascii="Times New Roman" w:hAnsi="Times New Roman"/>
          <w:color w:val="000000"/>
          <w:sz w:val="24"/>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3or 4or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left"/>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pPr>
      <w:r>
        <w:rPr>
          <w:rFonts w:ascii="Times New Roman" w:hAnsi="Times New Roman"/>
          <w:color w:val="000000"/>
          <w:sz w:val="24"/>
          <w:u w:val="single"/>
        </w:rPr>
        <w:t>No Guarantee of Continued Service</w:t>
      </w:r>
      <w:r>
        <w:rPr>
          <w:rFonts w:ascii="Times New Roman" w:hAnsi="Times New Roman"/>
          <w:color w:val="000000"/>
          <w:sz w:val="24"/>
        </w:rPr>
        <w:t xml:space="preserve">.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1.10.</w:t>
      </w:r>
    </w:p>
    <w:p>
      <w:pPr>
        <w:pStyle w:val="TextBody"/>
        <w:bidi w:val="0"/>
        <w:spacing w:before="240" w:after="283"/>
        <w:jc w:val="left"/>
        <w:rPr/>
      </w:pPr>
      <w:r>
        <w:rPr>
          <w:rFonts w:ascii="Times New Roman" w:hAnsi="Times New Roman"/>
          <w:color w:val="000000"/>
          <w:sz w:val="24"/>
          <w:u w:val="single"/>
        </w:rPr>
        <w:t>Grant is Not Transferable</w:t>
      </w:r>
      <w:r>
        <w:rPr>
          <w:rFonts w:ascii="Times New Roman" w:hAnsi="Times New Roman"/>
          <w:color w:val="000000"/>
          <w:sz w:val="24"/>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w:t>
      </w:r>
    </w:p>
    <w:p>
      <w:pPr>
        <w:pStyle w:val="TextBody"/>
        <w:bidi w:val="0"/>
        <w:spacing w:before="240" w:after="283"/>
        <w:jc w:val="left"/>
        <w:rPr/>
      </w:pPr>
      <w:r>
        <w:rPr>
          <w:rFonts w:ascii="Times New Roman" w:hAnsi="Times New Roman"/>
          <w:color w:val="000000"/>
          <w:sz w:val="24"/>
          <w:u w:val="single"/>
        </w:rPr>
        <w:t>Nature of Grant</w:t>
      </w:r>
      <w:r>
        <w:rPr>
          <w:rFonts w:ascii="Times New Roman" w:hAnsi="Times New Roman"/>
          <w:color w:val="000000"/>
          <w:sz w:val="24"/>
        </w:rPr>
        <w:t>. In accepting this Award of Restricted Stock Units, Participant acknowledges, understands and agrees 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all decisions with respect to future Restricted Stock Units or other grants, if any, will be at the sole discretion of the Administrator;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intended to replace any pension rights or compensation;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future value of the Shares underlying the Restricted Stock Units is unknown, indeterminable and cannot be predicted;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1.11.9.</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1.11.9.1.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part of normal or expected compensation or salary for any purpose;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1.11.9.2.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1.11.9.3.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1.12.</w:t>
      </w:r>
    </w:p>
    <w:p>
      <w:pPr>
        <w:pStyle w:val="TextBody"/>
        <w:bidi w:val="0"/>
        <w:spacing w:before="240" w:after="283"/>
        <w:jc w:val="left"/>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left"/>
        <w:rPr>
          <w:rFonts w:ascii="Times New Roman" w:hAnsi="Times New Roman"/>
          <w:b/>
          <w:i/>
          <w:color w:val="000000"/>
          <w:sz w:val="24"/>
        </w:rPr>
      </w:pPr>
      <w:r>
        <w:rPr>
          <w:rFonts w:ascii="Times New Roman" w:hAnsi="Times New Roman"/>
          <w:b/>
          <w:i/>
          <w:color w:val="000000"/>
          <w:sz w:val="24"/>
        </w:rPr>
        <w:t>1.13.</w:t>
      </w:r>
    </w:p>
    <w:p>
      <w:pPr>
        <w:pStyle w:val="TextBody"/>
        <w:bidi w:val="0"/>
        <w:spacing w:before="240" w:after="283"/>
        <w:jc w:val="left"/>
        <w:rPr/>
      </w:pPr>
      <w:r>
        <w:rPr>
          <w:rFonts w:ascii="Times New Roman" w:hAnsi="Times New Roman"/>
          <w:b/>
          <w:i/>
          <w:color w:val="000000"/>
          <w:sz w:val="24"/>
          <w:u w:val="single"/>
        </w:rPr>
        <w:t>Data Privacy</w:t>
      </w:r>
      <w:r>
        <w:rPr>
          <w:rFonts w:ascii="Times New Roman" w:hAnsi="Times New Roman"/>
          <w:b/>
          <w:i/>
          <w:color w:val="000000"/>
          <w:sz w:val="24"/>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1.14.</w:t>
      </w:r>
    </w:p>
    <w:p>
      <w:pPr>
        <w:pStyle w:val="TextBody"/>
        <w:bidi w:val="0"/>
        <w:spacing w:before="240" w:after="283"/>
        <w:jc w:val="left"/>
        <w:rPr/>
      </w:pPr>
      <w:r>
        <w:rPr>
          <w:rFonts w:ascii="Times New Roman" w:hAnsi="Times New Roman"/>
          <w:color w:val="000000"/>
          <w:sz w:val="24"/>
          <w:u w:val="single"/>
        </w:rPr>
        <w:t>Address for Notices</w:t>
      </w:r>
      <w:r>
        <w:rPr>
          <w:rFonts w:ascii="Times New Roman" w:hAnsi="Times New Roman"/>
          <w:color w:val="000000"/>
          <w:sz w:val="24"/>
        </w:rPr>
        <w:t>. Any notice to be given to the Company under the terms of this Award Agreement will be addressed to the Company at LeonaBio, Inc., 18706 North Creek Parkway, Suite 104, Bothell, Washington 98011, or at such other address as the Company may hereafter designate in writing.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1.15.</w:t>
      </w:r>
    </w:p>
    <w:p>
      <w:pPr>
        <w:pStyle w:val="TextBody"/>
        <w:bidi w:val="0"/>
        <w:spacing w:before="240" w:after="283"/>
        <w:jc w:val="left"/>
        <w:rPr/>
      </w:pPr>
      <w:r>
        <w:rPr>
          <w:rFonts w:ascii="Times New Roman" w:hAnsi="Times New Roman"/>
          <w:color w:val="000000"/>
          <w:sz w:val="24"/>
          <w:u w:val="single"/>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1.16.</w:t>
      </w:r>
    </w:p>
    <w:p>
      <w:pPr>
        <w:pStyle w:val="TextBody"/>
        <w:bidi w:val="0"/>
        <w:spacing w:before="240" w:after="283"/>
        <w:jc w:val="left"/>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1.17.</w:t>
      </w:r>
    </w:p>
    <w:p>
      <w:pPr>
        <w:pStyle w:val="TextBody"/>
        <w:bidi w:val="0"/>
        <w:spacing w:before="240" w:after="283"/>
        <w:jc w:val="left"/>
        <w:rPr/>
      </w:pPr>
      <w:r>
        <w:rPr>
          <w:rFonts w:ascii="Times New Roman" w:hAnsi="Times New Roman"/>
          <w:color w:val="000000"/>
          <w:sz w:val="24"/>
          <w:u w:val="single"/>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1.18.</w:t>
      </w:r>
    </w:p>
    <w:p>
      <w:pPr>
        <w:pStyle w:val="TextBody"/>
        <w:bidi w:val="0"/>
        <w:spacing w:before="240" w:after="283"/>
        <w:jc w:val="left"/>
        <w:rPr/>
      </w:pPr>
      <w:r>
        <w:rPr>
          <w:rFonts w:ascii="Times New Roman" w:hAnsi="Times New Roman"/>
          <w:color w:val="000000"/>
          <w:sz w:val="24"/>
          <w:u w:val="single"/>
        </w:rPr>
        <w:t>Interpretation</w:t>
      </w:r>
      <w:r>
        <w:rPr>
          <w:rFonts w:ascii="Times New Roman" w:hAnsi="Times New Roman"/>
          <w:color w:val="000000"/>
          <w:sz w:val="24"/>
        </w:rPr>
        <w:t xml:space="preserve">.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1.19.</w:t>
      </w:r>
    </w:p>
    <w:p>
      <w:pPr>
        <w:pStyle w:val="TextBody"/>
        <w:bidi w:val="0"/>
        <w:spacing w:before="240" w:after="283"/>
        <w:jc w:val="left"/>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1.20.</w:t>
      </w:r>
    </w:p>
    <w:p>
      <w:pPr>
        <w:pStyle w:val="TextBody"/>
        <w:bidi w:val="0"/>
        <w:spacing w:before="240" w:after="283"/>
        <w:jc w:val="left"/>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left"/>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left"/>
        <w:rPr/>
      </w:pPr>
      <w:r>
        <w:rPr>
          <w:rFonts w:ascii="Times New Roman" w:hAnsi="Times New Roman"/>
          <w:color w:val="000000"/>
          <w:sz w:val="24"/>
          <w:u w:val="single"/>
        </w:rPr>
        <w:t>Country Addendum</w:t>
      </w:r>
      <w:r>
        <w:rPr>
          <w:rFonts w:ascii="Times New Roman" w:hAnsi="Times New Roman"/>
          <w:color w:val="000000"/>
          <w:sz w:val="24"/>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1.23.</w:t>
      </w:r>
    </w:p>
    <w:p>
      <w:pPr>
        <w:pStyle w:val="TextBody"/>
        <w:bidi w:val="0"/>
        <w:spacing w:before="240" w:after="283"/>
        <w:jc w:val="left"/>
        <w:rPr/>
      </w:pPr>
      <w:r>
        <w:rPr>
          <w:rFonts w:ascii="Times New Roman" w:hAnsi="Times New Roman"/>
          <w:color w:val="000000"/>
          <w:sz w:val="24"/>
          <w:u w:val="single"/>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1.24.</w:t>
      </w:r>
    </w:p>
    <w:p>
      <w:pPr>
        <w:pStyle w:val="TextBody"/>
        <w:bidi w:val="0"/>
        <w:spacing w:before="240" w:after="283"/>
        <w:jc w:val="left"/>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1.25.</w:t>
      </w:r>
    </w:p>
    <w:p>
      <w:pPr>
        <w:pStyle w:val="TextBody"/>
        <w:bidi w:val="0"/>
        <w:spacing w:before="240" w:after="283"/>
        <w:jc w:val="left"/>
        <w:rPr/>
      </w:pPr>
      <w:r>
        <w:rPr>
          <w:rFonts w:ascii="Times New Roman" w:hAnsi="Times New Roman"/>
          <w:color w:val="000000"/>
          <w:sz w:val="24"/>
          <w:u w:val="single"/>
        </w:rPr>
        <w:t>Governing Law; Severability</w:t>
      </w:r>
      <w:r>
        <w:rPr>
          <w:rFonts w:ascii="Times New Roman" w:hAnsi="Times New Roman"/>
          <w:color w:val="000000"/>
          <w:sz w:val="24"/>
        </w:rPr>
        <w:t xml:space="preserve">.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1.26.</w:t>
      </w:r>
    </w:p>
    <w:p>
      <w:pPr>
        <w:pStyle w:val="TextBody"/>
        <w:bidi w:val="0"/>
        <w:spacing w:before="240" w:after="283"/>
        <w:jc w:val="left"/>
        <w:rPr/>
      </w:pPr>
      <w:r>
        <w:rPr>
          <w:rFonts w:ascii="Times New Roman" w:hAnsi="Times New Roman"/>
          <w:color w:val="000000"/>
          <w:sz w:val="24"/>
          <w:u w:val="single"/>
        </w:rPr>
        <w:t>Entire Agreement</w:t>
      </w:r>
      <w:r>
        <w:rPr>
          <w:rFonts w:ascii="Times New Roman" w:hAnsi="Times New Roman"/>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RESTRICTED STOCK UNIT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Restricted Stock Unit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Unit Agreement of which this Country Addendum forms a part (or the Plan or other written agreement as specified in the Restricted Stock Unit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includes additional terms and conditions that govern the Award of Restricted Stock Units granted pursuant to the terms and conditions of the LeonaBio, Inc. 2020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the Restricted Stock Unit Agreement to which this Country Addendum is attached (the “</w:t>
      </w:r>
      <w:r>
        <w:rPr>
          <w:rFonts w:ascii="Times New Roman" w:hAnsi="Times New Roman"/>
          <w:color w:val="000000"/>
          <w:sz w:val="24"/>
          <w:u w:val="single"/>
        </w:rPr>
        <w:t>Restricted Stock Unit Agreement</w:t>
      </w:r>
      <w:r>
        <w:rPr>
          <w:rFonts w:ascii="Times New Roman" w:hAnsi="Times New Roman"/>
          <w:color w:val="000000"/>
          <w:sz w:val="20"/>
        </w:rPr>
        <w:t>”</w:t>
      </w:r>
      <w:r>
        <w:rPr>
          <w:rFonts w:ascii="Times New Roman" w:hAnsi="Times New Roman"/>
          <w:color w:val="000000"/>
          <w:sz w:val="24"/>
        </w:rPr>
        <w:t>) to the extent the individual to whom the Restricted Stock Units were granted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10.6</w:t>
      </w:r>
    </w:p>
    <w:p>
      <w:pPr>
        <w:pStyle w:val="TextBody"/>
        <w:bidi w:val="0"/>
        <w:spacing w:before="240" w:after="283"/>
        <w:jc w:val="both"/>
        <w:rPr>
          <w:rFonts w:ascii="Times New Roman" w:hAnsi="Times New Roman"/>
          <w:sz w:val="20"/>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lona-ex10_7.htm"/>
      <w:bookmarkStart w:id="52" w:name="kslonaex10_7"/>
      <w:bookmarkEnd w:id="51"/>
      <w:bookmarkEnd w:id="52"/>
      <w:r>
        <w:rPr>
          <w:rFonts w:ascii="Times New Roman" w:hAnsi="Times New Roman"/>
          <w:b/>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4"/>
        </w:rPr>
        <w:t>LEONABIO,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80" w:after="283"/>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 and Restated on January 9,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Purpose</w:t>
      </w:r>
      <w:r>
        <w:rPr>
          <w:rFonts w:ascii="Times New Roman" w:hAnsi="Times New Roman"/>
          <w:color w:val="000000"/>
          <w:sz w:val="24"/>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 w:hAnsi="Times New Roman"/>
          <w:color w:val="000000"/>
          <w:sz w:val="24"/>
          <w:u w:val="single"/>
        </w:rPr>
        <w:t>423 Component</w:t>
      </w:r>
      <w:r>
        <w:rPr>
          <w:color w:val="000000"/>
        </w:rPr>
        <w:t>”</w:t>
      </w:r>
      <w:r>
        <w:rPr>
          <w:rFonts w:ascii="Times New Roman" w:hAnsi="Times New Roman"/>
          <w:color w:val="000000"/>
          <w:sz w:val="24"/>
        </w:rPr>
        <w:t>) and a component that is not intended to qualify as an “employee stock purchase plan” under Code Section 423 (the “</w:t>
      </w:r>
      <w:r>
        <w:rPr>
          <w:rFonts w:ascii="Times New Roman" w:hAnsi="Times New Roman"/>
          <w:color w:val="000000"/>
          <w:sz w:val="24"/>
          <w:u w:val="single"/>
        </w:rPr>
        <w:t>Non</w:t>
        <w:noBreakHyphen/>
        <w:t>423 Component</w:t>
      </w:r>
      <w:r>
        <w:rPr>
          <w:color w:val="000000"/>
        </w:rPr>
        <w:t>”</w:t>
      </w:r>
      <w:r>
        <w:rPr>
          <w:rFonts w:ascii="Times New Roman" w:hAnsi="Times New Roman"/>
          <w:color w:val="000000"/>
          <w:sz w:val="24"/>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noBreakHyphen/>
        <w:t>423 Component that does not qualify as an “employee stock purchase plan” under Code Section 423; an option granted under the Non</w:t>
        <w:noBreakHyphen/>
        <w:t>423 Component will provide for substantially the same benefits as an option granted under the 423 Component, except that a Non</w:t>
        <w:noBreakHyphen/>
        <w:t>423 Component option may include features necessary to comply with applicable non</w:t>
        <w:noBreakHyphen/>
        <w:t>U.S. laws pursuant to rules, procedures or sub</w:t>
        <w:noBreakHyphen/>
        <w:t>plans adopted by the Administrator. Except as otherwise provided herein or by the Administrator, the Non</w:t>
        <w:noBreakHyphen/>
        <w:t>423 Component will operate and be administered in the same manner as the 423 Component.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Committee designated by the Board to administer the Plan pursuant to Section 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left"/>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w:t>
        <w:noBreakHyphen/>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noBreakHyphen/>
        <w:t>U.S. country or jurisdiction where options are, or will be, granted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left"/>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left"/>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left"/>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 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own the Company, as the case may be, either directly or through one or more subsidiary corporations or other business entities;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left"/>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2.4.3.</w:t>
      </w:r>
    </w:p>
    <w:p>
      <w:pPr>
        <w:pStyle w:val="TextBody"/>
        <w:bidi w:val="0"/>
        <w:spacing w:before="240" w:after="283"/>
        <w:jc w:val="left"/>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2.4,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left"/>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left"/>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the Board appointed in accordance with Section 3 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left"/>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left"/>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LeonaBio, Inc., a Delaware corporation, or any successor thereto.</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left"/>
        <w:rPr/>
      </w:pPr>
      <w:r>
        <w:rPr>
          <w:color w:val="000000"/>
        </w:rPr>
        <w:t>“</w:t>
      </w:r>
      <w:r>
        <w:rPr>
          <w:rFonts w:ascii="Times New Roman" w:hAnsi="Times New Roman"/>
          <w:color w:val="000000"/>
          <w:sz w:val="24"/>
          <w:u w:val="single"/>
        </w:rPr>
        <w:t>Compensation</w:t>
      </w:r>
      <w:r>
        <w:rPr>
          <w:color w:val="000000"/>
        </w:rPr>
        <w:t xml:space="preserve">” </w:t>
      </w:r>
      <w:r>
        <w:rPr>
          <w:rFonts w:ascii="Times New Roman" w:hAnsi="Times New Roman"/>
          <w:color w:val="000000"/>
          <w:sz w:val="24"/>
        </w:rPr>
        <w:t>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left"/>
        <w:rPr/>
      </w:pPr>
      <w:r>
        <w:rPr>
          <w:color w:val="000000"/>
        </w:rPr>
        <w:t>“</w:t>
      </w:r>
      <w:r>
        <w:rPr>
          <w:rFonts w:ascii="Times New Roman" w:hAnsi="Times New Roman"/>
          <w:color w:val="000000"/>
          <w:sz w:val="24"/>
          <w:u w:val="single"/>
        </w:rPr>
        <w:t>Contributions</w:t>
      </w:r>
      <w:r>
        <w:rPr>
          <w:color w:val="000000"/>
        </w:rPr>
        <w:t xml:space="preserve">” </w:t>
      </w:r>
      <w:r>
        <w:rPr>
          <w:rFonts w:ascii="Times New Roman" w:hAnsi="Times New Roman"/>
          <w:color w:val="000000"/>
          <w:sz w:val="24"/>
        </w:rPr>
        <w:t>means the payroll deductions and other additional payments that the Company may permit to be made by a Participant to fund the exercise of options granted pursuant to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left"/>
        <w:rPr/>
      </w:pPr>
      <w:r>
        <w:rPr>
          <w:color w:val="000000"/>
        </w:rPr>
        <w:t>“</w:t>
      </w:r>
      <w:r>
        <w:rPr>
          <w:rFonts w:ascii="Times New Roman" w:hAnsi="Times New Roman"/>
          <w:color w:val="000000"/>
          <w:sz w:val="24"/>
          <w:u w:val="single"/>
        </w:rPr>
        <w:t>Designated Company</w:t>
      </w:r>
      <w:r>
        <w:rPr>
          <w:color w:val="000000"/>
        </w:rPr>
        <w:t xml:space="preserve">” </w:t>
      </w:r>
      <w:r>
        <w:rPr>
          <w:rFonts w:ascii="Times New Roman" w:hAnsi="Times New Roman"/>
          <w:color w:val="000000"/>
          <w:sz w:val="24"/>
        </w:rPr>
        <w:t>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w:t>
        <w:noBreakHyphen/>
        <w:t>423 Component.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left"/>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left"/>
        <w:rPr/>
      </w:pPr>
      <w:r>
        <w:rPr>
          <w:color w:val="000000"/>
        </w:rPr>
        <w:t>“</w:t>
      </w:r>
      <w:r>
        <w:rPr>
          <w:rFonts w:ascii="Times New Roman" w:hAnsi="Times New Roman"/>
          <w:color w:val="000000"/>
          <w:sz w:val="24"/>
          <w:u w:val="single"/>
        </w:rPr>
        <w:t>Eligible Employee</w:t>
      </w:r>
      <w:r>
        <w:rPr>
          <w:color w:val="000000"/>
        </w:rPr>
        <w:t xml:space="preserve">” </w:t>
      </w:r>
      <w:r>
        <w:rPr>
          <w:rFonts w:ascii="Times New Roman" w:hAnsi="Times New Roman"/>
          <w:color w:val="000000"/>
          <w:sz w:val="24"/>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noBreakHyphen/>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noBreakHyphen/>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noBreakHyphen/>
        <w:t>2(e)(2)(ii). Such exclusions may be applied with respect to an Offering under the Non</w:t>
        <w:noBreakHyphen/>
        <w:t>423 Component without regard to the limitations of U.S. Treasury Regulations Section 1.423</w:t>
        <w:noBreakHyphen/>
        <w:t>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left"/>
        <w:rPr/>
      </w:pPr>
      <w:r>
        <w:rPr>
          <w:color w:val="000000"/>
        </w:rPr>
        <w:t>“</w:t>
      </w:r>
      <w:r>
        <w:rPr>
          <w:rFonts w:ascii="Times New Roman" w:hAnsi="Times New Roman"/>
          <w:color w:val="000000"/>
          <w:sz w:val="24"/>
          <w:u w:val="single"/>
        </w:rPr>
        <w:t>Employer</w:t>
      </w:r>
      <w:r>
        <w:rPr>
          <w:color w:val="000000"/>
        </w:rPr>
        <w:t xml:space="preserve">” </w:t>
      </w:r>
      <w:r>
        <w:rPr>
          <w:rFonts w:ascii="Times New Roman" w:hAnsi="Times New Roman"/>
          <w:color w:val="000000"/>
          <w:sz w:val="24"/>
        </w:rPr>
        <w:t>means the employer of the applicable Eligible Employee(s).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left"/>
        <w:rPr/>
      </w:pPr>
      <w:r>
        <w:rPr>
          <w:color w:val="000000"/>
        </w:rPr>
        <w:t>“</w:t>
      </w:r>
      <w:r>
        <w:rPr>
          <w:rFonts w:ascii="Times New Roman" w:hAnsi="Times New Roman"/>
          <w:color w:val="000000"/>
          <w:sz w:val="24"/>
          <w:u w:val="single"/>
        </w:rPr>
        <w:t>Enrollment Date</w:t>
      </w:r>
      <w:r>
        <w:rPr>
          <w:color w:val="000000"/>
        </w:rPr>
        <w:t xml:space="preserve">” </w:t>
      </w:r>
      <w:r>
        <w:rPr>
          <w:rFonts w:ascii="Times New Roman" w:hAnsi="Times New Roman"/>
          <w:color w:val="000000"/>
          <w:sz w:val="24"/>
        </w:rPr>
        <w:t>means the first Trading Day of each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left"/>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left"/>
        <w:rPr/>
      </w:pPr>
      <w:r>
        <w:rPr>
          <w:color w:val="000000"/>
        </w:rPr>
        <w:t>“</w:t>
      </w:r>
      <w:r>
        <w:rPr>
          <w:rFonts w:ascii="Times New Roman" w:hAnsi="Times New Roman"/>
          <w:color w:val="000000"/>
          <w:sz w:val="24"/>
          <w:u w:val="single"/>
        </w:rPr>
        <w:t>Exercise Date</w:t>
      </w:r>
      <w:r>
        <w:rPr>
          <w:color w:val="000000"/>
        </w:rPr>
        <w:t xml:space="preserve">” </w:t>
      </w:r>
      <w:r>
        <w:rPr>
          <w:rFonts w:ascii="Times New Roman" w:hAnsi="Times New Roman"/>
          <w:color w:val="000000"/>
          <w:sz w:val="24"/>
        </w:rPr>
        <w:t>means the first Trading Day on or after May 18th and November 18</w:t>
      </w:r>
      <w:r>
        <w:rPr>
          <w:rFonts w:ascii="Times New Roman" w:hAnsi="Times New Roman"/>
          <w:color w:val="000000"/>
          <w:sz w:val="16"/>
        </w:rPr>
        <w:t>th</w:t>
      </w:r>
      <w:r>
        <w:rPr>
          <w:color w:val="000000"/>
        </w:rPr>
        <w:t xml:space="preserve"> </w:t>
      </w:r>
      <w:r>
        <w:rPr>
          <w:rFonts w:ascii="Times New Roman" w:hAnsi="Times New Roman"/>
          <w:color w:val="000000"/>
          <w:sz w:val="24"/>
        </w:rPr>
        <w:t>of each Offering Period, provided that the first Exercise Date under the Plan will be the first Trading Day on or after May 18, 2021.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left"/>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2.18.1.</w:t>
      </w:r>
    </w:p>
    <w:p>
      <w:pPr>
        <w:pStyle w:val="TextBody"/>
        <w:bidi w:val="0"/>
        <w:spacing w:before="240" w:after="283"/>
        <w:jc w:val="left"/>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2.18.2.</w:t>
      </w:r>
    </w:p>
    <w:p>
      <w:pPr>
        <w:pStyle w:val="TextBody"/>
        <w:bidi w:val="0"/>
        <w:spacing w:before="240" w:after="283"/>
        <w:jc w:val="left"/>
        <w:rPr/>
      </w:pPr>
      <w:r>
        <w:rPr>
          <w:rFonts w:ascii="Times New Roman" w:hAnsi="Times New Roman"/>
          <w:color w:val="000000"/>
          <w:sz w:val="24"/>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2.18.3.</w:t>
      </w:r>
    </w:p>
    <w:p>
      <w:pPr>
        <w:pStyle w:val="TextBody"/>
        <w:bidi w:val="0"/>
        <w:spacing w:before="240" w:after="283"/>
        <w:jc w:val="left"/>
        <w:rPr/>
      </w:pPr>
      <w:r>
        <w:rPr>
          <w:rFonts w:ascii="Times New Roman" w:hAnsi="Times New Roman"/>
          <w:color w:val="000000"/>
          <w:sz w:val="24"/>
        </w:rPr>
        <w:t>For purposes of the Enrollment Date of the first Offering Period under the Plan, the Fair Market Value will be the initial price to the public as set forth in the final prospectus included within the registration statement on Form S</w:t>
        <w:noBreakHyphen/>
        <w:t>1 filed with the Securities and Exchange Commission for the initial public offering of the Common Stock (the “</w:t>
      </w:r>
      <w:r>
        <w:rPr>
          <w:rFonts w:ascii="Times New Roman" w:hAnsi="Times New Roman"/>
          <w:color w:val="000000"/>
          <w:sz w:val="24"/>
          <w:u w:val="single"/>
        </w:rPr>
        <w:t>Registration Statement</w:t>
      </w:r>
      <w:r>
        <w:rPr>
          <w:color w:val="000000"/>
        </w:rPr>
        <w:t>”</w:t>
      </w:r>
      <w:r>
        <w:rPr>
          <w:rFonts w:ascii="Times New Roman" w:hAnsi="Times New Roman"/>
          <w:color w:val="000000"/>
          <w:sz w:val="24"/>
        </w:rPr>
        <w:t>);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2.18.4.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left"/>
        <w:rPr>
          <w:rFonts w:ascii="Times New Roman" w:hAnsi="Times New Roman"/>
          <w:sz w:val="20"/>
        </w:rPr>
      </w:pPr>
      <w:r>
        <w:rPr>
          <w:rFonts w:ascii="Times New Roman" w:hAnsi="Times New Roman"/>
          <w:color w:val="000000"/>
          <w:sz w:val="24"/>
        </w:rPr>
        <w:t>The determination of fair market value for purposes of tax withholding may be made in the Administrator’s discretion subject to Applicable Laws and is not required to be consistent with the determination of Fair Market Value for other purposes.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left"/>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left"/>
        <w:rPr/>
      </w:pPr>
      <w:r>
        <w:rPr>
          <w:color w:val="000000"/>
        </w:rPr>
        <w:t>“</w:t>
      </w:r>
      <w:r>
        <w:rPr>
          <w:rFonts w:ascii="Times New Roman" w:hAnsi="Times New Roman"/>
          <w:color w:val="000000"/>
          <w:sz w:val="24"/>
          <w:u w:val="single"/>
        </w:rPr>
        <w:t>New Exercise Date</w:t>
      </w:r>
      <w:r>
        <w:rPr>
          <w:color w:val="000000"/>
        </w:rPr>
        <w:t xml:space="preserve">” </w:t>
      </w:r>
      <w:r>
        <w:rPr>
          <w:rFonts w:ascii="Times New Roman" w:hAnsi="Times New Roman"/>
          <w:color w:val="000000"/>
          <w:sz w:val="24"/>
        </w:rPr>
        <w:t>means a new Exercise Date if the Administrator shortens any Offering Period then in progress.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left"/>
        <w:rPr/>
      </w:pPr>
      <w:r>
        <w:rPr>
          <w:color w:val="000000"/>
        </w:rPr>
        <w:t>“</w:t>
      </w:r>
      <w:r>
        <w:rPr>
          <w:rFonts w:ascii="Times New Roman" w:hAnsi="Times New Roman"/>
          <w:color w:val="000000"/>
          <w:sz w:val="24"/>
          <w:u w:val="single"/>
        </w:rPr>
        <w:t>Offering</w:t>
      </w:r>
      <w:r>
        <w:rPr>
          <w:color w:val="000000"/>
        </w:rPr>
        <w:t xml:space="preserve">” </w:t>
      </w:r>
      <w:r>
        <w:rPr>
          <w:rFonts w:ascii="Times New Roman" w:hAnsi="Times New Roman"/>
          <w:color w:val="000000"/>
          <w:sz w:val="24"/>
        </w:rPr>
        <w:t>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noBreakHyphen/>
        <w:t>2(a)(1), the terms of each Offering need not be identical provided that the terms of the Plan and an Offering together satisfy U.S. Treasury Regulations Section 1.423</w:t>
        <w:noBreakHyphen/>
        <w:t>2(a)(2) and (a)(3).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left"/>
        <w:rPr/>
      </w:pPr>
      <w:r>
        <w:rPr>
          <w:color w:val="000000"/>
        </w:rPr>
        <w:t>“</w:t>
      </w:r>
      <w:r>
        <w:rPr>
          <w:rFonts w:ascii="Times New Roman" w:hAnsi="Times New Roman"/>
          <w:color w:val="000000"/>
          <w:sz w:val="24"/>
          <w:u w:val="single"/>
        </w:rPr>
        <w:t>Offering Periods</w:t>
      </w:r>
      <w:r>
        <w:rPr>
          <w:color w:val="000000"/>
        </w:rPr>
        <w:t xml:space="preserve">” </w:t>
      </w:r>
      <w:r>
        <w:rPr>
          <w:rFonts w:ascii="Times New Roman" w:hAnsi="Times New Roman"/>
          <w:color w:val="000000"/>
          <w:sz w:val="24"/>
        </w:rPr>
        <w:t xml:space="preserve">means the consecutive periods of approximately six (6) months during which an option granted pursuant to the Plan may be exercised, commencing on the first Trading Day on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pPr>
      <w:r>
        <w:rPr>
          <w:rFonts w:ascii="Times New Roman" w:hAnsi="Times New Roman"/>
          <w:color w:val="000000"/>
          <w:sz w:val="24"/>
        </w:rPr>
        <w:t>or after May 18</w:t>
      </w:r>
      <w:r>
        <w:rPr>
          <w:rFonts w:ascii="Times New Roman" w:hAnsi="Times New Roman"/>
          <w:color w:val="000000"/>
          <w:sz w:val="16"/>
        </w:rPr>
        <w:t>th</w:t>
      </w:r>
      <w:r>
        <w:rPr>
          <w:color w:val="000000"/>
        </w:rPr>
        <w:t xml:space="preserve"> </w:t>
      </w:r>
      <w:r>
        <w:rPr>
          <w:rFonts w:ascii="Times New Roman" w:hAnsi="Times New Roman"/>
          <w:color w:val="000000"/>
          <w:sz w:val="24"/>
        </w:rPr>
        <w:t>and November 18</w:t>
      </w:r>
      <w:r>
        <w:rPr>
          <w:rFonts w:ascii="Times New Roman" w:hAnsi="Times New Roman"/>
          <w:color w:val="000000"/>
          <w:sz w:val="16"/>
        </w:rPr>
        <w:t>th</w:t>
      </w:r>
      <w:r>
        <w:rPr>
          <w:color w:val="000000"/>
        </w:rPr>
        <w:t xml:space="preserve"> </w:t>
      </w:r>
      <w:r>
        <w:rPr>
          <w:rFonts w:ascii="Times New Roman" w:hAnsi="Times New Roman"/>
          <w:color w:val="000000"/>
          <w:sz w:val="24"/>
        </w:rPr>
        <w:t>of each year and terminating on the first Trading Day on or after November 18</w:t>
      </w:r>
      <w:r>
        <w:rPr>
          <w:rFonts w:ascii="Times New Roman" w:hAnsi="Times New Roman"/>
          <w:color w:val="000000"/>
          <w:sz w:val="16"/>
        </w:rPr>
        <w:t>th</w:t>
      </w:r>
      <w:r>
        <w:rPr>
          <w:rFonts w:ascii="Times New Roman" w:hAnsi="Times New Roman"/>
          <w:color w:val="000000"/>
          <w:sz w:val="24"/>
        </w:rPr>
        <w:t>and May 18</w:t>
      </w:r>
      <w:r>
        <w:rPr>
          <w:rFonts w:ascii="Times New Roman" w:hAnsi="Times New Roman"/>
          <w:color w:val="000000"/>
          <w:sz w:val="16"/>
        </w:rPr>
        <w:t>th</w:t>
      </w:r>
      <w:r>
        <w:rPr>
          <w:rFonts w:ascii="Times New Roman" w:hAnsi="Times New Roman"/>
          <w:color w:val="000000"/>
          <w:sz w:val="24"/>
        </w:rPr>
        <w:t>,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18, 2021, and provided, further, that the second Offering Period under the Plan will commence on the first Trading Day on or after May 18, 2021. The duration and timing of Offering Periods may be changed pursuant to Sections 6 and 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left"/>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w:t>
      </w:r>
      <w:r>
        <w:rPr>
          <w:rFonts w:ascii="Times New Roman" w:hAnsi="Times New Roman"/>
          <w:color w:val="000000"/>
          <w:sz w:val="24"/>
          <w:u w:val="single"/>
        </w:rPr>
        <w:t>parent corporation,</w:t>
      </w:r>
      <w:r>
        <w:rPr>
          <w:color w:val="000000"/>
        </w:rPr>
        <w:t xml:space="preserve">” </w:t>
      </w:r>
      <w:r>
        <w:rPr>
          <w:rFonts w:ascii="Times New Roman" w:hAnsi="Times New Roman"/>
          <w:color w:val="000000"/>
          <w:sz w:val="24"/>
        </w:rPr>
        <w:t>whether now or hereafter existing, as defined in Code Section 424(e).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left"/>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an Eligible Employee that participates in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left"/>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LeonaBio, Inc. 2020 Employee Stock Purchase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left"/>
        <w:rPr/>
      </w:pPr>
      <w:r>
        <w:rPr>
          <w:color w:val="000000"/>
        </w:rPr>
        <w:t>“</w:t>
      </w:r>
      <w:r>
        <w:rPr>
          <w:rFonts w:ascii="Times New Roman" w:hAnsi="Times New Roman"/>
          <w:color w:val="000000"/>
          <w:sz w:val="24"/>
          <w:u w:val="single"/>
        </w:rPr>
        <w:t>Purchase Period</w:t>
      </w:r>
      <w:r>
        <w:rPr>
          <w:color w:val="000000"/>
        </w:rPr>
        <w:t xml:space="preserve">” </w:t>
      </w:r>
      <w:r>
        <w:rPr>
          <w:rFonts w:ascii="Times New Roman" w:hAnsi="Times New Roman"/>
          <w:color w:val="000000"/>
          <w:sz w:val="24"/>
        </w:rPr>
        <w:t>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left"/>
        <w:rPr/>
      </w:pPr>
      <w:r>
        <w:rPr>
          <w:color w:val="000000"/>
        </w:rPr>
        <w:t>“</w:t>
      </w:r>
      <w:r>
        <w:rPr>
          <w:rFonts w:ascii="Times New Roman" w:hAnsi="Times New Roman"/>
          <w:color w:val="000000"/>
          <w:sz w:val="24"/>
          <w:u w:val="single"/>
        </w:rPr>
        <w:t>Purchase Price</w:t>
      </w:r>
      <w:r>
        <w:rPr>
          <w:color w:val="000000"/>
        </w:rPr>
        <w:t xml:space="preserve">” </w:t>
      </w:r>
      <w:r>
        <w:rPr>
          <w:rFonts w:ascii="Times New Roman" w:hAnsi="Times New Roman"/>
          <w:color w:val="000000"/>
          <w:sz w:val="24"/>
        </w:rPr>
        <w:t>means an amount equal to eighty</w:t>
        <w:noBreakHyphen/>
        <w:t>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left"/>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left"/>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left"/>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left"/>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left"/>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Subject to adjustment upon changes in capitalization of the Company as provided in Section 17 hereof, the maximum number of shares of Common Stock that will be made available for sale under the Plan will be equal to 32,300 shares of Common Stock.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left"/>
        <w:rPr/>
      </w:pPr>
      <w:r>
        <w:rPr>
          <w:rFonts w:ascii="Times New Roman" w:hAnsi="Times New Roman"/>
          <w:color w:val="000000"/>
          <w:sz w:val="24"/>
          <w:u w:val="single"/>
        </w:rPr>
        <w:t>Automatic Share Reserve Increase</w:t>
      </w:r>
      <w:r>
        <w:rPr>
          <w:rFonts w:ascii="Times New Roman" w:hAnsi="Times New Roman"/>
          <w:color w:val="000000"/>
          <w:sz w:val="24"/>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64,600 shares of Common Stock, (b) one percent (1%) of the outstanding shares of Common Stock on the last day of the immediately preceding Fiscal Year, or (c) such number of Shares determined by the Board no later than the last day of the immediately preceding Fiscal Year. The shares of Common Stock may be authorized, but unissued, or reacquired Common Stock.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Administration</w:t>
      </w:r>
      <w:r>
        <w:rPr>
          <w:rFonts w:ascii="Times New Roman" w:hAnsi="Times New Roman"/>
          <w:color w:val="000000"/>
          <w:sz w:val="24"/>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construe, interpret and apply the terms of the Plan,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delegate ministerial duties to any of the Company’s employees,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designate separate Offerings under the Plan,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designate Subsidiaries as participating in the 423 Component or Non</w:t>
        <w:noBreakHyphen/>
        <w:t xml:space="preserve">423 Component,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determine eligibility,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adjudicate all disputed claims filed under the Plan, and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establish such procedures that it deems necessary or advisable for the administration of the Plan (including, without limitation, to adopt such procedures, sub</w:t>
        <w:noBreakHyphen/>
        <w:t>plans, and appendices to the enrollment agreement as are necessary or appropriate to permit the participation in the Plan by employees who are foreign nationals or employed outside the U.S., the terms of which sub</w:t>
        <w:noBreakHyphen/>
        <w:t>plans and appendices may take precedence over other provisions of this Plan, with the exception of Section 3 hereof, but unless otherwise superseded by the terms of such sub</w:t>
        <w:noBreakHyphen/>
        <w:t>plan or appendix, the provisions of this Plan will govern the operation of such sub</w:t>
        <w:noBreakHyphen/>
        <w:t>plan or appendix). Unless otherwise determined by the Administrator, the Eligible Employees eligible to participate in each sub</w:t>
        <w:noBreakHyphen/>
        <w:t>plan will participate in a separate Offering under the 423 Component, or if the terms would not qualify under the 423 Component, in the Non</w:t>
        <w:noBreakHyphen/>
        <w:t xml:space="preserve">423 Component, in either case unless such designation would cause the 423 Component to violate the requirements of Code Section 423.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noBreakHyphen/>
        <w:t>2(f), the terms of an option granted under the Plan or an Offering to citizens or residents of a non</w:t>
        <w:noBreakHyphen/>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pPr>
      <w:r>
        <w:rPr>
          <w:rFonts w:ascii="Times New Roman" w:hAnsi="Times New Roman"/>
          <w:color w:val="000000"/>
          <w:sz w:val="24"/>
          <w:u w:val="single"/>
        </w:rPr>
        <w:t>Eligibility</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left"/>
        <w:rPr/>
      </w:pPr>
      <w:r>
        <w:rPr>
          <w:rFonts w:ascii="Times New Roman" w:hAnsi="Times New Roman"/>
          <w:color w:val="000000"/>
          <w:sz w:val="24"/>
          <w:u w:val="single"/>
        </w:rPr>
        <w:t>First Offering Period</w:t>
      </w:r>
      <w:r>
        <w:rPr>
          <w:rFonts w:ascii="Times New Roman" w:hAnsi="Times New Roman"/>
          <w:color w:val="000000"/>
          <w:sz w:val="24"/>
        </w:rPr>
        <w:t>. Any individual who is an Eligible Employee immediately prior to the first Offering Period automatically will be enrolled in the first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left"/>
        <w:rPr/>
      </w:pPr>
      <w:r>
        <w:rPr>
          <w:rFonts w:ascii="Times New Roman" w:hAnsi="Times New Roman"/>
          <w:color w:val="000000"/>
          <w:sz w:val="24"/>
          <w:u w:val="single"/>
        </w:rPr>
        <w:t>Subsequent Offering Periods</w:t>
      </w:r>
      <w:r>
        <w:rPr>
          <w:rFonts w:ascii="Times New Roman" w:hAnsi="Times New Roman"/>
          <w:color w:val="000000"/>
          <w:sz w:val="24"/>
        </w:rPr>
        <w:t>. Any Eligible Employee on a given Enrollment Date subsequent to the first Offering Period will be eligible to participate in the Plan, subject to the requirements of Section 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5.3.</w:t>
      </w:r>
    </w:p>
    <w:p>
      <w:pPr>
        <w:pStyle w:val="TextBody"/>
        <w:bidi w:val="0"/>
        <w:spacing w:before="240" w:after="283"/>
        <w:jc w:val="left"/>
        <w:rPr/>
      </w:pPr>
      <w:r>
        <w:rPr>
          <w:rFonts w:ascii="Times New Roman" w:hAnsi="Times New Roman"/>
          <w:color w:val="000000"/>
          <w:sz w:val="24"/>
          <w:u w:val="single"/>
        </w:rPr>
        <w:t>Non</w:t>
        <w:noBreakHyphen/>
        <w:t>U.S. Employees</w:t>
      </w:r>
      <w:r>
        <w:rPr>
          <w:rFonts w:ascii="Times New Roman" w:hAnsi="Times New Roman"/>
          <w:color w:val="000000"/>
          <w:sz w:val="24"/>
        </w:rPr>
        <w:t>. Eligible Employees who are citizens or residents of a non</w:t>
        <w:noBreakHyphen/>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noBreakHyphen/>
        <w:t>423 Component, an Eligible Employee may be excluded from participation in the Plan or an Offering if the Administrator has determined that participation of such Eligible Employee is not advisable or practicable.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5.4.</w:t>
      </w:r>
    </w:p>
    <w:p>
      <w:pPr>
        <w:pStyle w:val="TextBody"/>
        <w:bidi w:val="0"/>
        <w:spacing w:before="240" w:after="283"/>
        <w:jc w:val="left"/>
        <w:rPr/>
      </w:pPr>
      <w:r>
        <w:rPr>
          <w:rFonts w:ascii="Times New Roman" w:hAnsi="Times New Roman"/>
          <w:color w:val="000000"/>
          <w:sz w:val="24"/>
          <w:u w:val="single"/>
        </w:rPr>
        <w:t>Limitations</w:t>
      </w:r>
      <w:r>
        <w:rPr>
          <w:rFonts w:ascii="Times New Roman" w:hAnsi="Times New Roman"/>
          <w:color w:val="000000"/>
          <w:sz w:val="24"/>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noBreakHyphen/>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rFonts w:ascii="Times New Roman" w:hAnsi="Times New Roman"/>
          <w:color w:val="000000"/>
          <w:sz w:val="24"/>
          <w:u w:val="single"/>
        </w:rPr>
        <w:t>Offering Periods</w:t>
      </w:r>
      <w:r>
        <w:rPr>
          <w:rFonts w:ascii="Times New Roman" w:hAnsi="Times New Roman"/>
          <w:color w:val="000000"/>
          <w:sz w:val="24"/>
        </w:rPr>
        <w:t>. The Plan will be implemented by consecutive Offering Periods with a new Offering Period commencing on the first Trading Day on or after May 18</w:t>
      </w:r>
      <w:r>
        <w:rPr>
          <w:rFonts w:ascii="Times New Roman" w:hAnsi="Times New Roman"/>
          <w:color w:val="000000"/>
          <w:sz w:val="16"/>
        </w:rPr>
        <w:t>th</w:t>
      </w:r>
      <w:r>
        <w:rPr>
          <w:color w:val="000000"/>
        </w:rPr>
        <w:t xml:space="preserve"> </w:t>
      </w:r>
      <w:r>
        <w:rPr>
          <w:rFonts w:ascii="Times New Roman" w:hAnsi="Times New Roman"/>
          <w:color w:val="000000"/>
          <w:sz w:val="24"/>
        </w:rPr>
        <w:t>and November 18</w:t>
      </w:r>
      <w:r>
        <w:rPr>
          <w:rFonts w:ascii="Times New Roman" w:hAnsi="Times New Roman"/>
          <w:color w:val="000000"/>
          <w:sz w:val="16"/>
        </w:rPr>
        <w:t>th</w:t>
      </w:r>
      <w:r>
        <w:rPr>
          <w:color w:val="000000"/>
        </w:rPr>
        <w:t xml:space="preserve"> </w:t>
      </w:r>
      <w:r>
        <w:rPr>
          <w:rFonts w:ascii="Times New Roman" w:hAnsi="Times New Roman"/>
          <w:color w:val="000000"/>
          <w:sz w:val="24"/>
        </w:rPr>
        <w:t>each year, or on such other date as the Administrator will determine; provided, however, that the first Offering Period under the Plan will commence with the first Trading Day on or after the Registration Date and end on the first Trading Day on or after May 18, 2021, and provided, further, that the second Offering Period under the Plan will commence on the first Trading Day on or after May 18,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noBreakHyphen/>
        <w:t>seven (27) months.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pPr>
      <w:r>
        <w:rPr>
          <w:rFonts w:ascii="Times New Roman" w:hAnsi="Times New Roman"/>
          <w:color w:val="000000"/>
          <w:sz w:val="24"/>
          <w:u w:val="single"/>
        </w:rPr>
        <w:t>Participation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left"/>
        <w:rPr/>
      </w:pPr>
      <w:r>
        <w:rPr>
          <w:rFonts w:ascii="Times New Roman" w:hAnsi="Times New Roman"/>
          <w:color w:val="000000"/>
          <w:sz w:val="24"/>
          <w:u w:val="single"/>
        </w:rPr>
        <w:t>First Offering Period</w:t>
      </w:r>
      <w:r>
        <w:rPr>
          <w:rFonts w:ascii="Times New Roman" w:hAnsi="Times New Roman"/>
          <w:color w:val="000000"/>
          <w:sz w:val="24"/>
        </w:rPr>
        <w:t xml:space="preserve">. An Eligible Employee will be entitled to continue to participate in the first Offering Period pursuant to Section 5.1 only if such individual submits a subscription agreement authorizing Contributions in a form determined by the Administrator (which may be similar to the form attached hereto as </w:t>
      </w:r>
      <w:r>
        <w:rPr>
          <w:rFonts w:ascii="Times New Roman" w:hAnsi="Times New Roman"/>
          <w:color w:val="000000"/>
          <w:sz w:val="24"/>
          <w:u w:val="single"/>
        </w:rPr>
        <w:t>Exhibit A</w:t>
      </w:r>
      <w:r>
        <w:rPr>
          <w:rFonts w:ascii="Times New Roman" w:hAnsi="Times New Roman"/>
          <w:color w:val="000000"/>
          <w:sz w:val="24"/>
        </w:rPr>
        <w:t>) to the Company’s designated plan administrator (a) no earlier than the effective date of the Form S</w:t>
        <w:noBreakHyphen/>
        <w:t>8 registration statement with respect to the issuance of Common Stock under this Plan and (b) with respect to the first Offering Period, no later than ten (10) business days following the effective date of such Form S</w:t>
        <w:noBreakHyphen/>
        <w:t>8 registration statement or such other date as the Administrator may determine (the “</w:t>
      </w:r>
      <w:r>
        <w:rPr>
          <w:rFonts w:ascii="Times New Roman" w:hAnsi="Times New Roman"/>
          <w:color w:val="000000"/>
          <w:sz w:val="24"/>
          <w:u w:val="single"/>
        </w:rPr>
        <w:t>Enrollment Window</w:t>
      </w:r>
      <w:r>
        <w:rPr>
          <w:color w:val="000000"/>
        </w:rPr>
        <w:t>”</w:t>
      </w:r>
      <w:r>
        <w:rPr>
          <w:rFonts w:ascii="Times New Roman" w:hAnsi="Times New Roman"/>
          <w:color w:val="000000"/>
          <w:sz w:val="24"/>
        </w:rPr>
        <w:t>). An Eligible Employee’s failure to submit the subscription agreement during the Enrollment Window will result in the automatic termination of such individual’s participation in the first Offering Period.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left"/>
        <w:rPr/>
      </w:pPr>
      <w:r>
        <w:rPr>
          <w:rFonts w:ascii="Times New Roman" w:hAnsi="Times New Roman"/>
          <w:color w:val="000000"/>
          <w:sz w:val="24"/>
          <w:u w:val="single"/>
        </w:rPr>
        <w:t>Subsequent Offering Periods</w:t>
      </w:r>
      <w:r>
        <w:rPr>
          <w:rFonts w:ascii="Times New Roman" w:hAnsi="Times New Roman"/>
          <w:color w:val="000000"/>
          <w:sz w:val="24"/>
        </w:rPr>
        <w:t>. An Eligible Employee may participate in the Plan pursuant to Section 5.2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an applicable Enrollment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pPr>
      <w:r>
        <w:rPr>
          <w:rFonts w:ascii="Times New Roman" w:hAnsi="Times New Roman"/>
          <w:color w:val="000000"/>
          <w:sz w:val="24"/>
          <w:u w:val="single"/>
        </w:rPr>
        <w:t>Contributions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left"/>
        <w:rPr/>
      </w:pPr>
      <w:r>
        <w:rPr>
          <w:rFonts w:ascii="Times New Roman" w:hAnsi="Times New Roman"/>
          <w:color w:val="000000"/>
          <w:sz w:val="24"/>
          <w:u w:val="single"/>
        </w:rPr>
        <w:t>Contribution Amounts</w:t>
      </w:r>
      <w:r>
        <w:rPr>
          <w:rFonts w:ascii="Times New Roman" w:hAnsi="Times New Roman"/>
          <w:color w:val="000000"/>
          <w:sz w:val="24"/>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w:t>
        <w:noBreakHyphen/>
        <w:t xml:space="preserve">current Purchase Period or Offering Period.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left"/>
        <w:rPr/>
      </w:pPr>
      <w:r>
        <w:rPr>
          <w:rFonts w:ascii="Times New Roman" w:hAnsi="Times New Roman"/>
          <w:color w:val="000000"/>
          <w:sz w:val="24"/>
          <w:u w:val="single"/>
        </w:rPr>
        <w:t>Contribution Methods</w:t>
      </w:r>
      <w:r>
        <w:rPr>
          <w:rFonts w:ascii="Times New Roman" w:hAnsi="Times New Roman"/>
          <w:color w:val="000000"/>
          <w:sz w:val="24"/>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8.2.1.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provided, however, that for the first Offering Period, payroll deductions will commence on the first pay day on or following the end of the Enrollment Window.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8.2.2.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left"/>
        <w:rPr/>
      </w:pPr>
      <w:r>
        <w:rPr>
          <w:rFonts w:ascii="Times New Roman" w:hAnsi="Times New Roman"/>
          <w:color w:val="000000"/>
          <w:sz w:val="24"/>
          <w:u w:val="single"/>
        </w:rPr>
        <w:t>Participant Changes to Contributions</w:t>
      </w:r>
      <w:r>
        <w:rPr>
          <w:rFonts w:ascii="Times New Roman" w:hAnsi="Times New Roman"/>
          <w:color w:val="000000"/>
          <w:sz w:val="24"/>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8.3.1.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scheduledbeginning of the first Offering Period to be affected or (y) an applicable Exercise Date, as applicable. If a Participant has not followed such procedures to change the rate of Contributions, the rate of his or her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pPr>
      <w:r>
        <w:rPr>
          <w:rFonts w:ascii="Times New Roman" w:hAnsi="Times New Roman"/>
          <w:color w:val="000000"/>
          <w:sz w:val="24"/>
        </w:rPr>
        <w:t>Contributions will continue at the originally elected rate throughout the Offering Period and future Offering Periods (unless the Participant’s participation is terminated as provided in Sections 12 or 13).</w:t>
      </w:r>
      <w:r>
        <w:rPr>
          <w:color w:val="00000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8.3.2.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8.3.3.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left"/>
        <w:rPr/>
      </w:pPr>
      <w:r>
        <w:rPr>
          <w:rFonts w:ascii="Times New Roman" w:hAnsi="Times New Roman"/>
          <w:color w:val="000000"/>
          <w:sz w:val="24"/>
          <w:u w:val="single"/>
        </w:rPr>
        <w:t>Other Contribution Changes</w:t>
      </w:r>
      <w:r>
        <w:rPr>
          <w:rFonts w:ascii="Times New Roman" w:hAnsi="Times New Roman"/>
          <w:color w:val="000000"/>
          <w:sz w:val="24"/>
        </w:rPr>
        <w:t>. Notwithstanding the foregoing, to the extent necessary to comply with Code Section 423(b)(8) and Section 5.4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5.4 hereof, Contributions will recommence at the rate originally elected by the Participant effective as of the beginning of the first Offering Period (or Purchase Period, as applicable) scheduledto end in the following calendar year, unless the Participant’s participation has terminated as provided in Sections 12 or 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left"/>
        <w:rPr/>
      </w:pPr>
      <w:r>
        <w:rPr>
          <w:rFonts w:ascii="Times New Roman" w:hAnsi="Times New Roman"/>
          <w:color w:val="000000"/>
          <w:sz w:val="24"/>
          <w:u w:val="single"/>
        </w:rPr>
        <w:t>Cash Contributions</w:t>
      </w:r>
      <w:r>
        <w:rPr>
          <w:rFonts w:ascii="Times New Roman" w:hAnsi="Times New Roman"/>
          <w:color w:val="000000"/>
          <w:sz w:val="24"/>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noBreakHyphen/>
        <w:t>423 Component.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left"/>
        <w:rPr/>
      </w:pPr>
      <w:r>
        <w:rPr>
          <w:rFonts w:ascii="Times New Roman" w:hAnsi="Times New Roman"/>
          <w:color w:val="000000"/>
          <w:sz w:val="24"/>
          <w:u w:val="single"/>
        </w:rPr>
        <w:t>Tax Withholdings</w:t>
      </w:r>
      <w:r>
        <w:rPr>
          <w:rFonts w:ascii="Times New Roman" w:hAnsi="Times New Roman"/>
          <w:color w:val="000000"/>
          <w:sz w:val="24"/>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noBreakHyphen/>
        <w:t>2(f).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left"/>
        <w:rPr/>
      </w:pPr>
      <w:r>
        <w:rPr>
          <w:rFonts w:ascii="Times New Roman" w:hAnsi="Times New Roman"/>
          <w:color w:val="000000"/>
          <w:sz w:val="24"/>
          <w:u w:val="single"/>
        </w:rPr>
        <w:t>Use of Funds</w:t>
      </w:r>
      <w:r>
        <w:rPr>
          <w:rFonts w:ascii="Times New Roman" w:hAnsi="Times New Roman"/>
          <w:color w:val="000000"/>
          <w:sz w:val="24"/>
        </w:rPr>
        <w:t>. The Company may use all Contributions received or held by it under the Plan for any corporate purpose, and the Company will not be obligated to segregate such Contributions except under Offerings or for Participants in the Non</w:t>
        <w:noBreakHyphen/>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noBreakHyphen/>
        <w:t>2(f). Until shares of Common Stock are issued, Participants will have only the rights of an unsecured creditor with respect to such shares.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pPr>
      <w:r>
        <w:rPr>
          <w:rFonts w:ascii="Times New Roman" w:hAnsi="Times New Roman"/>
          <w:color w:val="000000"/>
          <w:sz w:val="24"/>
          <w:u w:val="single"/>
        </w:rPr>
        <w:t>Grant of Option</w:t>
      </w:r>
      <w:r>
        <w:rPr>
          <w:rFonts w:ascii="Times New Roman" w:hAnsi="Times New Roman"/>
          <w:color w:val="000000"/>
          <w:sz w:val="24"/>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left"/>
        <w:rPr/>
      </w:pPr>
      <w:r>
        <w:rPr>
          <w:rFonts w:ascii="Times New Roman" w:hAnsi="Times New Roman"/>
          <w:color w:val="000000"/>
          <w:sz w:val="24"/>
          <w:u w:val="single"/>
        </w:rPr>
        <w:t>Certain Option Limits</w:t>
      </w:r>
      <w:r>
        <w:rPr>
          <w:rFonts w:ascii="Times New Roman" w:hAnsi="Times New Roman"/>
          <w:color w:val="000000"/>
          <w:sz w:val="24"/>
        </w:rPr>
        <w:t>. In no event will an Eligible Employee be permitted to purchase during each Offering Period more than 10,000 shares of Common Stock (subject to any adjustment pursuant to Section 17), and provided further that such purchase will be subject to the limitations set forth in Sections 3 and 5.4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left"/>
        <w:rPr/>
      </w:pPr>
      <w:r>
        <w:rPr>
          <w:rFonts w:ascii="Times New Roman" w:hAnsi="Times New Roman"/>
          <w:color w:val="000000"/>
          <w:sz w:val="24"/>
          <w:u w:val="single"/>
        </w:rPr>
        <w:t>Option Receipt</w:t>
      </w:r>
      <w:r>
        <w:rPr>
          <w:rFonts w:ascii="Times New Roman" w:hAnsi="Times New Roman"/>
          <w:color w:val="000000"/>
          <w:sz w:val="24"/>
        </w:rPr>
        <w:t xml:space="preserve">. The Eligible Employee may accept the grant of such option (i) with respect to the first Offering Period by submitting a properly completed subscription agreement in accordance with the requirements of Section 7 on or before the last day of the Enrollment Window, and (ii) with respect to any subsequent Offering Period under the Plan, by electing to participate in the Plan in accordance with the requirements of Section 7.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left"/>
        <w:rPr/>
      </w:pPr>
      <w:r>
        <w:rPr>
          <w:rFonts w:ascii="Times New Roman" w:hAnsi="Times New Roman"/>
          <w:color w:val="000000"/>
          <w:sz w:val="24"/>
          <w:u w:val="single"/>
        </w:rPr>
        <w:t>Option Term</w:t>
      </w:r>
      <w:r>
        <w:rPr>
          <w:rFonts w:ascii="Times New Roman" w:hAnsi="Times New Roman"/>
          <w:color w:val="000000"/>
          <w:sz w:val="24"/>
        </w:rPr>
        <w:t>. Exercise of the option will occur as provided in Section 10, unless the Participant’s participation has terminated pursuant to Sections 12 or 13. The option will expire on the last day of the Offering Period.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left"/>
        <w:rPr/>
      </w:pPr>
      <w:r>
        <w:rPr>
          <w:rFonts w:ascii="Times New Roman" w:hAnsi="Times New Roman"/>
          <w:color w:val="000000"/>
          <w:sz w:val="24"/>
          <w:u w:val="single"/>
        </w:rPr>
        <w:t>Automatic Exercise</w:t>
      </w:r>
      <w:r>
        <w:rPr>
          <w:rFonts w:ascii="Times New Roman" w:hAnsi="Times New Roman"/>
          <w:color w:val="000000"/>
          <w:sz w:val="24"/>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left"/>
        <w:rPr/>
      </w:pPr>
      <w:r>
        <w:rPr>
          <w:rFonts w:ascii="Times New Roman" w:hAnsi="Times New Roman"/>
          <w:color w:val="000000"/>
          <w:sz w:val="24"/>
          <w:u w:val="single"/>
        </w:rPr>
        <w:t>Pro Rata Allocations</w:t>
      </w:r>
      <w:r>
        <w:rPr>
          <w:rFonts w:ascii="Times New Roman" w:hAnsi="Times New Roman"/>
          <w:color w:val="000000"/>
          <w:sz w:val="24"/>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pPr>
      <w:r>
        <w:rPr>
          <w:rFonts w:ascii="Times New Roman" w:hAnsi="Times New Roman"/>
          <w:color w:val="000000"/>
          <w:sz w:val="24"/>
          <w:u w:val="single"/>
        </w:rPr>
        <w:t>Delivery</w:t>
      </w:r>
      <w:r>
        <w:rPr>
          <w:rFonts w:ascii="Times New Roman" w:hAnsi="Times New Roman"/>
          <w:color w:val="000000"/>
          <w:sz w:val="24"/>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left"/>
        <w:rPr/>
      </w:pPr>
      <w:r>
        <w:rPr>
          <w:rFonts w:ascii="Times New Roman" w:hAnsi="Times New Roman"/>
          <w:color w:val="000000"/>
          <w:sz w:val="24"/>
          <w:u w:val="single"/>
        </w:rPr>
        <w:t>Withdrawal</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left"/>
        <w:rPr/>
      </w:pPr>
      <w:r>
        <w:rPr>
          <w:rFonts w:ascii="Times New Roman" w:hAnsi="Times New Roman"/>
          <w:color w:val="000000"/>
          <w:sz w:val="24"/>
          <w:u w:val="single"/>
        </w:rPr>
        <w:t>Withdrawal Procedures</w:t>
      </w:r>
      <w:r>
        <w:rPr>
          <w:rFonts w:ascii="Times New Roman" w:hAnsi="Times New Roman"/>
          <w:color w:val="000000"/>
          <w:sz w:val="24"/>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hAnsi="Times New Roman"/>
          <w:color w:val="000000"/>
          <w:sz w:val="24"/>
          <w:u w:val="single"/>
        </w:rPr>
        <w:t>Exhibit B</w:t>
      </w:r>
      <w:r>
        <w:rPr>
          <w:rFonts w:ascii="Times New Roman" w:hAnsi="Times New Roman"/>
          <w:color w:val="000000"/>
          <w:sz w:val="24"/>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w:t>
        <w:noBreakHyphen/>
        <w:t>enrolls in the Plan in accordance with the provisions of Section 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left"/>
        <w:rPr/>
      </w:pPr>
      <w:r>
        <w:rPr>
          <w:rFonts w:ascii="Times New Roman" w:hAnsi="Times New Roman"/>
          <w:color w:val="000000"/>
          <w:sz w:val="24"/>
          <w:u w:val="single"/>
        </w:rPr>
        <w:t>No Effect on Future Participation</w:t>
      </w:r>
      <w:r>
        <w:rPr>
          <w:rFonts w:ascii="Times New Roman" w:hAnsi="Times New Roman"/>
          <w:color w:val="000000"/>
          <w:sz w:val="24"/>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left"/>
        <w:rPr/>
      </w:pPr>
      <w:r>
        <w:rPr>
          <w:rFonts w:ascii="Times New Roman" w:hAnsi="Times New Roman"/>
          <w:color w:val="000000"/>
          <w:sz w:val="24"/>
          <w:u w:val="single"/>
        </w:rPr>
        <w:t>Termination of Employment</w:t>
      </w:r>
      <w:r>
        <w:rPr>
          <w:rFonts w:ascii="Times New Roman" w:hAnsi="Times New Roman"/>
          <w:color w:val="000000"/>
          <w:sz w:val="24"/>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noBreakHyphen/>
        <w:t>423 Component, the exercise of the option will be qualified under the 423 Component only to the extent it complies with Code Section 423; further, no Participant will be deemed to switch from an Offering under the Non</w:t>
        <w:noBreakHyphen/>
        <w:t>423 Component to an Offering under the 423 Component or vice versa unless (and then only to the extent) such switch would not cause the 423 Component or any option thereunder to fail to comply with Code Section 423.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left"/>
        <w:rPr/>
      </w:pPr>
      <w:r>
        <w:rPr>
          <w:rFonts w:ascii="Times New Roman" w:hAnsi="Times New Roman"/>
          <w:color w:val="000000"/>
          <w:sz w:val="24"/>
          <w:u w:val="single"/>
        </w:rPr>
        <w:t>Section 409A</w:t>
      </w:r>
      <w:r>
        <w:rPr>
          <w:rFonts w:ascii="Times New Roman" w:hAnsi="Times New Roman"/>
          <w:color w:val="000000"/>
          <w:sz w:val="24"/>
        </w:rPr>
        <w:t xml:space="preserve">.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409Ais not so exempt or compliant or for any action taken by the Administrator with respect thereto. The Company makes no representation that the option to purchase Common Stock under the Plan is compliant with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Rights as Stockholder</w:t>
      </w:r>
      <w:r>
        <w:rPr>
          <w:rFonts w:ascii="Times New Roman" w:hAnsi="Times New Roman"/>
          <w:color w:val="000000"/>
          <w:sz w:val="24"/>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rFonts w:ascii="Times New Roman" w:hAnsi="Times New Roman"/>
          <w:color w:val="000000"/>
          <w:sz w:val="24"/>
          <w:u w:val="single"/>
        </w:rPr>
        <w:t>Transferability</w:t>
      </w:r>
      <w:r>
        <w:rPr>
          <w:rFonts w:ascii="Times New Roman" w:hAnsi="Times New Roman"/>
          <w:color w:val="000000"/>
          <w:sz w:val="24"/>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left"/>
        <w:rPr/>
      </w:pPr>
      <w:r>
        <w:rPr>
          <w:rFonts w:ascii="Times New Roman" w:hAnsi="Times New Roman"/>
          <w:color w:val="000000"/>
          <w:sz w:val="24"/>
          <w:u w:val="single"/>
        </w:rPr>
        <w:t>Adjustments, Dissolution, Liquidation, Merger or Change in Control</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17.1.</w:t>
      </w:r>
    </w:p>
    <w:p>
      <w:pPr>
        <w:pStyle w:val="TextBody"/>
        <w:bidi w:val="0"/>
        <w:spacing w:before="240" w:after="283"/>
        <w:jc w:val="left"/>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Common Stock, other securities, or other property), recapitalization, stock split, reverse stock split, reorganization, merger, consolidation, split</w:t>
        <w:noBreakHyphen/>
        <w:t>up, spin</w:t>
        <w:noBreakHyphen/>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17.2.</w:t>
      </w:r>
    </w:p>
    <w:p>
      <w:pPr>
        <w:pStyle w:val="TextBody"/>
        <w:bidi w:val="0"/>
        <w:spacing w:before="240" w:after="283"/>
        <w:jc w:val="left"/>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17.3.</w:t>
      </w:r>
    </w:p>
    <w:p>
      <w:pPr>
        <w:pStyle w:val="TextBody"/>
        <w:bidi w:val="0"/>
        <w:spacing w:before="240" w:after="283"/>
        <w:jc w:val="left"/>
        <w:rPr/>
      </w:pPr>
      <w:r>
        <w:rPr>
          <w:rFonts w:ascii="Times New Roman" w:hAnsi="Times New Roman"/>
          <w:color w:val="000000"/>
          <w:sz w:val="24"/>
          <w:u w:val="single"/>
        </w:rPr>
        <w:t>Merger or Change in Control</w:t>
      </w:r>
      <w:r>
        <w:rPr>
          <w:rFonts w:ascii="Times New Roman" w:hAnsi="Times New Roman"/>
          <w:color w:val="000000"/>
          <w:sz w:val="24"/>
        </w:rPr>
        <w:t xml:space="preserve">. In the event of a merger of the Company with or into another corporation or other entity or Change in Control, each outstanding option will be assumed or an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left"/>
        <w:rPr/>
      </w:pPr>
      <w:r>
        <w:rPr>
          <w:rFonts w:ascii="Times New Roman" w:hAnsi="Times New Roman"/>
          <w:color w:val="000000"/>
          <w:sz w:val="24"/>
          <w:u w:val="single"/>
        </w:rPr>
        <w:t>Amendment or Termination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18.1.</w:t>
      </w:r>
    </w:p>
    <w:p>
      <w:pPr>
        <w:pStyle w:val="TextBody"/>
        <w:bidi w:val="0"/>
        <w:spacing w:before="240" w:after="283"/>
        <w:jc w:val="left"/>
        <w:rPr/>
      </w:pPr>
      <w:r>
        <w:rPr>
          <w:rFonts w:ascii="Times New Roman" w:hAnsi="Times New Roman"/>
          <w:color w:val="000000"/>
          <w:sz w:val="24"/>
          <w:u w:val="single"/>
        </w:rPr>
        <w:t>Amendment, Suspension, Termination</w:t>
      </w:r>
      <w:r>
        <w:rPr>
          <w:rFonts w:ascii="Times New Roman" w:hAnsi="Times New Roman"/>
          <w:color w:val="000000"/>
          <w:sz w:val="24"/>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18.2.</w:t>
      </w:r>
    </w:p>
    <w:p>
      <w:pPr>
        <w:pStyle w:val="TextBody"/>
        <w:bidi w:val="0"/>
        <w:spacing w:before="240" w:after="283"/>
        <w:jc w:val="left"/>
        <w:rPr/>
      </w:pPr>
      <w:r>
        <w:rPr>
          <w:rFonts w:ascii="Times New Roman" w:hAnsi="Times New Roman"/>
          <w:color w:val="000000"/>
          <w:sz w:val="24"/>
          <w:u w:val="single"/>
        </w:rPr>
        <w:t>Certain Administrator Changes</w:t>
      </w:r>
      <w:r>
        <w:rPr>
          <w:rFonts w:ascii="Times New Roman" w:hAnsi="Times New Roman"/>
          <w:color w:val="000000"/>
          <w:sz w:val="24"/>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w:t>
      </w:r>
    </w:p>
    <w:p>
      <w:pPr>
        <w:pStyle w:val="TextBody"/>
        <w:bidi w:val="0"/>
        <w:spacing w:before="240" w:after="283"/>
        <w:jc w:val="left"/>
        <w:rPr/>
      </w:pPr>
      <w:r>
        <w:rPr>
          <w:rFonts w:ascii="Times New Roman" w:hAnsi="Times New Roman"/>
          <w:color w:val="000000"/>
          <w:sz w:val="24"/>
          <w:u w:val="single"/>
        </w:rPr>
        <w:t>Changes Due to Accounting Consequences</w:t>
      </w:r>
      <w:r>
        <w:rPr>
          <w:rFonts w:ascii="Times New Roman" w:hAnsi="Times New Roman"/>
          <w:color w:val="000000"/>
          <w:sz w:val="24"/>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altering the Purchase Price for any Purchase Period or Offering Period including a Purchase Period or Offering Period underway at the time of the change in Purchase Price;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shortening any Purchase Period or Offering Period by setting a New Exercise Date, including a Purchase Period or Offering Period underway at the time of the Administrator 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reducing the maximum percentage of Compensation a Participant may elect to set aside as Contributions; and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18.3.5.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reducing the maximum number of shares of Common Stock a Participant may purchase during any Purchase Period or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modifications or amendments will not require stockholder approval or the consent of any Plan Participants.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left"/>
        <w:rPr/>
      </w:pPr>
      <w:r>
        <w:rPr>
          <w:rFonts w:ascii="Times New Roman" w:hAnsi="Times New Roman"/>
          <w:color w:val="000000"/>
          <w:sz w:val="24"/>
          <w:u w:val="single"/>
        </w:rPr>
        <w:t>Conditions Upon Issuance of Shares</w:t>
      </w:r>
      <w:r>
        <w:rPr>
          <w:rFonts w:ascii="Times New Roman" w:hAnsi="Times New Roman"/>
          <w:color w:val="000000"/>
          <w:sz w:val="24"/>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left"/>
        <w:rPr/>
      </w:pPr>
      <w:r>
        <w:rPr>
          <w:rFonts w:ascii="Times New Roman" w:hAnsi="Times New Roman"/>
          <w:color w:val="000000"/>
          <w:sz w:val="24"/>
          <w:u w:val="single"/>
        </w:rPr>
        <w:t>Legal Compliance</w:t>
      </w:r>
      <w:r>
        <w:rPr>
          <w:rFonts w:ascii="Times New Roman" w:hAnsi="Times New Roman"/>
          <w:color w:val="000000"/>
          <w:sz w:val="24"/>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left"/>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left"/>
        <w:rPr/>
      </w:pPr>
      <w:r>
        <w:rPr>
          <w:rFonts w:ascii="Times New Roman" w:hAnsi="Times New Roman"/>
          <w:color w:val="000000"/>
          <w:sz w:val="24"/>
          <w:u w:val="single"/>
        </w:rPr>
        <w:t>Term of Plan</w:t>
      </w:r>
      <w:r>
        <w:rPr>
          <w:rFonts w:ascii="Times New Roman" w:hAnsi="Times New Roman"/>
          <w:color w:val="000000"/>
          <w:sz w:val="24"/>
        </w:rPr>
        <w:t>. The Plan will become effective upon the later to occur of (a) its adoption by the Board or (b) the business day immediately prior to the Registration Date. It will continue in effect for a term of twenty (20) years, unless sooner terminated under Section 18, provided that Section 3.2 relating to automatic share reserve increases will operate only until the ten (10) year anniversary of the earlier of the Board or stockholder approval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left"/>
        <w:rPr/>
      </w:pPr>
      <w:r>
        <w:rPr>
          <w:rFonts w:ascii="Times New Roman" w:hAnsi="Times New Roman"/>
          <w:color w:val="000000"/>
          <w:sz w:val="24"/>
          <w:u w:val="single"/>
        </w:rPr>
        <w:t>Stockholder Approval</w:t>
      </w:r>
      <w:r>
        <w:rPr>
          <w:rFonts w:ascii="Times New Roman" w:hAnsi="Times New Roman"/>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left"/>
        <w:rPr/>
      </w:pPr>
      <w:r>
        <w:rPr>
          <w:rFonts w:ascii="Times New Roman" w:hAnsi="Times New Roman"/>
          <w:color w:val="000000"/>
          <w:sz w:val="24"/>
          <w:u w:val="single"/>
        </w:rPr>
        <w:t>Interest</w:t>
      </w:r>
      <w:r>
        <w:rPr>
          <w:rFonts w:ascii="Times New Roman" w:hAnsi="Times New Roman"/>
          <w:color w:val="000000"/>
          <w:sz w:val="24"/>
        </w:rPr>
        <w:t>. 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noBreakHyphen/>
        <w:t>2(f).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left"/>
        <w:rPr/>
      </w:pPr>
      <w:r>
        <w:rPr>
          <w:rFonts w:ascii="Times New Roman" w:hAnsi="Times New Roman"/>
          <w:color w:val="000000"/>
          <w:sz w:val="24"/>
          <w:u w:val="single"/>
        </w:rPr>
        <w:t>No Effect on Employment</w:t>
      </w:r>
      <w:r>
        <w:rPr>
          <w:rFonts w:ascii="Times New Roman" w:hAnsi="Times New Roman"/>
          <w:color w:val="000000"/>
          <w:sz w:val="24"/>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left"/>
        <w:rPr/>
      </w:pPr>
      <w:r>
        <w:rPr>
          <w:rFonts w:ascii="Times New Roman" w:hAnsi="Times New Roman"/>
          <w:color w:val="000000"/>
          <w:sz w:val="24"/>
          <w:u w:val="single"/>
        </w:rPr>
        <w:t>Reports</w:t>
      </w:r>
      <w:r>
        <w:rPr>
          <w:rFonts w:ascii="Times New Roman" w:hAnsi="Times New Roman"/>
          <w:color w:val="000000"/>
          <w:sz w:val="24"/>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left"/>
        <w:rPr/>
      </w:pPr>
      <w:r>
        <w:rPr>
          <w:rFonts w:ascii="Times New Roman" w:hAnsi="Times New Roman"/>
          <w:color w:val="000000"/>
          <w:sz w:val="24"/>
          <w:u w:val="single"/>
        </w:rPr>
        <w:t>Notices</w:t>
      </w:r>
      <w:r>
        <w:rPr>
          <w:rFonts w:ascii="Times New Roman" w:hAnsi="Times New Roman"/>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left"/>
        <w:rPr/>
      </w:pPr>
      <w:r>
        <w:rPr>
          <w:rFonts w:ascii="Times New Roman" w:hAnsi="Times New Roman"/>
          <w:color w:val="000000"/>
          <w:sz w:val="24"/>
          <w:u w:val="single"/>
        </w:rPr>
        <w:t>Legal Construction</w:t>
      </w:r>
      <w:r>
        <w:rPr>
          <w:rFonts w:ascii="Times New Roman" w:hAnsi="Times New Roman"/>
          <w:color w:val="000000"/>
          <w:sz w:val="24"/>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26.1.</w:t>
      </w:r>
    </w:p>
    <w:p>
      <w:pPr>
        <w:pStyle w:val="TextBody"/>
        <w:bidi w:val="0"/>
        <w:spacing w:before="240" w:after="283"/>
        <w:jc w:val="left"/>
        <w:rPr/>
      </w:pPr>
      <w:r>
        <w:rPr>
          <w:rFonts w:ascii="Times New Roman" w:hAnsi="Times New Roman"/>
          <w:color w:val="000000"/>
          <w:sz w:val="24"/>
          <w:u w:val="single"/>
        </w:rPr>
        <w:t>Gender and Number</w:t>
      </w:r>
      <w:r>
        <w:rPr>
          <w:rFonts w:ascii="Times New Roman" w:hAnsi="Times New Roman"/>
          <w:color w:val="000000"/>
          <w:sz w:val="24"/>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26.2.</w:t>
      </w:r>
    </w:p>
    <w:p>
      <w:pPr>
        <w:pStyle w:val="TextBody"/>
        <w:bidi w:val="0"/>
        <w:spacing w:before="240" w:after="283"/>
        <w:jc w:val="left"/>
        <w:rPr/>
      </w:pPr>
      <w:r>
        <w:rPr>
          <w:rFonts w:ascii="Times New Roman" w:hAnsi="Times New Roman"/>
          <w:color w:val="000000"/>
          <w:sz w:val="24"/>
          <w:u w:val="single"/>
        </w:rPr>
        <w:t>Severability</w:t>
      </w:r>
      <w:r>
        <w:rPr>
          <w:rFonts w:ascii="Times New Roman" w:hAnsi="Times New Roman"/>
          <w:color w:val="000000"/>
          <w:sz w:val="24"/>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26.3.</w:t>
      </w:r>
    </w:p>
    <w:p>
      <w:pPr>
        <w:pStyle w:val="TextBody"/>
        <w:bidi w:val="0"/>
        <w:spacing w:before="240" w:after="283"/>
        <w:jc w:val="left"/>
        <w:rPr/>
      </w:pPr>
      <w:r>
        <w:rPr>
          <w:rFonts w:ascii="Times New Roman" w:hAnsi="Times New Roman"/>
          <w:color w:val="000000"/>
          <w:sz w:val="24"/>
          <w:u w:val="single"/>
        </w:rPr>
        <w:t>Governing Law</w:t>
      </w:r>
      <w:r>
        <w:rPr>
          <w:rFonts w:ascii="Times New Roman" w:hAnsi="Times New Roman"/>
          <w:color w:val="000000"/>
          <w:sz w:val="24"/>
        </w:rPr>
        <w:t>. The Plan will be governed by, and construed in accordance with, the laws of the State of Delaware, but without regard to its conflict of law provisions.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26.4.</w:t>
      </w:r>
    </w:p>
    <w:p>
      <w:pPr>
        <w:pStyle w:val="TextBody"/>
        <w:bidi w:val="0"/>
        <w:spacing w:before="240" w:after="283"/>
        <w:jc w:val="left"/>
        <w:rPr/>
      </w:pPr>
      <w:r>
        <w:rPr>
          <w:rFonts w:ascii="Times New Roman" w:hAnsi="Times New Roman"/>
          <w:color w:val="000000"/>
          <w:sz w:val="24"/>
          <w:u w:val="single"/>
        </w:rPr>
        <w:t>Headings</w:t>
      </w:r>
      <w:r>
        <w:rPr>
          <w:rFonts w:ascii="Times New Roman" w:hAnsi="Times New Roman"/>
          <w:color w:val="000000"/>
          <w:sz w:val="24"/>
        </w:rPr>
        <w:t>. Headings are provided herein for convenience only, and will not serve as a basis for interpretation of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left"/>
        <w:rPr/>
      </w:pPr>
      <w:r>
        <w:rPr>
          <w:rFonts w:ascii="Times New Roman" w:hAnsi="Times New Roman"/>
          <w:color w:val="000000"/>
          <w:sz w:val="24"/>
          <w:u w:val="single"/>
        </w:rPr>
        <w:t>Compliance with Applicable Laws</w:t>
      </w:r>
      <w:r>
        <w:rPr>
          <w:rFonts w:ascii="Times New Roman" w:hAnsi="Times New Roman"/>
          <w:color w:val="000000"/>
          <w:sz w:val="24"/>
        </w:rPr>
        <w:t>. The terms of this Plan are intended to comply with all Applicable Laws and will be construed accordingly.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left"/>
        <w:rPr/>
      </w:pPr>
      <w:r>
        <w:rPr>
          <w:rFonts w:ascii="Times New Roman" w:hAnsi="Times New Roman"/>
          <w:color w:val="000000"/>
          <w:sz w:val="24"/>
          <w:u w:val="single"/>
        </w:rPr>
        <w:t>Automatic Transfer to Low Price Offering Period</w:t>
      </w:r>
      <w:r>
        <w:rPr>
          <w:rFonts w:ascii="Times New Roman" w:hAnsi="Times New Roman"/>
          <w:color w:val="000000"/>
          <w:sz w:val="24"/>
        </w:rPr>
        <w:t>. 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noBreakHyphen/>
        <w:t xml:space="preserve">enrolled in the immediately following Offering Period as of the first day thereof.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SUBSCRIPTION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Original Application Offering Date: 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Change in Payroll Deduction Rate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____________________ hereby elects to participate in the LeonaBio, Inc. 2020 Employee Stock Purchase Plan (the “</w:t>
      </w:r>
      <w:r>
        <w:rPr>
          <w:rFonts w:ascii="Times New Roman" w:hAnsi="Times New Roman"/>
          <w:color w:val="000000"/>
          <w:sz w:val="24"/>
          <w:u w:val="single"/>
        </w:rPr>
        <w:t>Plan</w:t>
      </w:r>
      <w:r>
        <w:rPr>
          <w:color w:val="000000"/>
        </w:rPr>
        <w:t>”</w:t>
      </w:r>
      <w:r>
        <w:rPr>
          <w:rFonts w:ascii="Times New Roman" w:hAnsi="Times New Roman"/>
          <w:color w:val="000000"/>
          <w:sz w:val="24"/>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have received a copy of the complete Plan and its accompanying prospectus. I understand that my participation in the Plan is in all respects subject to the terms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purchased for me under the Plan should be issued in the name(s) of _____________ (Eligible Employee or Eligible Employee and spouse only).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hAnsi="Times New Roman"/>
          <w:color w:val="000000"/>
          <w:sz w:val="24"/>
          <w:u w:val="single"/>
        </w:rPr>
        <w:t xml:space="preserve">I hereby agree to notify the Company in writing within thirty (30) days after the date of any disposition of my shares and I will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both"/>
        <w:rPr/>
      </w:pPr>
      <w:r>
        <w:rPr>
          <w:rFonts w:ascii="Times New Roman" w:hAnsi="Times New Roman"/>
          <w:color w:val="000000"/>
          <w:sz w:val="24"/>
          <w:u w:val="single"/>
        </w:rPr>
        <w:t>make adequate provision for federal, state or other tax withholding obligations, if any, which arise upon the disposition of the Common Stock</w:t>
      </w:r>
      <w:r>
        <w:rPr>
          <w:rFonts w:ascii="Times New Roman" w:hAnsi="Times New Roman"/>
          <w:color w:val="000000"/>
          <w:sz w:val="24"/>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noBreakHyphen/>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hAnsi="Times New Roman"/>
          <w:color w:val="000000"/>
          <w:sz w:val="24"/>
          <w:u w:val="single"/>
        </w:rPr>
        <w:t>Tax</w:t>
        <w:noBreakHyphen/>
        <w:t>Related Items</w:t>
      </w:r>
      <w:r>
        <w:rPr>
          <w:color w:val="000000"/>
        </w:rPr>
        <w:t>”</w:t>
      </w:r>
      <w:r>
        <w:rPr>
          <w:rFonts w:ascii="Times New Roman" w:hAnsi="Times New Roman"/>
          <w:color w:val="000000"/>
          <w:sz w:val="24"/>
        </w:rPr>
        <w:t>), the ultimate liability for all Tax</w:t>
        <w:noBreakHyphen/>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noBreakHyphen/>
        <w:t>Related Items in connection with any aspect of the options under the Plan and (b) do not commit to and are under no obligation to structure the terms of the grant of options or any aspect of my participation in the Plan to reduce or eliminate my liability for Tax</w:t>
        <w:noBreakHyphen/>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noBreakHyphen/>
        <w:t>Related Items in more than one jurisdiction.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purchase of shares of Common Stock under the Plan or any other relevant taxable or tax withholding event, as applicable, I agree to make adequate arrangements satisfactory to the Company and/or the applicable Designated Company to satisfy all Tax</w:t>
        <w:noBreakHyphen/>
        <w:t>Related Items. In this regard, I authorize the Company and/or the applicable Designated Company, or their respective agents, at their discretion, to satisfy any applicable withholding obligations with regard to all Tax</w:t>
        <w:noBreakHyphen/>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noBreakHyphen/>
        <w:t>Related Items by considering applicable maximum withholding rates, in which case I will receive a refund of any over</w:t>
        <w:noBreakHyphen/>
        <w:t>withheld amount in cash and will have no entitlement to the Common Stock equivalent.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 agree to pay to the Company or the applicable Designated Company any amount of Tax</w:t>
        <w:noBreakHyphen/>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noBreakHyphen/>
        <w:t>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electing to participate in the Plan, I acknowledge, understand and agree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to the extent provided for in the Plan;</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decisions with respect to future grants under the Plan, if applicable, will be at the sole discretion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am voluntarily participating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noBreakHyphen/>
        <w:t>of</w:t>
        <w:noBreakHyphen/>
        <w:t>service payments, bonuses, long</w:t>
        <w:noBreakHyphen/>
        <w:t>service awards, pension or retirement benefits or similar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future value of the shares of Common Stock offered under the Plan is unknown, indeterminable and cannot be predicted with certainty;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Common Stock that I acquire under the Plan may increase or decrease in value, even below the Purchase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8.10.</w:t>
      </w:r>
    </w:p>
    <w:p>
      <w:pPr>
        <w:pStyle w:val="TextBody"/>
        <w:bidi w:val="0"/>
        <w:spacing w:before="240" w:after="283"/>
        <w:jc w:val="both"/>
        <w:rPr/>
      </w:pPr>
      <w:r>
        <w:rPr>
          <w:rFonts w:ascii="Times New Roman" w:hAnsi="Times New Roman"/>
          <w:color w:val="000000"/>
          <w:sz w:val="24"/>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hAnsi="Times New Roman"/>
          <w:i/>
          <w:color w:val="000000"/>
          <w:sz w:val="24"/>
        </w:rPr>
        <w:t>e.g.</w:t>
      </w:r>
      <w:r>
        <w:rPr>
          <w:rFonts w:ascii="Times New Roman" w:hAnsi="Times New Roman"/>
          <w:color w:val="000000"/>
          <w:sz w:val="24"/>
        </w:rPr>
        <w:t>, active employment would not include a period of “</w:t>
      </w:r>
      <w:r>
        <w:rPr>
          <w:rFonts w:ascii="Times New Roman" w:hAnsi="Times New Roman"/>
          <w:color w:val="000000"/>
          <w:sz w:val="24"/>
          <w:u w:val="single"/>
        </w:rPr>
        <w:t>garden leave</w:t>
      </w:r>
      <w:r>
        <w:rPr>
          <w:color w:val="000000"/>
        </w:rPr>
        <w:t xml:space="preserve">” </w:t>
      </w:r>
      <w:r>
        <w:rPr>
          <w:rFonts w:ascii="Times New Roman" w:hAnsi="Times New Roman"/>
          <w:color w:val="000000"/>
          <w:sz w:val="24"/>
        </w:rPr>
        <w:t>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9.</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 xml:space="preserve">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both"/>
        <w:rPr/>
      </w:pPr>
      <w:r>
        <w:rPr>
          <w:rFonts w:ascii="Times New Roman" w:hAnsi="Times New Roman"/>
          <w:i/>
          <w:color w:val="000000"/>
          <w:sz w:val="24"/>
        </w:rPr>
        <w:t>outstanding in my favor (“</w:t>
      </w:r>
      <w:r>
        <w:rPr>
          <w:rFonts w:ascii="Times New Roman" w:hAnsi="Times New Roman"/>
          <w:i/>
          <w:color w:val="000000"/>
          <w:sz w:val="24"/>
          <w:u w:val="single"/>
        </w:rPr>
        <w:t>Data</w:t>
      </w:r>
      <w:r>
        <w:rPr>
          <w:color w:val="000000"/>
        </w:rPr>
        <w:t>”</w:t>
      </w:r>
      <w:r>
        <w:rPr>
          <w:rFonts w:ascii="Times New Roman" w:hAnsi="Times New Roman"/>
          <w:i/>
          <w:color w:val="000000"/>
          <w:sz w:val="24"/>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 of this Subscription Agreement and the provisions of this Subscription Agreement govern each Appendix (to the extent not superseded or supplemented by the terms and conditions set forth in the applicable Appendix).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agree to be bound by the terms of the Plan. The effectiveness of this Subscription Agreement is dependent upon my eligibility to participate in the Plan.</w:t>
      </w:r>
    </w:p>
    <w:p>
      <w:pPr>
        <w:pStyle w:val="TextBody"/>
        <w:bidi w:val="0"/>
        <w:spacing w:before="240" w:after="283"/>
        <w:jc w:val="both"/>
        <w:rPr/>
      </w:pPr>
      <w:r>
        <w:rPr/>
        <w:t> </w:t>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Social</w:t>
            </w:r>
          </w:p>
        </w:tc>
        <w:tc>
          <w:tcPr>
            <w:tcW w:w="191" w:type="dxa"/>
            <w:vMerge w:val="restart"/>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 Number</w:t>
            </w:r>
          </w:p>
        </w:tc>
        <w:tc>
          <w:tcPr>
            <w:tcW w:w="191" w:type="dxa"/>
            <w:vMerge w:val="continue"/>
            <w:tcBorders>
              <w:bottom w:val="single" w:sz="2" w:space="0" w:color="000000"/>
            </w:tcBorders>
            <w:tcMar>
              <w:top w:w="0" w:type="dxa"/>
              <w:left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 U.S.</w:t>
              <w:noBreakHyphen/>
              <w:t>based employees):</w:t>
            </w:r>
          </w:p>
        </w:tc>
        <w:tc>
          <w:tcPr>
            <w:tcW w:w="191" w:type="dxa"/>
            <w:vMerge w:val="continue"/>
            <w:tcBorders>
              <w:bottom w:val="single" w:sz="2" w:space="0" w:color="000000"/>
            </w:tcBorders>
            <w:tcMar>
              <w:top w:w="0" w:type="dxa"/>
              <w:left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Address:</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UNDERSTAND THAT THIS SUBSCRIPTION AGREEMENT WILL REMAIN IN EFFECT THROUGHOUT SUCCESSIVE OFFERING PERIODS UNLESS TERMINATED BY ME.</w:t>
      </w:r>
    </w:p>
    <w:p>
      <w:pPr>
        <w:pStyle w:val="TextBody"/>
        <w:bidi w:val="0"/>
        <w:spacing w:before="240" w:after="283"/>
        <w:jc w:val="left"/>
        <w:rPr>
          <w:rFonts w:ascii="Times New Roman" w:hAnsi="Times New Roman"/>
          <w:sz w:val="20"/>
        </w:rPr>
      </w:pPr>
      <w:r>
        <w:rPr>
          <w:rFonts w:ascii="Times New Roman" w:hAnsi="Times New Roman"/>
          <w:color w:val="000000"/>
          <w:sz w:val="24"/>
        </w:rPr>
        <w:t>Dated: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Signature of Employee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WITHDRAWAL</w:t>
      </w:r>
    </w:p>
    <w:p>
      <w:pPr>
        <w:pStyle w:val="TextBody"/>
        <w:bidi w:val="0"/>
        <w:spacing w:before="240" w:after="480"/>
        <w:jc w:val="both"/>
        <w:rPr>
          <w:rFonts w:ascii="Times New Roman" w:hAnsi="Times New Roman"/>
          <w:sz w:val="20"/>
        </w:rPr>
      </w:pPr>
      <w:r>
        <w:rPr>
          <w:rFonts w:ascii="Times New Roman" w:hAnsi="Times New Roman"/>
          <w:color w:val="000000"/>
          <w:sz w:val="24"/>
        </w:rPr>
        <w:t>The undersigned Participant in the Offering Period of the LeonaBio, Inc. 2020 Employee Stock Purchase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that began on ____________, ______ (the “</w:t>
      </w:r>
      <w:r>
        <w:rPr>
          <w:rFonts w:ascii="Times New Roman" w:hAnsi="Times New Roman"/>
          <w:color w:val="000000"/>
          <w:sz w:val="24"/>
          <w:u w:val="single"/>
        </w:rPr>
        <w:t>Offering Date</w:t>
      </w:r>
      <w:r>
        <w:rPr>
          <w:rFonts w:ascii="Times New Roman" w:hAnsi="Times New Roman"/>
          <w:color w:val="000000"/>
          <w:sz w:val="20"/>
        </w:rPr>
        <w:t>”</w:t>
      </w:r>
      <w:r>
        <w:rPr>
          <w:rFonts w:ascii="Times New Roman" w:hAnsi="Times New Roman"/>
          <w:color w:val="000000"/>
          <w:sz w:val="24"/>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pStyle w:val="TextBody"/>
        <w:bidi w:val="0"/>
        <w:jc w:val="left"/>
        <w:rPr>
          <w:rFonts w:ascii="Times New Roman" w:hAnsi="Times New Roman"/>
          <w:color w:val="000000"/>
          <w:sz w:val="24"/>
        </w:rPr>
      </w:pPr>
      <w:r>
        <w:rPr>
          <w:rFonts w:ascii="Times New Roman" w:hAnsi="Times New Roman"/>
          <w:color w:val="000000"/>
          <w:sz w:val="24"/>
        </w:rPr>
        <w:t>Name and Address of Participant:</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3" w:name="lona-ex10_13.htm"/>
      <w:bookmarkStart w:id="54" w:name="kslonaex10_13"/>
      <w:bookmarkEnd w:id="53"/>
      <w:bookmarkEnd w:id="54"/>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10.13</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80" w:after="283"/>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 and Restated on January 9, 2026)</w:t>
      </w:r>
    </w:p>
    <w:p>
      <w:pPr>
        <w:pStyle w:val="TextBody"/>
        <w:bidi w:val="0"/>
        <w:spacing w:before="480" w:after="283"/>
        <w:jc w:val="both"/>
        <w:rPr>
          <w:rFonts w:ascii="Times New Roman" w:hAnsi="Times New Roman"/>
          <w:sz w:val="20"/>
        </w:rPr>
      </w:pPr>
      <w:r>
        <w:rPr>
          <w:rFonts w:ascii="Times New Roman" w:hAnsi="Times New Roman"/>
          <w:color w:val="000000"/>
          <w:sz w:val="24"/>
        </w:rPr>
        <w:t>LeonaBio,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Effective Date</w:t>
      </w:r>
      <w:r>
        <w:rPr>
          <w:rFonts w:ascii="Times New Roman" w:hAnsi="Times New Roman"/>
          <w:color w:val="000000"/>
          <w:sz w:val="24"/>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hAnsi="Times New Roman"/>
          <w:color w:val="000000"/>
          <w:sz w:val="24"/>
          <w:u w:val="single"/>
        </w:rPr>
        <w:t>Registration Date</w:t>
      </w:r>
      <w:r>
        <w:rPr>
          <w:rFonts w:ascii="Times New Roman" w:hAnsi="Times New Roman"/>
          <w:color w:val="000000"/>
          <w:sz w:val="24"/>
        </w:rPr>
        <w:t>,” and the effective date of this Policy, the “</w:t>
      </w:r>
      <w:r>
        <w:rPr>
          <w:rFonts w:ascii="Times New Roman" w:hAnsi="Times New Roman"/>
          <w:color w:val="000000"/>
          <w:sz w:val="24"/>
          <w:u w:val="single"/>
        </w:rPr>
        <w:t>Effective Date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Cash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Board Member Annual Cash Retainer</w:t>
      </w:r>
      <w:r>
        <w:rPr>
          <w:rFonts w:ascii="Times New Roman" w:hAnsi="Times New Roman"/>
          <w:color w:val="000000"/>
          <w:sz w:val="24"/>
        </w:rPr>
        <w:t>. Following the Effective Date, each Outside Director will be paid an annual cash retainer of $40,000.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40"/>
        <w:jc w:val="both"/>
        <w:rPr/>
      </w:pPr>
      <w:r>
        <w:rPr>
          <w:rFonts w:ascii="Times New Roman" w:hAnsi="Times New Roman"/>
          <w:color w:val="000000"/>
          <w:sz w:val="24"/>
          <w:u w:val="single"/>
        </w:rPr>
        <w:t>Additional Annual Cash Retainers</w:t>
      </w:r>
      <w:r>
        <w:rPr>
          <w:rFonts w:ascii="Times New Roman" w:hAnsi="Times New Roman"/>
          <w:color w:val="000000"/>
          <w:sz w:val="24"/>
        </w:rPr>
        <w:t xml:space="preserve">. Following the Effective Date, each Outside Director who serves as the Chair of the Board, or the chair or a member of a committee of the Board, will be eligible to earn additional annual fees as follows: </w:t>
      </w:r>
    </w:p>
    <w:tbl>
      <w:tblPr>
        <w:tblW w:w="6602" w:type="dxa"/>
        <w:jc w:val="left"/>
        <w:tblInd w:w="0" w:type="dxa"/>
        <w:tblLayout w:type="fixed"/>
        <w:tblCellMar>
          <w:top w:w="28" w:type="dxa"/>
          <w:left w:w="28" w:type="dxa"/>
          <w:bottom w:w="28" w:type="dxa"/>
          <w:right w:w="28" w:type="dxa"/>
        </w:tblCellMar>
      </w:tblPr>
      <w:tblGrid>
        <w:gridCol w:w="5671"/>
        <w:gridCol w:w="931"/>
      </w:tblGrid>
      <w:tr>
        <w:trPr/>
        <w:tc>
          <w:tcPr>
            <w:tcW w:w="56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Chair of the Board:</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$30,000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Audit Committee Chair:</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$15,000</w:t>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Audit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$7,500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$8,000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981" w:type="dxa"/>
        <w:jc w:val="left"/>
        <w:tblInd w:w="0" w:type="dxa"/>
        <w:tblLayout w:type="fixed"/>
        <w:tblCellMar>
          <w:top w:w="28" w:type="dxa"/>
          <w:left w:w="28" w:type="dxa"/>
          <w:bottom w:w="28" w:type="dxa"/>
          <w:right w:w="28" w:type="dxa"/>
        </w:tblCellMar>
      </w:tblPr>
      <w:tblGrid>
        <w:gridCol w:w="5941"/>
        <w:gridCol w:w="886"/>
        <w:gridCol w:w="154"/>
      </w:tblGrid>
      <w:tr>
        <w:trPr/>
        <w:tc>
          <w:tcPr>
            <w:tcW w:w="59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Member: </w:t>
            </w:r>
          </w:p>
        </w:tc>
        <w:tc>
          <w:tcPr>
            <w:tcW w:w="1040" w:type="dxa"/>
            <w:gridSpan w:val="2"/>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$4,000</w:t>
            </w:r>
          </w:p>
        </w:tc>
      </w:tr>
      <w:tr>
        <w:trPr/>
        <w:tc>
          <w:tcPr>
            <w:tcW w:w="594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Chair: </w:t>
            </w:r>
          </w:p>
        </w:tc>
        <w:tc>
          <w:tcPr>
            <w:tcW w:w="886"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Member: </w:t>
            </w:r>
          </w:p>
        </w:tc>
        <w:tc>
          <w:tcPr>
            <w:tcW w:w="886"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hAnsi="Times New Roman"/>
          <w:color w:val="000000"/>
          <w:sz w:val="24"/>
          <w:u w:val="single"/>
        </w:rPr>
        <w:t>Initial Period</w:t>
      </w:r>
      <w:r>
        <w:rPr>
          <w:color w:val="000000"/>
        </w:rPr>
        <w:t>”</w:t>
      </w:r>
      <w:r>
        <w:rPr>
          <w:rFonts w:ascii="Times New Roman" w:hAnsi="Times New Roman"/>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Awards under this Policy or to determine the number of Shares to be covered by such Awards (except as provided in Sections 3.5.4and 10below).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following the Effective Date automatically will be granted an award of Options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4,180 Shares.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noBreakHyphen/>
        <w:t xml:space="preserve">sixth (1/36th) of the Shares subject to the Initial Award on a monthly basis following the Initial Award’s grant date on the same day of the month as such grant date (or on the last day of the month, if there is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corresponding day in such month), subject to the Outside Director remaining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w:t>
      </w:r>
      <w:r>
        <w:rPr>
          <w:rFonts w:ascii="Times New Roman" w:hAnsi="Times New Roman"/>
          <w:color w:val="000000"/>
          <w:sz w:val="24"/>
        </w:rPr>
        <w:t>), each Outside Director who, as of the date of such Annual Meeting, has been in continuous service as an Outside Director since the date of the most recently preceding Annual Meeting, automatically will be granted an award of Options to purchase 2,090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2,090 multiplied by the quotient of (i) the number of whole months of continuous service as an Outside Director completed as of the date of such Annual Meeting divided by (ii) twelve (12), rounded down to the nearest whole share (up to a maximum of 2,090 shares) (the awards described in this Section 3.3, each, an “</w:t>
      </w:r>
      <w:r>
        <w:rPr>
          <w:rFonts w:ascii="Times New Roman" w:hAnsi="Times New Roman"/>
          <w:color w:val="000000"/>
          <w:sz w:val="24"/>
          <w:u w:val="single"/>
        </w:rPr>
        <w:t>Annual Award</w:t>
      </w:r>
      <w:r>
        <w:rPr>
          <w:color w:val="000000"/>
        </w:rPr>
        <w:t>”</w:t>
      </w:r>
      <w:r>
        <w:rPr>
          <w:rFonts w:ascii="Times New Roman" w:hAnsi="Times New Roman"/>
          <w:color w:val="000000"/>
          <w:sz w:val="24"/>
        </w:rPr>
        <w:t xml:space="preserve">).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IPO Award</w:t>
      </w:r>
      <w:r>
        <w:rPr>
          <w:rFonts w:ascii="Times New Roman" w:hAnsi="Times New Roman"/>
          <w:color w:val="000000"/>
          <w:sz w:val="24"/>
        </w:rPr>
        <w:t>. Effective as of the Registration Date, each Outside Director will be granted an award of Options (the “</w:t>
      </w:r>
      <w:r>
        <w:rPr>
          <w:rFonts w:ascii="Times New Roman" w:hAnsi="Times New Roman"/>
          <w:color w:val="000000"/>
          <w:sz w:val="24"/>
          <w:u w:val="single"/>
        </w:rPr>
        <w:t>IPO Award</w:t>
      </w:r>
      <w:r>
        <w:rPr>
          <w:color w:val="000000"/>
        </w:rPr>
        <w:t>”</w:t>
      </w:r>
      <w:r>
        <w:rPr>
          <w:rFonts w:ascii="Times New Roman" w:hAnsi="Times New Roman"/>
          <w:color w:val="000000"/>
          <w:sz w:val="24"/>
        </w:rPr>
        <w:t>) to purchase 2,774 Shares. Each IPO Award will be scheduled to vest as to one thirty</w:t>
        <w:noBreakHyphen/>
        <w:t>sixth (1/36</w:t>
      </w:r>
      <w:r>
        <w:rPr>
          <w:rFonts w:ascii="Times New Roman" w:hAnsi="Times New Roman"/>
          <w:color w:val="000000"/>
          <w:sz w:val="16"/>
        </w:rPr>
        <w:t>th</w:t>
      </w:r>
      <w:r>
        <w:rPr>
          <w:rFonts w:ascii="Times New Roman" w:hAnsi="Times New Roman"/>
          <w:color w:val="000000"/>
          <w:sz w:val="24"/>
        </w:rPr>
        <w:t xml:space="preserve">)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color w:val="000000"/>
          <w:sz w:val="24"/>
          <w:u w:val="single"/>
        </w:rPr>
        <w:t>Additional Terms of Initial Awards, Annual Awards and IPO Awards</w:t>
      </w:r>
      <w:r>
        <w:rPr>
          <w:rFonts w:ascii="Times New Roman" w:hAnsi="Times New Roman"/>
          <w:color w:val="000000"/>
          <w:sz w:val="24"/>
        </w:rPr>
        <w:t>. The terms and conditions of each Initial Award, Annual Award and IPO Award (each, a “</w:t>
      </w:r>
      <w:r>
        <w:rPr>
          <w:rFonts w:ascii="Times New Roman" w:hAnsi="Times New Roman"/>
          <w:color w:val="000000"/>
          <w:sz w:val="24"/>
          <w:u w:val="single"/>
        </w:rPr>
        <w:t>Policy Award</w:t>
      </w:r>
      <w:r>
        <w:rPr>
          <w:color w:val="000000"/>
        </w:rPr>
        <w:t>”</w:t>
      </w:r>
      <w:r>
        <w:rPr>
          <w:rFonts w:ascii="Times New Roman" w:hAnsi="Times New Roman"/>
          <w:color w:val="000000"/>
          <w:sz w:val="24"/>
        </w:rPr>
        <w:t>)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term of each Policy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Policy Award will be granted under and subject to the terms and conditions of the Plan and the applicable form of Award Agreement previously approved by the Board or its Committee, as applicable, for use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Board or its Committee, as applicable and in its discretion, may change and otherwise revise the terms of Policy Awards to be granted in the future pursuant to this Policy, including without limitation the number of Shares subject thereto and type of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xml:space="preserve">.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w:t>
      </w:r>
      <w:r>
        <w:rPr>
          <w:rFonts w:ascii="Times New Roman" w:hAnsi="Times New Roman"/>
          <w:color w:val="0000FF"/>
          <w:sz w:val="24"/>
          <w:u w:val="single"/>
        </w:rPr>
        <w:t>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Outside Director (or any other person) for any taxes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The initial adoption of this Policy will be subject to approval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color w:val="000000"/>
          <w:sz w:val="24"/>
          <w:u w:val="single"/>
        </w:rPr>
        <w:t>Committee</w:t>
      </w:r>
      <w:r>
        <w:rPr>
          <w:color w:val="00000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lona-ex10_14.htm"/>
      <w:bookmarkStart w:id="56" w:name="kslonaex10_14"/>
      <w:bookmarkEnd w:id="55"/>
      <w:bookmarkEnd w:id="56"/>
      <w:r>
        <w:rPr>
          <w:rFonts w:ascii="Times New Roman" w:hAnsi="Times New Roman"/>
          <w:b/>
          <w:color w:val="000000"/>
          <w:sz w:val="20"/>
        </w:rPr>
        <w:t>Exhibit 10.14</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120" w:after="120"/>
        <w:jc w:val="center"/>
        <w:rPr>
          <w:rFonts w:ascii="Times New Roman" w:hAnsi="Times New Roman"/>
          <w:b/>
          <w:color w:val="000000"/>
          <w:sz w:val="24"/>
        </w:rPr>
      </w:pPr>
      <w:r>
        <w:rPr>
          <w:rFonts w:ascii="Times New Roman" w:hAnsi="Times New Roman"/>
          <w:b/>
          <w:color w:val="000000"/>
          <w:sz w:val="24"/>
        </w:rPr>
        <w:t>EXECUTIVE INCENTIVE COMPENSATION PLAN</w:t>
      </w:r>
    </w:p>
    <w:p>
      <w:pPr>
        <w:pStyle w:val="TextBody"/>
        <w:bidi w:val="0"/>
        <w:spacing w:before="120" w:after="120"/>
        <w:jc w:val="center"/>
        <w:rPr>
          <w:rFonts w:ascii="Times New Roman" w:hAnsi="Times New Roman"/>
          <w:color w:val="000000"/>
          <w:sz w:val="24"/>
        </w:rPr>
      </w:pPr>
      <w:r>
        <w:rPr>
          <w:rFonts w:ascii="Times New Roman" w:hAnsi="Times New Roman"/>
          <w:color w:val="000000"/>
          <w:sz w:val="24"/>
        </w:rPr>
        <w:t>(As Amended and Restated on January 9, 2026)</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120"/>
        <w:jc w:val="both"/>
        <w:rPr/>
      </w:pPr>
      <w:r>
        <w:rPr>
          <w:rFonts w:ascii="Times New Roman" w:hAnsi="Times New Roman"/>
          <w:color w:val="000000"/>
          <w:sz w:val="24"/>
          <w:u w:val="single"/>
        </w:rPr>
        <w:t>Purposes of the Plan</w:t>
      </w:r>
      <w:r>
        <w:rPr>
          <w:rFonts w:ascii="Times New Roman" w:hAnsi="Times New Roman"/>
          <w:color w:val="000000"/>
          <w:sz w:val="24"/>
        </w:rPr>
        <w:t>. The Plan is intended to increase stockholder value and the success of the Company by motivating Employees to (a) perform to the best of their abilities and (b) achieve the Company’s objectives.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120"/>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w:t>
      </w:r>
    </w:p>
    <w:p>
      <w:pPr>
        <w:pStyle w:val="TextBody"/>
        <w:bidi w:val="0"/>
        <w:spacing w:before="120" w:after="120"/>
        <w:jc w:val="both"/>
        <w:rPr/>
      </w:pPr>
      <w:r>
        <w:rPr>
          <w:color w:val="000000"/>
        </w:rPr>
        <w:t>“</w:t>
      </w:r>
      <w:r>
        <w:rPr>
          <w:rFonts w:ascii="Times New Roman" w:hAnsi="Times New Roman"/>
          <w:color w:val="000000"/>
          <w:sz w:val="24"/>
          <w:u w:val="single"/>
        </w:rPr>
        <w:t>Actual Award</w:t>
      </w:r>
      <w:r>
        <w:rPr>
          <w:color w:val="000000"/>
        </w:rPr>
        <w:t xml:space="preserve">” </w:t>
      </w:r>
      <w:r>
        <w:rPr>
          <w:rFonts w:ascii="Times New Roman" w:hAnsi="Times New Roman"/>
          <w:color w:val="000000"/>
          <w:sz w:val="24"/>
        </w:rPr>
        <w:t>means as to any Performance Period, the actual award (if any) payable to a Participant for the Performance Period, subject to the authority of the Administrator (as defined in Section 3) under Section 4.4.</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2.2.</w:t>
      </w:r>
    </w:p>
    <w:p>
      <w:pPr>
        <w:pStyle w:val="TextBody"/>
        <w:bidi w:val="0"/>
        <w:spacing w:before="120" w:after="120"/>
        <w:jc w:val="both"/>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means any corporation or other entity (including, but not limited to, partnerships and joint ventures) that, from time to time and at the time of any determination, directly or indirectly, is in control of or is controlled by the Company.</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2.3.</w:t>
      </w:r>
    </w:p>
    <w:p>
      <w:pPr>
        <w:pStyle w:val="TextBody"/>
        <w:bidi w:val="0"/>
        <w:spacing w:before="120" w:after="120"/>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2.4.</w:t>
      </w:r>
    </w:p>
    <w:p>
      <w:pPr>
        <w:pStyle w:val="TextBody"/>
        <w:bidi w:val="0"/>
        <w:spacing w:before="120" w:after="120"/>
        <w:jc w:val="both"/>
        <w:rPr/>
      </w:pPr>
      <w:r>
        <w:rPr>
          <w:color w:val="000000"/>
        </w:rPr>
        <w:t>“</w:t>
      </w:r>
      <w:r>
        <w:rPr>
          <w:rFonts w:ascii="Times New Roman" w:hAnsi="Times New Roman"/>
          <w:color w:val="000000"/>
          <w:sz w:val="24"/>
          <w:u w:val="single"/>
        </w:rPr>
        <w:t>Bonus Pool</w:t>
      </w:r>
      <w:r>
        <w:rPr>
          <w:color w:val="000000"/>
        </w:rPr>
        <w:t xml:space="preserve">” </w:t>
      </w:r>
      <w:r>
        <w:rPr>
          <w:rFonts w:ascii="Times New Roman" w:hAnsi="Times New Roman"/>
          <w:color w:val="000000"/>
          <w:sz w:val="24"/>
        </w:rPr>
        <w:t>means the pool of funds available for distribution to Participants. Subject to the terms of the Plan, the Administrator establishes the Bonus Pool for each Performance Period.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2.5.</w:t>
      </w:r>
    </w:p>
    <w:p>
      <w:pPr>
        <w:pStyle w:val="TextBody"/>
        <w:bidi w:val="0"/>
        <w:spacing w:before="120" w:after="120"/>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formal guidance of general or direct applicability promulgated under such section or regulation, and any comparable provision of any future legislation or regulation amending, supplementing or superseding such section or regulation.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2.6.</w:t>
      </w:r>
    </w:p>
    <w:p>
      <w:pPr>
        <w:pStyle w:val="TextBody"/>
        <w:bidi w:val="0"/>
        <w:spacing w:before="120" w:after="120"/>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appointed by the Board (pursuant to Section 3) to administer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2.7.</w:t>
      </w:r>
    </w:p>
    <w:p>
      <w:pPr>
        <w:pStyle w:val="TextBody"/>
        <w:bidi w:val="0"/>
        <w:spacing w:before="120" w:after="120"/>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LeonaBio, Inc., a Delaware corporation, or any successor thereto.</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2.8.</w:t>
      </w:r>
    </w:p>
    <w:p>
      <w:pPr>
        <w:pStyle w:val="TextBody"/>
        <w:bidi w:val="0"/>
        <w:spacing w:before="120" w:after="120"/>
        <w:jc w:val="both"/>
        <w:rPr/>
      </w:pPr>
      <w:r>
        <w:rPr>
          <w:color w:val="000000"/>
        </w:rPr>
        <w:t>“</w:t>
      </w:r>
      <w:r>
        <w:rPr>
          <w:rFonts w:ascii="Times New Roman" w:hAnsi="Times New Roman"/>
          <w:color w:val="000000"/>
          <w:sz w:val="24"/>
          <w:u w:val="single"/>
        </w:rPr>
        <w:t>Company Group</w:t>
      </w:r>
      <w:r>
        <w:rPr>
          <w:color w:val="000000"/>
        </w:rPr>
        <w:t xml:space="preserve">” </w:t>
      </w:r>
      <w:r>
        <w:rPr>
          <w:rFonts w:ascii="Times New Roman" w:hAnsi="Times New Roman"/>
          <w:color w:val="000000"/>
          <w:sz w:val="24"/>
        </w:rPr>
        <w:t>means the Company and any Parents, Subsidiaries, and Affiliates.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2.9.</w:t>
      </w:r>
    </w:p>
    <w:p>
      <w:pPr>
        <w:pStyle w:val="TextBody"/>
        <w:bidi w:val="0"/>
        <w:spacing w:before="120" w:after="120"/>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means a permanent and total disability determined in accordance with uniform and nondiscriminatory standards adopted by the Administrator from time to time.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2.10.</w:t>
      </w:r>
    </w:p>
    <w:p>
      <w:pPr>
        <w:pStyle w:val="TextBody"/>
        <w:bidi w:val="0"/>
        <w:spacing w:before="120" w:after="120"/>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executive, officer, or other employee of the Company Group, whether such individual is so employed at the time the Plan is adopted or becomes so employed subsequent to the adoption of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2.11.</w:t>
      </w:r>
    </w:p>
    <w:p>
      <w:pPr>
        <w:pStyle w:val="TextBody"/>
        <w:bidi w:val="0"/>
        <w:spacing w:before="120" w:after="120"/>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2.12.</w:t>
      </w:r>
    </w:p>
    <w:p>
      <w:pPr>
        <w:pStyle w:val="TextBody"/>
        <w:bidi w:val="0"/>
        <w:spacing w:before="120" w:after="120"/>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 xml:space="preserve">means a “parent corporation,” whether now or hereafter existing, as defined in Code Section 424(e).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2.13.</w:t>
      </w:r>
    </w:p>
    <w:p>
      <w:pPr>
        <w:pStyle w:val="TextBody"/>
        <w:bidi w:val="0"/>
        <w:spacing w:before="120" w:after="120"/>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as to any Performance Period, an Employee who has been selected by the Administrator for participation in the Plan for that Performance Period.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120"/>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the period of time for the measurement of the performance criteria that must be met to receive an Actual Award, as determined by the Administrator. A Performance Period may be divided into one or more shorter periods if, for example, but not by way of limitation, the Administrator desires to measure some performance criteria over twelve (12) months and other criteria over three (3) months.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2.15.</w:t>
      </w:r>
    </w:p>
    <w:p>
      <w:pPr>
        <w:pStyle w:val="TextBody"/>
        <w:bidi w:val="0"/>
        <w:spacing w:before="120" w:after="120"/>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Executive Incentive Compensation Plan (including any appendix attached hereto), as may be amended from time to time.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2.16.</w:t>
      </w:r>
    </w:p>
    <w:p>
      <w:pPr>
        <w:pStyle w:val="TextBody"/>
        <w:bidi w:val="0"/>
        <w:spacing w:before="120" w:after="120"/>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Section 409A of the Code and any applicable state law equivalent, as each may be promulgated, amended or modified from time to time.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2.17.</w:t>
      </w:r>
    </w:p>
    <w:p>
      <w:pPr>
        <w:pStyle w:val="TextBody"/>
        <w:bidi w:val="0"/>
        <w:spacing w:before="120" w:after="120"/>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 in relation to the Company.</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2.18.</w:t>
      </w:r>
    </w:p>
    <w:p>
      <w:pPr>
        <w:pStyle w:val="TextBody"/>
        <w:bidi w:val="0"/>
        <w:spacing w:before="120" w:after="120"/>
        <w:jc w:val="both"/>
        <w:rPr/>
      </w:pPr>
      <w:r>
        <w:rPr>
          <w:color w:val="000000"/>
        </w:rPr>
        <w:t>“</w:t>
      </w:r>
      <w:r>
        <w:rPr>
          <w:rFonts w:ascii="Times New Roman" w:hAnsi="Times New Roman"/>
          <w:color w:val="000000"/>
          <w:sz w:val="24"/>
          <w:u w:val="single"/>
        </w:rPr>
        <w:t>Target Award</w:t>
      </w:r>
      <w:r>
        <w:rPr>
          <w:color w:val="000000"/>
        </w:rPr>
        <w:t xml:space="preserve">” </w:t>
      </w:r>
      <w:r>
        <w:rPr>
          <w:rFonts w:ascii="Times New Roman" w:hAnsi="Times New Roman"/>
          <w:color w:val="000000"/>
          <w:sz w:val="24"/>
        </w:rPr>
        <w:t>means the target award, at one hundred percent (100%) of target level performance achievement, payable under the Plan to a Participant for a Performance Period, as determined by the Administrator in accordance with Section 4.2.</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2.19.</w:t>
      </w:r>
    </w:p>
    <w:p>
      <w:pPr>
        <w:pStyle w:val="TextBody"/>
        <w:bidi w:val="0"/>
        <w:spacing w:before="120" w:after="120"/>
        <w:jc w:val="both"/>
        <w:rPr/>
      </w:pPr>
      <w:r>
        <w:rPr>
          <w:color w:val="000000"/>
        </w:rPr>
        <w:t>“</w:t>
      </w:r>
      <w:r>
        <w:rPr>
          <w:rFonts w:ascii="Times New Roman" w:hAnsi="Times New Roman"/>
          <w:color w:val="000000"/>
          <w:sz w:val="24"/>
          <w:u w:val="single"/>
        </w:rPr>
        <w:t>Tax Withholdings</w:t>
      </w:r>
      <w:r>
        <w:rPr>
          <w:color w:val="000000"/>
        </w:rPr>
        <w:t xml:space="preserve">” </w:t>
      </w:r>
      <w:r>
        <w:rPr>
          <w:rFonts w:ascii="Times New Roman" w:hAnsi="Times New Roman"/>
          <w:color w:val="000000"/>
          <w:sz w:val="24"/>
        </w:rPr>
        <w:t>means tax, social insurance and social security liability or premium obligations in connection with the awards under the Plan, including without limitation: (a) all federal, state, and local income, employment and any other taxes (including the Participant’s U.S. Federal Insurance Contributions Act (FICA) obligation) that are required to be withheld by the Company Group, (b) the Participant’s and, to the extent required by the Company Group, the fringe benefit tax liability of the Company Group associated with an award under the Plan, and (c) any other taxes or social insurance or social security liabilities or premium the responsibility for which the Participant has, or has agreed to bear, with respect to such award under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2.20.</w:t>
      </w:r>
    </w:p>
    <w:p>
      <w:pPr>
        <w:pStyle w:val="TextBody"/>
        <w:bidi w:val="0"/>
        <w:spacing w:before="120" w:after="120"/>
        <w:jc w:val="both"/>
        <w:rPr/>
      </w:pPr>
      <w:r>
        <w:rPr>
          <w:color w:val="000000"/>
        </w:rPr>
        <w:t>“</w:t>
      </w:r>
      <w:r>
        <w:rPr>
          <w:rFonts w:ascii="Times New Roman" w:hAnsi="Times New Roman"/>
          <w:color w:val="000000"/>
          <w:sz w:val="24"/>
          <w:u w:val="single"/>
        </w:rPr>
        <w:t>Termination of Employment</w:t>
      </w:r>
      <w:r>
        <w:rPr>
          <w:color w:val="000000"/>
        </w:rPr>
        <w:t xml:space="preserve">” </w:t>
      </w:r>
      <w:r>
        <w:rPr>
          <w:rFonts w:ascii="Times New Roman" w:hAnsi="Times New Roman"/>
          <w:color w:val="000000"/>
          <w:sz w:val="24"/>
        </w:rPr>
        <w:t>means a cessation of the employee-employer relationship between an Employee and the Company Group, including without limitation a termination by resignation, discharge, death, Disability, retirement, or the disaffiliation of a Parent, Subsidiary or Affiliate. For purposes of the Plan, transfer of employment of a Participant between any members of the Company Group (for example, between the Company and a Subsidiary) will not be deemed a Termination of Employment.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120"/>
        <w:jc w:val="both"/>
        <w:rPr/>
      </w:pPr>
      <w:r>
        <w:rPr>
          <w:rFonts w:ascii="Times New Roman" w:hAnsi="Times New Roman"/>
          <w:color w:val="000000"/>
          <w:sz w:val="24"/>
          <w:u w:val="single"/>
        </w:rPr>
        <w:t>Administration of the Plan</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3.1.</w:t>
      </w:r>
    </w:p>
    <w:p>
      <w:pPr>
        <w:pStyle w:val="TextBody"/>
        <w:bidi w:val="0"/>
        <w:spacing w:before="120" w:after="120"/>
        <w:jc w:val="both"/>
        <w:rPr/>
      </w:pPr>
      <w:r>
        <w:rPr>
          <w:rFonts w:ascii="Times New Roman" w:hAnsi="Times New Roman"/>
          <w:color w:val="000000"/>
          <w:sz w:val="24"/>
          <w:u w:val="single"/>
        </w:rPr>
        <w:t>Administrator</w:t>
      </w:r>
      <w:r>
        <w:rPr>
          <w:rFonts w:ascii="Times New Roman" w:hAnsi="Times New Roman"/>
          <w:color w:val="000000"/>
          <w:sz w:val="24"/>
        </w:rPr>
        <w:t>. The Plan will be administered by the Board or a Committee (the “</w:t>
      </w:r>
      <w:r>
        <w:rPr>
          <w:rFonts w:ascii="Times New Roman" w:hAnsi="Times New Roman"/>
          <w:color w:val="000000"/>
          <w:sz w:val="24"/>
          <w:u w:val="single"/>
        </w:rPr>
        <w:t>Administrator</w:t>
      </w:r>
      <w:r>
        <w:rPr>
          <w:color w:val="000000"/>
        </w:rPr>
        <w:t>”</w:t>
      </w:r>
      <w:r>
        <w:rPr>
          <w:rFonts w:ascii="Times New Roman" w:hAnsi="Times New Roman"/>
          <w:color w:val="000000"/>
          <w:sz w:val="24"/>
        </w:rPr>
        <w:t>). To the extent necessary or desirable to satisfy applicable laws, the Committee acting as the Administrator will consist of not less than two (2) members of the Board. The members of any Committee will be appointed from time to time by, and serve at the pleasure of, the Board. The Board may retain the authority to administer the Plan concurrently with a Committee and may revoke the delegation of some or all authority previously delegated. Different Administrators may administer the Plan with respect to different groups of Employees. Unless and until the Board otherwise determines, the Board’s Compensation Committee will administer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3.2.</w:t>
      </w:r>
    </w:p>
    <w:p>
      <w:pPr>
        <w:pStyle w:val="TextBody"/>
        <w:bidi w:val="0"/>
        <w:spacing w:before="120" w:after="120"/>
        <w:jc w:val="both"/>
        <w:rPr/>
      </w:pPr>
      <w:r>
        <w:rPr>
          <w:rFonts w:ascii="Times New Roman" w:hAnsi="Times New Roman"/>
          <w:color w:val="000000"/>
          <w:sz w:val="24"/>
          <w:u w:val="single"/>
        </w:rPr>
        <w:t>Administrator Authority</w:t>
      </w:r>
      <w:r>
        <w:rPr>
          <w:rFonts w:ascii="Times New Roman" w:hAnsi="Times New Roman"/>
          <w:color w:val="000000"/>
          <w:sz w:val="24"/>
        </w:rPr>
        <w:t>. It will be the duty of the Administrator to administer the Plan in accordance with the Plan’s provisions. The Administrator will have all powers and discretion necessary or appropriate to administer the Plan and to control its operation, including, but not limited to, the power to (a) determine which Employees will be granted awards, (b) prescribe the terms and conditions of awards, (c) interpret the Plan and the awards, (d) adopt such procedures and sub</w:t>
        <w:noBreakHyphen/>
        <w:t>plans as are necessary or appropriate to permit participation in the Plan by Employees who are non</w:t>
        <w:noBreakHyphen/>
        <w:t xml:space="preserve">U.S. nationals or employed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outside of the U.S. or to qualify awards for special tax treatment under the laws of jurisdictions other than the U.S., (e) adopt rules for the administration, interpretation and application of the Plan as are consistent therewith, and (f) interpret, amend or revoke any such rules. Any determinations and decisions made or to be made by the Administrator pursuant to the provisions of the Plan, unless specified otherwise by the Administrator, will be in the Administrator’s sole discretion.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3.3.</w:t>
      </w:r>
    </w:p>
    <w:p>
      <w:pPr>
        <w:pStyle w:val="TextBody"/>
        <w:bidi w:val="0"/>
        <w:spacing w:before="120" w:after="120"/>
        <w:jc w:val="both"/>
        <w:rPr/>
      </w:pPr>
      <w:r>
        <w:rPr>
          <w:rFonts w:ascii="Times New Roman" w:hAnsi="Times New Roman"/>
          <w:color w:val="000000"/>
          <w:sz w:val="24"/>
          <w:u w:val="single"/>
        </w:rPr>
        <w:t>Decisions Binding</w:t>
      </w:r>
      <w:r>
        <w:rPr>
          <w:rFonts w:ascii="Times New Roman" w:hAnsi="Times New Roman"/>
          <w:color w:val="000000"/>
          <w:sz w:val="24"/>
        </w:rPr>
        <w:t>. All determinations and decisions made by the Administrator and/or any delegate of the Administrator pursuant to the provisions of the Plan will be final, conclusive, and binding on all persons, and will be given the maximum deference permitted by law.</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3.4.</w:t>
      </w:r>
    </w:p>
    <w:p>
      <w:pPr>
        <w:pStyle w:val="TextBody"/>
        <w:bidi w:val="0"/>
        <w:spacing w:before="120" w:after="120"/>
        <w:jc w:val="both"/>
        <w:rPr/>
      </w:pPr>
      <w:r>
        <w:rPr>
          <w:rFonts w:ascii="Times New Roman" w:hAnsi="Times New Roman"/>
          <w:color w:val="000000"/>
          <w:sz w:val="24"/>
          <w:u w:val="single"/>
        </w:rPr>
        <w:t>Delegation by Administrator</w:t>
      </w:r>
      <w:r>
        <w:rPr>
          <w:rFonts w:ascii="Times New Roman" w:hAnsi="Times New Roman"/>
          <w:color w:val="000000"/>
          <w:sz w:val="24"/>
        </w:rPr>
        <w:t>. The Administrator, on such terms and conditions as it may provide, may delegate all or part of its authority and powers under the Plan to one or more directors and/or officers of the Company. Such delegation may be revoked at any time.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3.5.</w:t>
      </w:r>
    </w:p>
    <w:p>
      <w:pPr>
        <w:pStyle w:val="TextBody"/>
        <w:bidi w:val="0"/>
        <w:spacing w:before="120" w:after="120"/>
        <w:jc w:val="both"/>
        <w:rPr/>
      </w:pPr>
      <w:r>
        <w:rPr>
          <w:rFonts w:ascii="Times New Roman" w:hAnsi="Times New Roman"/>
          <w:color w:val="000000"/>
          <w:sz w:val="24"/>
          <w:u w:val="single"/>
        </w:rPr>
        <w:t>Indemnification</w:t>
      </w:r>
      <w:r>
        <w:rPr>
          <w:rFonts w:ascii="Times New Roman" w:hAnsi="Times New Roman"/>
          <w:color w:val="000000"/>
          <w:sz w:val="24"/>
        </w:rPr>
        <w:t>. Each person who is or will have been a member of the Administrator will be indemnified and held harmless by the Company against and from (a)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(b)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4.</w:t>
      </w:r>
    </w:p>
    <w:p>
      <w:pPr>
        <w:pStyle w:val="TextBody"/>
        <w:bidi w:val="0"/>
        <w:spacing w:before="120" w:after="120"/>
        <w:jc w:val="both"/>
        <w:rPr/>
      </w:pPr>
      <w:r>
        <w:rPr>
          <w:rFonts w:ascii="Times New Roman" w:hAnsi="Times New Roman"/>
          <w:color w:val="000000"/>
          <w:sz w:val="24"/>
          <w:u w:val="single"/>
        </w:rPr>
        <w:t>Selection of Participants and Determination of Awards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4.1.</w:t>
      </w:r>
    </w:p>
    <w:p>
      <w:pPr>
        <w:pStyle w:val="TextBody"/>
        <w:bidi w:val="0"/>
        <w:spacing w:before="120" w:after="120"/>
        <w:jc w:val="both"/>
        <w:rPr/>
      </w:pPr>
      <w:r>
        <w:rPr>
          <w:rFonts w:ascii="Times New Roman" w:hAnsi="Times New Roman"/>
          <w:color w:val="000000"/>
          <w:sz w:val="24"/>
          <w:u w:val="single"/>
        </w:rPr>
        <w:t>Selection of Participants</w:t>
      </w:r>
      <w:r>
        <w:rPr>
          <w:rFonts w:ascii="Times New Roman" w:hAnsi="Times New Roman"/>
          <w:color w:val="000000"/>
          <w:sz w:val="24"/>
        </w:rPr>
        <w:t>. The Administrator will select the Employees who will be Participants for any Performance Period. Participation in the Plan will be on a Performance Period by Performance Period basis. Accordingly, an Employee who is a Participant for a given Performance Period in no way is guaranteed or assured of being selected for participation in any subsequent Performance Period or Performance Periods. No Employee will have the right to be selected to receive an award under this Plan or, if so selected, to be selected to receive a future award.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4.2.</w:t>
      </w:r>
    </w:p>
    <w:p>
      <w:pPr>
        <w:pStyle w:val="TextBody"/>
        <w:bidi w:val="0"/>
        <w:spacing w:before="120" w:after="120"/>
        <w:jc w:val="both"/>
        <w:rPr/>
      </w:pPr>
      <w:r>
        <w:rPr>
          <w:rFonts w:ascii="Times New Roman" w:hAnsi="Times New Roman"/>
          <w:color w:val="000000"/>
          <w:sz w:val="24"/>
          <w:u w:val="single"/>
        </w:rPr>
        <w:t>Determination of Target Awards</w:t>
      </w:r>
      <w:r>
        <w:rPr>
          <w:rFonts w:ascii="Times New Roman" w:hAnsi="Times New Roman"/>
          <w:color w:val="000000"/>
          <w:sz w:val="24"/>
        </w:rPr>
        <w:t>. The Administrator may establish a Target Award for each Participant (which may be expressed as a percentage of a Participant’s average annual base salary for the Performance Period or a fixed dollar amount or such other amount or based on such other formula or factors as the Administrator determines).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4.3.</w:t>
      </w:r>
    </w:p>
    <w:p>
      <w:pPr>
        <w:pStyle w:val="TextBody"/>
        <w:bidi w:val="0"/>
        <w:spacing w:before="120" w:after="120"/>
        <w:jc w:val="both"/>
        <w:rPr/>
      </w:pPr>
      <w:r>
        <w:rPr>
          <w:rFonts w:ascii="Times New Roman" w:hAnsi="Times New Roman"/>
          <w:color w:val="000000"/>
          <w:sz w:val="24"/>
          <w:u w:val="single"/>
        </w:rPr>
        <w:t>Bonus Pool</w:t>
      </w:r>
      <w:r>
        <w:rPr>
          <w:rFonts w:ascii="Times New Roman" w:hAnsi="Times New Roman"/>
          <w:color w:val="000000"/>
          <w:sz w:val="24"/>
        </w:rPr>
        <w:t>. Each Performance Period, the Administrator may establish a Bonus Pool, which pool may be established before, during or after the applicable Performance Period. Actual Awards will be paid from the Bonus Pool (if a Bonus Pool has been established).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4.4.</w:t>
      </w:r>
    </w:p>
    <w:p>
      <w:pPr>
        <w:pStyle w:val="TextBody"/>
        <w:bidi w:val="0"/>
        <w:spacing w:before="120" w:after="120"/>
        <w:jc w:val="both"/>
        <w:rPr/>
      </w:pPr>
      <w:r>
        <w:rPr>
          <w:rFonts w:ascii="Times New Roman" w:hAnsi="Times New Roman"/>
          <w:color w:val="000000"/>
          <w:sz w:val="24"/>
          <w:u w:val="single"/>
        </w:rPr>
        <w:t>Discretion to Modify Awards</w:t>
      </w:r>
      <w:r>
        <w:rPr>
          <w:rFonts w:ascii="Times New Roman" w:hAnsi="Times New Roman"/>
          <w:color w:val="000000"/>
          <w:sz w:val="24"/>
        </w:rPr>
        <w:t>. Notwithstanding any contrary provision of the Plan, the Administrator, at any time prior to payment of an Actual Award, may: (a) increase, reduce or eliminate a Participant’s Actual Award, and/or (b) increase, reduce or eliminate the amount allocated to the Bonus Pool. The Actual Award may be below, at or above the Target Award, as determined by the Administrator. The Administrator may determine the amount of any increase, reduction, or elimination based on such factors as it deems relevant, and will not be required to establish any allocation or weighting with respect to the factors it considers.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4.5.</w:t>
      </w:r>
    </w:p>
    <w:p>
      <w:pPr>
        <w:pStyle w:val="TextBody"/>
        <w:bidi w:val="0"/>
        <w:spacing w:before="240" w:after="120"/>
        <w:jc w:val="both"/>
        <w:rPr/>
      </w:pPr>
      <w:r>
        <w:rPr>
          <w:rFonts w:ascii="Times New Roman" w:hAnsi="Times New Roman"/>
          <w:color w:val="000000"/>
          <w:sz w:val="24"/>
          <w:u w:val="single"/>
        </w:rPr>
        <w:t>Discretion to Determine Criteria</w:t>
      </w:r>
      <w:r>
        <w:rPr>
          <w:rFonts w:ascii="Times New Roman" w:hAnsi="Times New Roman"/>
          <w:color w:val="000000"/>
          <w:sz w:val="24"/>
        </w:rPr>
        <w:t>. Notwithstanding any contrary provision of the Plan, the Administrator will determine the performance goals, if any, applicable to any Target Award (or portion thereof)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U.S. generally accepted accounting principles (“</w:t>
      </w:r>
      <w:r>
        <w:rPr>
          <w:rFonts w:ascii="Times New Roman" w:hAnsi="Times New Roman"/>
          <w:color w:val="000000"/>
          <w:sz w:val="24"/>
          <w:u w:val="single"/>
        </w:rPr>
        <w:t>GAAP</w:t>
      </w:r>
      <w:r>
        <w:rPr>
          <w:color w:val="000000"/>
        </w:rPr>
        <w:t>”</w:t>
      </w:r>
      <w:r>
        <w:rPr>
          <w:rFonts w:ascii="Times New Roman" w:hAnsi="Times New Roman"/>
          <w:color w:val="000000"/>
          <w:sz w:val="24"/>
        </w:rPr>
        <w:t>) or non</w:t>
        <w:noBreakHyphen/>
        <w:t>GAAP results and any actual results may be adjusted by the Administrator for one-time items or unbudgeted or unexpected items and/or payments of Actual Awards under the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applicable performance goals will result in a failure to earn the Target Award, except as provided in Section 4.4.</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5.</w:t>
      </w:r>
    </w:p>
    <w:p>
      <w:pPr>
        <w:pStyle w:val="TextBody"/>
        <w:bidi w:val="0"/>
        <w:spacing w:before="120" w:after="120"/>
        <w:jc w:val="both"/>
        <w:rPr/>
      </w:pPr>
      <w:r>
        <w:rPr>
          <w:rFonts w:ascii="Times New Roman" w:hAnsi="Times New Roman"/>
          <w:color w:val="000000"/>
          <w:sz w:val="24"/>
          <w:u w:val="single"/>
        </w:rPr>
        <w:t>Payment of Awards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5.1.</w:t>
      </w:r>
    </w:p>
    <w:p>
      <w:pPr>
        <w:pStyle w:val="TextBody"/>
        <w:bidi w:val="0"/>
        <w:spacing w:before="120" w:after="120"/>
        <w:jc w:val="both"/>
        <w:rPr/>
      </w:pPr>
      <w:r>
        <w:rPr>
          <w:rFonts w:ascii="Times New Roman" w:hAnsi="Times New Roman"/>
          <w:color w:val="000000"/>
          <w:sz w:val="24"/>
          <w:u w:val="single"/>
        </w:rPr>
        <w:t>Right to Receive Payment</w:t>
      </w:r>
      <w:r>
        <w:rPr>
          <w:rFonts w:ascii="Times New Roman" w:hAnsi="Times New Roman"/>
          <w:color w:val="000000"/>
          <w:sz w:val="24"/>
        </w:rPr>
        <w:t>. Each Actual Award will be paid solely from the general assets of the Company Group. Nothing in this Plan will be construed to create a trust or to establish or evidence any Participant’s claim of any right other than as an unsecured general creditor with respect to any payment to which the Participant may be entitled.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5.2.</w:t>
      </w:r>
    </w:p>
    <w:p>
      <w:pPr>
        <w:pStyle w:val="TextBody"/>
        <w:bidi w:val="0"/>
        <w:spacing w:before="120" w:after="120"/>
        <w:jc w:val="both"/>
        <w:rPr/>
      </w:pPr>
      <w:r>
        <w:rPr>
          <w:rFonts w:ascii="Times New Roman" w:hAnsi="Times New Roman"/>
          <w:color w:val="000000"/>
          <w:sz w:val="24"/>
          <w:u w:val="single"/>
        </w:rPr>
        <w:t>Timing of Payment</w:t>
      </w:r>
      <w:r>
        <w:rPr>
          <w:rFonts w:ascii="Times New Roman" w:hAnsi="Times New Roman"/>
          <w:color w:val="000000"/>
          <w:sz w:val="24"/>
        </w:rPr>
        <w:t>. Payment of each Actual Award will be made as soon as practicable after the end of the Performance Period to which the Actual Award relates and after the Actual Award is approved by the Administrator, but in no event after the later of (a) the fifteenth (15</w:t>
      </w:r>
      <w:r>
        <w:rPr>
          <w:rFonts w:ascii="Times New Roman" w:hAnsi="Times New Roman"/>
          <w:color w:val="000000"/>
          <w:sz w:val="13"/>
        </w:rPr>
        <w:t>th</w:t>
      </w:r>
      <w:r>
        <w:rPr>
          <w:rFonts w:ascii="Times New Roman" w:hAnsi="Times New Roman"/>
          <w:color w:val="000000"/>
          <w:sz w:val="24"/>
        </w:rPr>
        <w:t>) day of the third (3</w:t>
      </w:r>
      <w:r>
        <w:rPr>
          <w:rFonts w:ascii="Times New Roman" w:hAnsi="Times New Roman"/>
          <w:color w:val="000000"/>
          <w:sz w:val="13"/>
        </w:rPr>
        <w:t>rd</w:t>
      </w:r>
      <w:r>
        <w:rPr>
          <w:rFonts w:ascii="Times New Roman" w:hAnsi="Times New Roman"/>
          <w:color w:val="000000"/>
          <w:sz w:val="24"/>
        </w:rPr>
        <w:t>) month of the Fiscal Year immediately following the Fiscal Year in which the Participant’s Actual Award first becomes no longer subject to a substantial risk of forfeiture, and (b) March 15 of the calendar year immediately following the calendar year in which the Participant’s Actual Award first becomes no longer subject to a substantial risk of forfeiture. Unless otherwise determined by the Administrator, to earn an Actual Award a Participant must be employed by the Company Group on the date the Actual Award is paid, and in all cases subject to the Administrator’s discretion pursuant to Section 4.4.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5.3.</w:t>
      </w:r>
    </w:p>
    <w:p>
      <w:pPr>
        <w:pStyle w:val="TextBody"/>
        <w:bidi w:val="0"/>
        <w:spacing w:before="240" w:after="120"/>
        <w:jc w:val="both"/>
        <w:rPr/>
      </w:pPr>
      <w:r>
        <w:rPr>
          <w:rFonts w:ascii="Times New Roman" w:hAnsi="Times New Roman"/>
          <w:color w:val="000000"/>
          <w:sz w:val="24"/>
          <w:u w:val="single"/>
        </w:rPr>
        <w:t>Form of Payment</w:t>
      </w:r>
      <w:r>
        <w:rPr>
          <w:rFonts w:ascii="Times New Roman" w:hAnsi="Times New Roman"/>
          <w:color w:val="000000"/>
          <w:sz w:val="24"/>
        </w:rPr>
        <w:t>. Each Actual Award generally will be paid in cash (or its equivalent) in a single lump sum. The Administrator reserves the right to settle an Actual Award with a grant of an equity award with such terms and conditions, including any vesting requirements, as determined by the Administrator.</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5.4.</w:t>
      </w:r>
    </w:p>
    <w:p>
      <w:pPr>
        <w:pStyle w:val="TextBody"/>
        <w:bidi w:val="0"/>
        <w:spacing w:before="120" w:after="120"/>
        <w:jc w:val="both"/>
        <w:rPr/>
      </w:pPr>
      <w:r>
        <w:rPr>
          <w:rFonts w:ascii="Times New Roman" w:hAnsi="Times New Roman"/>
          <w:color w:val="000000"/>
          <w:sz w:val="24"/>
          <w:u w:val="single"/>
        </w:rPr>
        <w:t>Payment in the Event of Death or Disability</w:t>
      </w:r>
      <w:r>
        <w:rPr>
          <w:rFonts w:ascii="Times New Roman" w:hAnsi="Times New Roman"/>
          <w:color w:val="000000"/>
          <w:sz w:val="24"/>
        </w:rPr>
        <w:t>. If a Termination of Employment occurs due to a Participant’s death or Disability prior to payment of an Actual Award that the Administrator has determined will be paid for a prior Performance Period, then the Actual Award will be paid to the Participant or the Participant’s estate, as the case may be, subject to the Administrator’s discretion pursuant to Section 4.4.</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w:t>
      </w:r>
    </w:p>
    <w:p>
      <w:pPr>
        <w:pStyle w:val="TextBody"/>
        <w:bidi w:val="0"/>
        <w:spacing w:before="120" w:after="120"/>
        <w:jc w:val="both"/>
        <w:rPr/>
      </w:pPr>
      <w:r>
        <w:rPr>
          <w:rFonts w:ascii="Times New Roman" w:hAnsi="Times New Roman"/>
          <w:color w:val="000000"/>
          <w:sz w:val="24"/>
          <w:u w:val="single"/>
        </w:rPr>
        <w:t>General Provisions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6.1.</w:t>
      </w:r>
    </w:p>
    <w:p>
      <w:pPr>
        <w:pStyle w:val="TextBody"/>
        <w:bidi w:val="0"/>
        <w:spacing w:before="120" w:after="120"/>
        <w:jc w:val="both"/>
        <w:rPr/>
      </w:pPr>
      <w:r>
        <w:rPr>
          <w:rFonts w:ascii="Times New Roman" w:hAnsi="Times New Roman"/>
          <w:color w:val="000000"/>
          <w:sz w:val="24"/>
          <w:u w:val="single"/>
        </w:rPr>
        <w:t>Tax Matters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6.1.1.</w:t>
      </w:r>
    </w:p>
    <w:p>
      <w:pPr>
        <w:pStyle w:val="TextBody"/>
        <w:bidi w:val="0"/>
        <w:spacing w:before="120" w:after="120"/>
        <w:jc w:val="both"/>
        <w:rPr/>
      </w:pPr>
      <w:r>
        <w:rPr>
          <w:rFonts w:ascii="Times New Roman" w:hAnsi="Times New Roman"/>
          <w:color w:val="000000"/>
          <w:sz w:val="24"/>
          <w:u w:val="single"/>
        </w:rPr>
        <w:t>Section 409A</w:t>
      </w:r>
      <w:r>
        <w:rPr>
          <w:rFonts w:ascii="Times New Roman" w:hAnsi="Times New Roman"/>
          <w:color w:val="000000"/>
          <w:sz w:val="24"/>
        </w:rPr>
        <w:t>. It is the intent that this Plan be exempt from or comply with the requirements of Section 409A so that none of the payments to be provided hereunder will be subject to the additional tax imposed under Section 409A, and any ambiguities or ambiguous terms will be interpreted to be so exempt or so comply. Each payment under this Plan is intended to constitute a separate payment for purposes of Treasury Regulations Section 1.409A</w:t>
        <w:noBreakHyphen/>
        <w:t>2(b)(2). In no event will the Company Group have any liability, obligation, or responsibility to reimburse, indemnify or hold harmless any Participant or other Employee for any taxes, penalties or interest imposed, or other costs incurred, as a result of Section 409A.</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6.1.2.</w:t>
      </w:r>
    </w:p>
    <w:p>
      <w:pPr>
        <w:pStyle w:val="TextBody"/>
        <w:bidi w:val="0"/>
        <w:spacing w:before="120" w:after="120"/>
        <w:jc w:val="both"/>
        <w:rPr/>
      </w:pPr>
      <w:r>
        <w:rPr>
          <w:rFonts w:ascii="Times New Roman" w:hAnsi="Times New Roman"/>
          <w:color w:val="000000"/>
          <w:sz w:val="24"/>
          <w:u w:val="single"/>
        </w:rPr>
        <w:t>Tax Withholdings</w:t>
      </w:r>
      <w:r>
        <w:rPr>
          <w:rFonts w:ascii="Times New Roman" w:hAnsi="Times New Roman"/>
          <w:color w:val="000000"/>
          <w:sz w:val="24"/>
        </w:rPr>
        <w:t>. The Company Group will have the right and authority to deduct from any Actual Award all applicable Tax Withholdings. Prior to the payment of an Actual Award or such earlier time as any Tax Withholdings are due, the Company Group is permitted to deduct or withhold, or require a Participant to remit to the Company Group, an amount sufficient to satisfy any Tax Withholdings with respect to such Actual Award.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6.2.</w:t>
      </w:r>
    </w:p>
    <w:p>
      <w:pPr>
        <w:pStyle w:val="TextBody"/>
        <w:bidi w:val="0"/>
        <w:spacing w:before="120" w:after="120"/>
        <w:jc w:val="both"/>
        <w:rPr/>
      </w:pPr>
      <w:r>
        <w:rPr>
          <w:rFonts w:ascii="Times New Roman" w:hAnsi="Times New Roman"/>
          <w:color w:val="000000"/>
          <w:sz w:val="24"/>
          <w:u w:val="single"/>
        </w:rPr>
        <w:t>No Effect on Employment or Service</w:t>
      </w:r>
      <w:r>
        <w:rPr>
          <w:rFonts w:ascii="Times New Roman" w:hAnsi="Times New Roman"/>
          <w:color w:val="000000"/>
          <w:sz w:val="24"/>
        </w:rPr>
        <w:t>. Neither the Plan nor any award under the Plan will confer upon a Participant any right regarding continuing the Participant’s relationship as an Employee or other service provider to the Company Group, nor will they interfere with or limit in any way the right of the Company Group or the Participant to terminate such relationship at any time, with or without cause, to the extent permitted by applicable laws.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6.3.</w:t>
      </w:r>
    </w:p>
    <w:p>
      <w:pPr>
        <w:pStyle w:val="TextBody"/>
        <w:bidi w:val="0"/>
        <w:spacing w:before="120" w:after="120"/>
        <w:jc w:val="both"/>
        <w:rPr/>
      </w:pPr>
      <w:r>
        <w:rPr>
          <w:rFonts w:ascii="Times New Roman" w:hAnsi="Times New Roman"/>
          <w:color w:val="000000"/>
          <w:sz w:val="24"/>
          <w:u w:val="single"/>
        </w:rPr>
        <w:t>Forfeiture Events</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6.3.1.</w:t>
      </w:r>
    </w:p>
    <w:p>
      <w:pPr>
        <w:pStyle w:val="TextBody"/>
        <w:bidi w:val="0"/>
        <w:spacing w:before="120" w:after="120"/>
        <w:jc w:val="both"/>
        <w:rPr/>
      </w:pPr>
      <w:r>
        <w:rPr>
          <w:rFonts w:ascii="Times New Roman" w:hAnsi="Times New Roman"/>
          <w:color w:val="000000"/>
          <w:sz w:val="24"/>
          <w:u w:val="single"/>
        </w:rPr>
        <w:t>Clawback Policy; Applicable Laws</w:t>
      </w:r>
      <w:r>
        <w:rPr>
          <w:rFonts w:ascii="Times New Roman" w:hAnsi="Times New Roman"/>
          <w:color w:val="000000"/>
          <w:sz w:val="24"/>
        </w:rPr>
        <w:t>. All awards under the Plan will be subject to 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with respect to an award under the Plan as the Administrator determines necessary or appropriate, including without limitation a reacquisition right in respect of previously acquired cash, stock, or other property provided with respect to an award. Unless this Section 6.3.1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6.3.2.</w:t>
      </w:r>
    </w:p>
    <w:p>
      <w:pPr>
        <w:pStyle w:val="TextBody"/>
        <w:bidi w:val="0"/>
        <w:spacing w:before="240" w:after="120"/>
        <w:jc w:val="both"/>
        <w:rPr/>
      </w:pPr>
      <w:r>
        <w:rPr>
          <w:rFonts w:ascii="Times New Roman" w:hAnsi="Times New Roman"/>
          <w:color w:val="000000"/>
          <w:sz w:val="24"/>
          <w:u w:val="single"/>
        </w:rPr>
        <w:t>Additional Forfeiture Terms</w:t>
      </w:r>
      <w:r>
        <w:rPr>
          <w:rFonts w:ascii="Times New Roman" w:hAnsi="Times New Roman"/>
          <w:color w:val="000000"/>
          <w:sz w:val="24"/>
        </w:rPr>
        <w:t>. The Administrator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6.3.3.</w:t>
      </w:r>
    </w:p>
    <w:p>
      <w:pPr>
        <w:pStyle w:val="TextBody"/>
        <w:bidi w:val="0"/>
        <w:spacing w:before="120" w:after="120"/>
        <w:jc w:val="both"/>
        <w:rPr/>
      </w:pPr>
      <w:r>
        <w:rPr>
          <w:rFonts w:ascii="Times New Roman" w:hAnsi="Times New Roman"/>
          <w:color w:val="000000"/>
          <w:sz w:val="24"/>
          <w:u w:val="single"/>
        </w:rPr>
        <w:t>Accounting Restatements</w:t>
      </w:r>
      <w:r>
        <w:rPr>
          <w:rFonts w:ascii="Times New Roman" w:hAnsi="Times New Roman"/>
          <w:color w:val="000000"/>
          <w:sz w:val="24"/>
        </w:rPr>
        <w:t>. If the Company is required to prepare an accounting 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6.4.</w:t>
      </w:r>
    </w:p>
    <w:p>
      <w:pPr>
        <w:pStyle w:val="TextBody"/>
        <w:bidi w:val="0"/>
        <w:spacing w:before="120" w:after="120"/>
        <w:jc w:val="both"/>
        <w:rPr/>
      </w:pPr>
      <w:r>
        <w:rPr>
          <w:rFonts w:ascii="Times New Roman" w:hAnsi="Times New Roman"/>
          <w:color w:val="000000"/>
          <w:sz w:val="24"/>
          <w:u w:val="single"/>
        </w:rPr>
        <w:t>Successors</w:t>
      </w:r>
      <w:r>
        <w:rPr>
          <w:rFonts w:ascii="Times New Roman" w:hAnsi="Times New Roman"/>
          <w:color w:val="000000"/>
          <w:sz w:val="24"/>
        </w:rPr>
        <w:t>. All obligations of the Company under the Plan, with respect to awards under the Plan, will be binding on any successor to the Company, whether the existence of such successor is the result of a direct or indirect purchase, merger, consolidation, or otherwise, of all or substantially all of the business or assets of the Company.</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6.5.</w:t>
      </w:r>
    </w:p>
    <w:p>
      <w:pPr>
        <w:pStyle w:val="TextBody"/>
        <w:bidi w:val="0"/>
        <w:spacing w:before="120" w:after="120"/>
        <w:jc w:val="both"/>
        <w:rPr/>
      </w:pPr>
      <w:r>
        <w:rPr>
          <w:rFonts w:ascii="Times New Roman" w:hAnsi="Times New Roman"/>
          <w:color w:val="000000"/>
          <w:sz w:val="24"/>
          <w:u w:val="single"/>
        </w:rPr>
        <w:t>Nontransferability of Awards</w:t>
      </w:r>
      <w:r>
        <w:rPr>
          <w:rFonts w:ascii="Times New Roman" w:hAnsi="Times New Roman"/>
          <w:color w:val="000000"/>
          <w:sz w:val="24"/>
        </w:rPr>
        <w:t>. No award under the Plan may be sold, transferred, pledged, assigned, or otherwise alienated or hypothecated, other than by will or by the laws of descent and distribution, and except as provided in Section 5.3. All rights with respect to an award granted to a Participant will be available during his or her lifetime only to the Participant.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7.</w:t>
      </w:r>
    </w:p>
    <w:p>
      <w:pPr>
        <w:pStyle w:val="TextBody"/>
        <w:bidi w:val="0"/>
        <w:spacing w:before="120" w:after="120"/>
        <w:jc w:val="both"/>
        <w:rPr/>
      </w:pPr>
      <w:r>
        <w:rPr>
          <w:rFonts w:ascii="Times New Roman" w:hAnsi="Times New Roman"/>
          <w:color w:val="000000"/>
          <w:sz w:val="24"/>
          <w:u w:val="single"/>
        </w:rPr>
        <w:t>Amendment, Termination, and Duration</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7.1.</w:t>
      </w:r>
    </w:p>
    <w:p>
      <w:pPr>
        <w:pStyle w:val="TextBody"/>
        <w:bidi w:val="0"/>
        <w:spacing w:before="120" w:after="120"/>
        <w:jc w:val="both"/>
        <w:rPr/>
      </w:pPr>
      <w:r>
        <w:rPr>
          <w:rFonts w:ascii="Times New Roman" w:hAnsi="Times New Roman"/>
          <w:color w:val="000000"/>
          <w:sz w:val="24"/>
          <w:u w:val="single"/>
        </w:rPr>
        <w:t>Amendment, Suspension, or Termination</w:t>
      </w:r>
      <w:r>
        <w:rPr>
          <w:rFonts w:ascii="Times New Roman" w:hAnsi="Times New Roman"/>
          <w:color w:val="000000"/>
          <w:sz w:val="24"/>
        </w:rPr>
        <w:t>. The Administrator may amend or terminate the Plan, or any part thereof, at any time and for any reason. The amendment, suspension or termination of the Plan will not, without the consent of the Participant, alter or impair any rights or obligations under any Actual Award earned by such Participant. No award may be granted during any period of suspension or after termination of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7.2.</w:t>
      </w:r>
    </w:p>
    <w:p>
      <w:pPr>
        <w:pStyle w:val="TextBody"/>
        <w:bidi w:val="0"/>
        <w:spacing w:before="120" w:after="120"/>
        <w:jc w:val="both"/>
        <w:rPr/>
      </w:pPr>
      <w:r>
        <w:rPr>
          <w:rFonts w:ascii="Times New Roman" w:hAnsi="Times New Roman"/>
          <w:color w:val="000000"/>
          <w:sz w:val="24"/>
          <w:u w:val="single"/>
        </w:rPr>
        <w:t>Duration of Plan</w:t>
      </w:r>
      <w:r>
        <w:rPr>
          <w:rFonts w:ascii="Times New Roman" w:hAnsi="Times New Roman"/>
          <w:color w:val="000000"/>
          <w:sz w:val="24"/>
        </w:rPr>
        <w:t>. The Plan will commence on the date first adopted by the Board or the Compensation Committee of the Board, and subject to Section 7.1 (regarding the Administrator’s right to amend or terminate the Plan), will remain in effect thereafter until terminated.</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8.</w:t>
      </w:r>
    </w:p>
    <w:p>
      <w:pPr>
        <w:pStyle w:val="TextBody"/>
        <w:bidi w:val="0"/>
        <w:spacing w:before="120" w:after="120"/>
        <w:jc w:val="both"/>
        <w:rPr/>
      </w:pPr>
      <w:r>
        <w:rPr>
          <w:rFonts w:ascii="Times New Roman" w:hAnsi="Times New Roman"/>
          <w:color w:val="000000"/>
          <w:sz w:val="24"/>
          <w:u w:val="single"/>
        </w:rPr>
        <w:t>Legal Construction</w:t>
      </w:r>
      <w:r>
        <w:rPr>
          <w:rFonts w:ascii="Times New Roman" w:hAnsi="Times New Roman"/>
          <w:color w:val="000000"/>
          <w:sz w:val="24"/>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8.1.</w:t>
      </w:r>
    </w:p>
    <w:p>
      <w:pPr>
        <w:pStyle w:val="TextBody"/>
        <w:bidi w:val="0"/>
        <w:spacing w:before="120" w:after="120"/>
        <w:jc w:val="both"/>
        <w:rPr/>
      </w:pPr>
      <w:r>
        <w:rPr>
          <w:rFonts w:ascii="Times New Roman" w:hAnsi="Times New Roman"/>
          <w:color w:val="000000"/>
          <w:sz w:val="24"/>
          <w:u w:val="single"/>
        </w:rPr>
        <w:t>Gender and Number</w:t>
      </w:r>
      <w:r>
        <w:rPr>
          <w:rFonts w:ascii="Times New Roman" w:hAnsi="Times New Roman"/>
          <w:color w:val="000000"/>
          <w:sz w:val="24"/>
        </w:rPr>
        <w:t>. Unless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8.2.</w:t>
      </w:r>
    </w:p>
    <w:p>
      <w:pPr>
        <w:pStyle w:val="TextBody"/>
        <w:bidi w:val="0"/>
        <w:spacing w:before="120" w:after="120"/>
        <w:jc w:val="both"/>
        <w:rPr/>
      </w:pPr>
      <w:r>
        <w:rPr>
          <w:rFonts w:ascii="Times New Roman" w:hAnsi="Times New Roman"/>
          <w:color w:val="000000"/>
          <w:sz w:val="24"/>
          <w:u w:val="single"/>
        </w:rPr>
        <w:t>Severability</w:t>
      </w:r>
      <w:r>
        <w:rPr>
          <w:rFonts w:ascii="Times New Roman" w:hAnsi="Times New Roman"/>
          <w:color w:val="000000"/>
          <w:sz w:val="24"/>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if the invalid, illegal, or unenforceable provision had not been included.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10.14</w:t>
      </w:r>
    </w:p>
    <w:p>
      <w:pPr>
        <w:pStyle w:val="TextBody"/>
        <w:bidi w:val="0"/>
        <w:spacing w:before="240" w:after="120"/>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120"/>
        <w:jc w:val="both"/>
        <w:rPr/>
      </w:pPr>
      <w:r>
        <w:rPr>
          <w:rFonts w:ascii="Times New Roman" w:hAnsi="Times New Roman"/>
          <w:color w:val="000000"/>
          <w:sz w:val="24"/>
          <w:u w:val="single"/>
        </w:rPr>
        <w:t>Governing Law</w:t>
      </w:r>
      <w:r>
        <w:rPr>
          <w:rFonts w:ascii="Times New Roman" w:hAnsi="Times New Roman"/>
          <w:color w:val="000000"/>
          <w:sz w:val="24"/>
        </w:rPr>
        <w:t>. The Plan and all awards will be construed in accordance with and governed by the laws of the State of Washington, but without regard to its conflict of law provisions.</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8.4.</w:t>
      </w:r>
    </w:p>
    <w:p>
      <w:pPr>
        <w:pStyle w:val="TextBody"/>
        <w:bidi w:val="0"/>
        <w:spacing w:before="120" w:after="120"/>
        <w:jc w:val="both"/>
        <w:rPr/>
      </w:pPr>
      <w:r>
        <w:rPr>
          <w:rFonts w:ascii="Times New Roman" w:hAnsi="Times New Roman"/>
          <w:color w:val="000000"/>
          <w:sz w:val="24"/>
          <w:u w:val="single"/>
        </w:rPr>
        <w:t>Bonus Plan</w:t>
      </w:r>
      <w:r>
        <w:rPr>
          <w:rFonts w:ascii="Times New Roman" w:hAnsi="Times New Roman"/>
          <w:color w:val="000000"/>
          <w:sz w:val="24"/>
        </w:rPr>
        <w:t>. The Plan is intended to be a “bonus program” as defined under U.S. Department of Labor regulations section 2510.3</w:t>
        <w:noBreakHyphen/>
        <w:t>2(c) and will be construed and administered in accordance with such intention.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8.5.</w:t>
      </w:r>
    </w:p>
    <w:p>
      <w:pPr>
        <w:pStyle w:val="TextBody"/>
        <w:bidi w:val="0"/>
        <w:spacing w:before="120" w:after="120"/>
        <w:jc w:val="both"/>
        <w:rPr/>
      </w:pPr>
      <w:r>
        <w:rPr>
          <w:rFonts w:ascii="Times New Roman" w:hAnsi="Times New Roman"/>
          <w:color w:val="000000"/>
          <w:sz w:val="24"/>
          <w:u w:val="single"/>
        </w:rPr>
        <w:t>Headings</w:t>
      </w:r>
      <w:r>
        <w:rPr>
          <w:rFonts w:ascii="Times New Roman" w:hAnsi="Times New Roman"/>
          <w:color w:val="000000"/>
          <w:sz w:val="24"/>
        </w:rPr>
        <w:t>. Headings are provided herein for convenience only, and will not serve as a basis for interpretation or construction of the Plan.</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9.</w:t>
      </w:r>
    </w:p>
    <w:p>
      <w:pPr>
        <w:pStyle w:val="TextBody"/>
        <w:bidi w:val="0"/>
        <w:spacing w:before="120" w:after="120"/>
        <w:jc w:val="both"/>
        <w:rPr/>
      </w:pPr>
      <w:r>
        <w:rPr>
          <w:rFonts w:ascii="Times New Roman" w:hAnsi="Times New Roman"/>
          <w:color w:val="000000"/>
          <w:sz w:val="24"/>
          <w:u w:val="single"/>
        </w:rPr>
        <w:t>Compliance with Applicable Laws</w:t>
      </w:r>
      <w:r>
        <w:rPr>
          <w:rFonts w:ascii="Times New Roman" w:hAnsi="Times New Roman"/>
          <w:color w:val="000000"/>
          <w:sz w:val="24"/>
        </w:rPr>
        <w:t>. Awards under the Plan (including without limitation the granting of such awards) will be subject to all applicable laws, rules and regulations, and to such approvals by any governmental agencies or national securities exchanges as may be required.</w:t>
      </w:r>
    </w:p>
    <w:p>
      <w:pPr>
        <w:pStyle w:val="TextBody"/>
        <w:bidi w:val="0"/>
        <w:spacing w:before="120" w:after="120"/>
        <w:jc w:val="center"/>
        <w:rPr>
          <w:rFonts w:ascii="Times New Roman" w:hAnsi="Times New Roman"/>
          <w:color w:val="000000"/>
          <w:sz w:val="24"/>
        </w:rPr>
      </w:pPr>
      <w:r>
        <w:rPr>
          <w:rFonts w:ascii="Times New Roman" w:hAnsi="Times New Roman"/>
          <w:color w:val="000000"/>
          <w:sz w:val="24"/>
        </w:rPr>
        <w:t>* * *</w:t>
      </w:r>
    </w:p>
    <w:p>
      <w:pPr>
        <w:pStyle w:val="TextBody"/>
        <w:bidi w:val="0"/>
        <w:spacing w:before="0" w:after="120"/>
        <w:jc w:val="center"/>
        <w:rPr/>
      </w:pPr>
      <w:r>
        <w:rPr/>
        <w:t> </w:t>
      </w:r>
    </w:p>
    <w:p>
      <w:pPr>
        <w:pStyle w:val="TextBody"/>
        <w:bidi w:val="0"/>
        <w:spacing w:before="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7" w:name="lona-ex10_23.htm"/>
      <w:bookmarkStart w:id="58" w:name="kslonaex10_23"/>
      <w:bookmarkEnd w:id="57"/>
      <w:bookmarkEnd w:id="58"/>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80" w:after="283"/>
        <w:jc w:val="center"/>
        <w:rPr>
          <w:rFonts w:ascii="Times New Roman" w:hAnsi="Times New Roman"/>
          <w:color w:val="000000"/>
          <w:sz w:val="24"/>
        </w:rPr>
      </w:pPr>
      <w:r>
        <w:rPr>
          <w:rFonts w:ascii="Times New Roman" w:hAnsi="Times New Roman"/>
          <w:color w:val="000000"/>
          <w:sz w:val="24"/>
        </w:rPr>
        <w:t>(As Amended and Restated on January 9, 2026)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Purposes of the Plan</w:t>
      </w:r>
      <w:r>
        <w:rPr>
          <w:rFonts w:ascii="Times New Roman" w:hAnsi="Times New Roman"/>
          <w:color w:val="000000"/>
          <w:sz w:val="24"/>
        </w:rPr>
        <w:t xml:space="preserve">. The purposes of this Plan are to attract and retain the best available personnel for positions of substantial responsibility by providing an inducement material to individuals entering into employment with the Company or any Parent or Subsidiary of the Company. </w:t>
      </w:r>
    </w:p>
    <w:p>
      <w:pPr>
        <w:pStyle w:val="TextBody"/>
        <w:bidi w:val="0"/>
        <w:spacing w:before="240" w:after="283"/>
        <w:jc w:val="both"/>
        <w:rPr>
          <w:rFonts w:ascii="Times New Roman" w:hAnsi="Times New Roman"/>
          <w:sz w:val="20"/>
        </w:rPr>
      </w:pPr>
      <w:r>
        <w:rPr>
          <w:rFonts w:ascii="Times New Roman" w:hAnsi="Times New Roman"/>
          <w:color w:val="000000"/>
          <w:sz w:val="24"/>
        </w:rPr>
        <w:t>The Plan permits the grant of Nonstatutory Stock Options, Stock Appreciation Rights, Restricted Stock, Restricted Stock Units and Performance Awards. Each Award under the Plan is intended to qualify as an employment inducement award under Nasdaq Listing Rule 5635(c)(4), the official regulations and other official interpretive material and guidance issued under such rule</w:t>
      </w:r>
      <w:r>
        <w:rPr>
          <w:rFonts w:ascii="Times New Roman" w:hAnsi="Times New Roman"/>
          <w:color w:val="000000"/>
          <w:sz w:val="20"/>
        </w:rPr>
        <w:t xml:space="preserve"> </w:t>
      </w:r>
      <w:r>
        <w:rPr>
          <w:rFonts w:ascii="Times New Roman" w:hAnsi="Times New Roman"/>
          <w:color w:val="000000"/>
          <w:sz w:val="24"/>
        </w:rPr>
        <w:t>(together, the “</w:t>
      </w:r>
      <w:r>
        <w:rPr>
          <w:rFonts w:ascii="Times New Roman" w:hAnsi="Times New Roman"/>
          <w:color w:val="000000"/>
          <w:sz w:val="24"/>
          <w:u w:val="single"/>
        </w:rPr>
        <w:t>Inducement Listing Rules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LeonaBio,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Rules.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Pursuant to the provisions of Section 4.3,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 All Options granted under the Plan will be Nonstatutory Stock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Performance Awards</w:t>
      </w:r>
      <w:r>
        <w:rPr>
          <w:color w:val="000000"/>
        </w:rPr>
        <w:t xml:space="preserve">” </w:t>
      </w:r>
      <w:bookmarkStart w:id="59" w:name="ole_link4"/>
      <w:bookmarkEnd w:id="59"/>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2024 Inducement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14, the maximum aggregate number of Shares that may be subject to Awards and sold under the Plan is 75,000 Shares. In addition, Shares may become available for issuance under Section 3.2.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Other than as provided above, the Plan will be administered by (A) the Board or (B) a Committee, which Committee will be constituted to comply with Applicable Laws. Until and unless determined otherwise by the Board, the Compensation Committee of the Board will have full authority to act as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both"/>
        <w:rPr/>
      </w:pPr>
      <w:r>
        <w:rPr>
          <w:rFonts w:ascii="Times New Roman" w:hAnsi="Times New Roman"/>
          <w:color w:val="000000"/>
          <w:sz w:val="24"/>
          <w:u w:val="single"/>
        </w:rPr>
        <w:t>Approval</w:t>
      </w:r>
      <w:r>
        <w:rPr>
          <w:rFonts w:ascii="Times New Roman" w:hAnsi="Times New Roman"/>
          <w:color w:val="000000"/>
          <w:sz w:val="24"/>
        </w:rPr>
        <w:t>. Awards granted under the Plan must be approved by a majority of the Company’s “Independent Directors” (within the meaning of the Inducement Listing Rules) or the Compensation Committee of the Board, in each case acting as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both"/>
        <w:rPr/>
      </w:pPr>
      <w:r>
        <w:rPr>
          <w:rFonts w:ascii="Times New Roman" w:hAnsi="Times New Roman"/>
          <w:color w:val="000000"/>
          <w:sz w:val="24"/>
          <w:u w:val="single"/>
        </w:rPr>
        <w:t>Delegation of Authority for Day-to-Day Administration</w:t>
      </w:r>
      <w:r>
        <w:rPr>
          <w:rFonts w:ascii="Times New Roman" w:hAnsi="Times New Roman"/>
          <w:color w:val="000000"/>
          <w:sz w:val="24"/>
        </w:rPr>
        <w:t>. Except to the extent prohibited by Applicable Laws and except to the extent provided by subsection 4.1.4, the Administrator may delegate to one or more individuals the day-to-day administration of the Plan and any of the functions assigned to it in this Plan. Such delegation may be revoked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individuals to whom Awards may be granted hereunder, subject to Section 5 (which Awards will be intended as a material inducement to the individual becoming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19.3), including but not limited to the discretionary authority to extend the post-termination exercisability period of Awards and to extend the maximum term of an Option or Stock Appreciation Right (subject to Sections 6.3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No Exchange Program</w:t>
      </w:r>
      <w:r>
        <w:rPr>
          <w:rFonts w:ascii="Times New Roman" w:hAnsi="Times New Roman"/>
          <w:color w:val="000000"/>
          <w:sz w:val="24"/>
        </w:rPr>
        <w:t>. Notwithstanding anything herein to the contrary,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Performance Shares and Performance Units may be granted to Employees, so long as the following requirements are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Employee was not previously an Employee or Director, or the Employee is to become employed by the Company or any of its Parents or Subsidiaries following a bona fide period of non-employment (within the meaning of the Inducement Listing Rules);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the Award or Awards is an inducement material to the Employee’s entering into employment with the Company (or any of its Parents or Subsidiaries, as applicable) in accordance with the Inducement Listing Rules.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xml:space="preserve">. Subject to the terms and provisions of the Plan, including without limitation the eligibility requirements of Section 5,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sz w:val="20"/>
        </w:rPr>
      </w:pPr>
      <w:r>
        <w:rPr>
          <w:rFonts w:ascii="Times New Roman" w:hAnsi="Times New Roman"/>
          <w:color w:val="000000"/>
          <w:sz w:val="24"/>
        </w:rPr>
        <w:t>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6.5.4,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Shares covered by the unvested portion of the Option will immediately revert to the Plan. If the Option is not so exercised within the time specified herein, the Option will terminate, and the Shares covered by such Option will revert to the Plan.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provisions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6.3 relating to exercise also will apply to Stock Appreciation Rights.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color w:val="000000"/>
          <w:sz w:val="24"/>
          <w:u w:val="single"/>
        </w:rPr>
        <w:t>Dividends and Other Distributions</w:t>
      </w:r>
      <w:r>
        <w:rPr>
          <w:rFonts w:ascii="Times New Roman" w:hAnsi="Times New Roman"/>
          <w:color w:val="000000"/>
          <w:sz w:val="24"/>
        </w:rPr>
        <w:t xml:space="preserve">. During the Period of Restriction, Service Providers holding Shares of Restricted Stock will be entitled to receive all dividends and other distributions paid with respect to such Shares, unless the Administrator provides otherwise. If any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Grant</w:t>
      </w:r>
      <w:r>
        <w:rPr>
          <w:rFonts w:ascii="Times New Roman" w:hAnsi="Times New Roman"/>
          <w:color w:val="000000"/>
          <w:sz w:val="24"/>
        </w:rPr>
        <w:t>. Subject to the terms and provisions of the Plan, including without limitation the eligibility requirements of Section 5, Restricted Stock Units may be granted at any time and from time to time as determined by the Administrator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Grant of Performance Awards</w:t>
      </w:r>
      <w:r>
        <w:rPr>
          <w:rFonts w:ascii="Times New Roman" w:hAnsi="Times New Roman"/>
          <w:color w:val="000000"/>
          <w:sz w:val="24"/>
        </w:rPr>
        <w:t xml:space="preserve">. Subject to the terms and provisions of the Plan, including without limitation the eligibility requirements of Section 5, Performance Awards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Award Agreement</w:t>
      </w:r>
      <w:r>
        <w:rPr>
          <w:rFonts w:ascii="Times New Roman" w:hAnsi="Times New Roman"/>
          <w:color w:val="000000"/>
          <w:sz w:val="24"/>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10.6</w:t>
      </w:r>
    </w:p>
    <w:p>
      <w:pPr>
        <w:pStyle w:val="TextBody"/>
        <w:bidi w:val="0"/>
        <w:spacing w:before="240" w:after="283"/>
        <w:jc w:val="both"/>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xml:space="preserve">. Unless the Administrator provides otherwise or as otherwise required by Applicable Laws, vesting of Awards granted hereunder will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suspended during any unpaid leave of absence. A Participant will not cease to be an Employee in the case of (a) any leave of absence approved by the Company or (b) transfers between locations of the Company or between the Company, its Parent, or any of its Subsidiaries.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Unless determined otherwise by the Administrator (and subject to the provisions of Section 4.3),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6.5),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14.3,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color w:val="000000"/>
          <w:sz w:val="24"/>
          <w:u w:val="single"/>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xml:space="preserve">. Neither the Plan nor any Award will confer upon a Participant any right with respect to continuing the Participant’s relationship as a Service Provider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The Plan will become effective upon its adoption by the Board or the designated Committee (as applicable). It will continue in effect for a term of ten (10) years from the date of the initial action by the Board or its designated Committee (as applicable) to adopt the Plan unless terminated earlier under Section 19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both"/>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that the Administrator (in its discretion) determines such approval is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19.3</w:t>
      </w:r>
    </w:p>
    <w:p>
      <w:pPr>
        <w:pStyle w:val="TextBody"/>
        <w:bidi w:val="0"/>
        <w:spacing w:before="240" w:after="283"/>
        <w:jc w:val="both"/>
        <w:rPr/>
      </w:pP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STOCK OPTION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LeonaBio,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shall have the same defined meanings in this Stock Option Agreement, which includes the Notice of Stock Option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Stock Option Grant, attached hereto as </w:t>
      </w:r>
      <w:r>
        <w:rPr>
          <w:rFonts w:ascii="Times New Roman" w:hAnsi="Times New Roman"/>
          <w:b/>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b/>
          <w:color w:val="000000"/>
          <w:sz w:val="24"/>
          <w:u w:val="single"/>
        </w:rPr>
        <w:t>Exhibit B</w:t>
      </w:r>
      <w:r>
        <w:rPr>
          <w:rFonts w:ascii="Times New Roman" w:hAnsi="Times New Roman"/>
          <w:color w:val="000000"/>
          <w:sz w:val="24"/>
        </w:rPr>
        <w:t>, and all other exhibits, appendices, and addenda attached hereto (together, the “</w:t>
      </w:r>
      <w:r>
        <w:rPr>
          <w:rFonts w:ascii="Times New Roman" w:hAnsi="Times New Roman"/>
          <w:color w:val="000000"/>
          <w:sz w:val="24"/>
          <w:u w:val="single"/>
        </w:rPr>
        <w:t>Option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Participant Name: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Option to purchase Common Stock of the Company, subject to the terms and conditions of the Plan and this Option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Grant Number: ____________________________________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Date of Grant: ____________________________________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Vesting Commencement Date: ____________________________________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Exercise Price per Share: $___________________________________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Total Number of Shares Granted: ____________________________________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Total Exercise Price: $___________________________________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Type of Option: ___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___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Term/Expiration Date: ____________________________________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Option Agreement or any other written agreement between Participant and the Company (or any Parent or Subsidiary of the Company, as applicable) governing the terms of this Option, this Option shall vest and be exercisable, in whole or in part, according to the following vesting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[Insert Vesting Schedule]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Termination Period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Option shall be exercisable, to the extent vested, for three (3) months after Participant ceases to be a Service Provider, unless (x) such cessation is due to Participant’s Disability, in which case this Option shall be exercisable, to the extent vested, for twelve (12) months after Participant ceases to be a Service Provider, or (y) such cessation is due to Participant’s death or Participant dies within three (3) months following such date of cessation, in which case this Option shall be exercisable, to the extent vested, for eighteen (18)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hAnsi="Times New Roman"/>
          <w:color w:val="000000"/>
          <w:sz w:val="24"/>
          <w:u w:val="single"/>
        </w:rPr>
        <w:t>Exhibit A</w:t>
      </w:r>
      <w:r>
        <w:rPr>
          <w:rFonts w:ascii="Times New Roman" w:hAnsi="Times New Roman"/>
          <w:color w:val="000000"/>
          <w:sz w:val="24"/>
        </w:rPr>
        <w:t xml:space="preserve">, the Exercise Notice, attached hereto as </w:t>
      </w:r>
      <w:r>
        <w:rPr>
          <w:rFonts w:ascii="Times New Roman" w:hAnsi="Times New Roman"/>
          <w:color w:val="000000"/>
          <w:sz w:val="24"/>
          <w:u w:val="single"/>
        </w:rPr>
        <w:t>Exhibit B</w:t>
      </w:r>
      <w:r>
        <w:rPr>
          <w:rFonts w:ascii="Times New Roman" w:hAnsi="Times New Roman"/>
          <w:color w:val="000000"/>
          <w:sz w:val="24"/>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LEONABIO, INC.</w:t>
      </w:r>
    </w:p>
    <w:p>
      <w:pPr>
        <w:pStyle w:val="TextBody"/>
        <w:bidi w:val="0"/>
        <w:spacing w:before="240" w:after="283"/>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 xml:space="preserve">_____________________________ _____________________________ </w:t>
      </w:r>
    </w:p>
    <w:p>
      <w:pPr>
        <w:pStyle w:val="TextBody"/>
        <w:bidi w:val="0"/>
        <w:jc w:val="left"/>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r>
        <w:rPr>
          <w:rFonts w:ascii="Times New Roman" w:hAnsi="Times New Roman"/>
          <w:color w:val="000000"/>
          <w:sz w:val="24"/>
        </w:rPr>
        <w:t>Signature</w:t>
      </w:r>
    </w:p>
    <w:p>
      <w:pPr>
        <w:pStyle w:val="TextBody"/>
        <w:bidi w:val="0"/>
        <w:spacing w:before="120" w:after="283"/>
        <w:jc w:val="left"/>
        <w:rPr>
          <w:rFonts w:ascii="Times New Roman" w:hAnsi="Times New Roman"/>
          <w:sz w:val="20"/>
        </w:rPr>
      </w:pPr>
      <w:r>
        <w:rPr>
          <w:rFonts w:ascii="Times New Roman" w:hAnsi="Times New Roman"/>
          <w:color w:val="000000"/>
          <w:sz w:val="24"/>
        </w:rPr>
        <w:t>_____________________________ 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Print Name</w:t>
      </w:r>
      <w:r>
        <w:rPr>
          <w:rFonts w:ascii="Times New Roman" w:hAnsi="Times New Roman"/>
          <w:color w:val="000000"/>
          <w:sz w:val="20"/>
        </w:rPr>
        <w:t xml:space="preserve"> </w:t>
      </w:r>
      <w:r>
        <w:rPr>
          <w:rFonts w:ascii="Times New Roman" w:hAnsi="Times New Roman"/>
          <w:color w:val="000000"/>
          <w:sz w:val="24"/>
        </w:rPr>
        <w:t>Print Name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_____________________________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Residence Address: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20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STOCK OPTION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rFonts w:ascii="Times New Roman" w:hAnsi="Times New Roman"/>
          <w:color w:val="000000"/>
          <w:sz w:val="24"/>
          <w:u w:val="single"/>
        </w:rPr>
        <w:t>Grant of Option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22.1.1</w:t>
      </w:r>
    </w:p>
    <w:p>
      <w:pPr>
        <w:pStyle w:val="TextBody"/>
        <w:bidi w:val="0"/>
        <w:spacing w:before="240" w:after="283"/>
        <w:jc w:val="both"/>
        <w:rPr/>
      </w:pPr>
      <w:r>
        <w:rPr>
          <w:rFonts w:ascii="Times New Roman" w:hAnsi="Times New Roman"/>
          <w:color w:val="000000"/>
          <w:sz w:val="24"/>
        </w:rPr>
        <w:t>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Stock Option Grant of this Option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an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the number of Shares set forth in the Notice of Grant, at the exercise price per Share set forth in the Notice of Grant (the “</w:t>
      </w:r>
      <w:r>
        <w:rPr>
          <w:rFonts w:ascii="Times New Roman" w:hAnsi="Times New Roman"/>
          <w:color w:val="000000"/>
          <w:sz w:val="24"/>
          <w:u w:val="single"/>
        </w:rPr>
        <w:t>Exercise Price</w:t>
      </w:r>
      <w:r>
        <w:rPr>
          <w:color w:val="000000"/>
        </w:rPr>
        <w:t>”</w:t>
      </w:r>
      <w:r>
        <w:rPr>
          <w:rFonts w:ascii="Times New Roman" w:hAnsi="Times New Roman"/>
          <w:color w:val="000000"/>
          <w:sz w:val="24"/>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22.1.2</w:t>
      </w:r>
    </w:p>
    <w:p>
      <w:pPr>
        <w:pStyle w:val="TextBody"/>
        <w:bidi w:val="0"/>
        <w:spacing w:before="240" w:after="283"/>
        <w:jc w:val="both"/>
        <w:rPr/>
      </w:pPr>
      <w:r>
        <w:rPr>
          <w:rFonts w:ascii="Times New Roman" w:hAnsi="Times New Roman"/>
          <w:color w:val="000000"/>
          <w:sz w:val="24"/>
        </w:rPr>
        <w:t>For U.S. taxpayers, if designated in the Notice of Grant as an Incentive Stock Option (“</w:t>
      </w:r>
      <w:r>
        <w:rPr>
          <w:rFonts w:ascii="Times New Roman" w:hAnsi="Times New Roman"/>
          <w:color w:val="000000"/>
          <w:sz w:val="24"/>
          <w:u w:val="single"/>
        </w:rPr>
        <w:t>ISO</w:t>
      </w:r>
      <w:r>
        <w:rPr>
          <w:color w:val="000000"/>
        </w:rPr>
        <w:t>”</w:t>
      </w:r>
      <w:r>
        <w:rPr>
          <w:rFonts w:ascii="Times New Roman" w:hAnsi="Times New Roman"/>
          <w:color w:val="000000"/>
          <w:sz w:val="24"/>
        </w:rPr>
        <w:t>), this Option is intended to qualify as an Incentive Stock Option as defined in Section 422 of the Code. Nevertheless, to the extent that it exceeds the $100,000 rule of Code Section 422(d), this Option shall be treated as a Nonstatutory Stock Option (“</w:t>
      </w:r>
      <w:r>
        <w:rPr>
          <w:rFonts w:ascii="Times New Roman" w:hAnsi="Times New Roman"/>
          <w:color w:val="000000"/>
          <w:sz w:val="24"/>
          <w:u w:val="single"/>
        </w:rPr>
        <w:t>NSO</w:t>
      </w:r>
      <w:r>
        <w:rPr>
          <w:color w:val="000000"/>
        </w:rPr>
        <w:t>”</w:t>
      </w:r>
      <w:r>
        <w:rPr>
          <w:rFonts w:ascii="Times New Roman" w:hAnsi="Times New Roman"/>
          <w:color w:val="000000"/>
          <w:sz w:val="24"/>
        </w:rPr>
        <w:t xml:space="preserve">).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22.1.3</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For non-U.S. taxpayers, the Option will be designated as an NSO.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3, the Option awarded by this Option Agreement will vest in accordance with the vesting provisions set forth in the Notice of Grant. Unless specifically provided otherwise in this Option Agreement or other written agreement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rFonts w:ascii="Times New Roman" w:hAnsi="Times New Roman"/>
          <w:color w:val="000000"/>
          <w:sz w:val="24"/>
          <w:u w:val="single"/>
        </w:rPr>
        <w:t>Administrator Discretion</w:t>
      </w:r>
      <w:r>
        <w:rPr>
          <w:rFonts w:ascii="Times New Roman" w:hAnsi="Times New Roman"/>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22.4.1</w:t>
      </w:r>
    </w:p>
    <w:p>
      <w:pPr>
        <w:pStyle w:val="TextBody"/>
        <w:bidi w:val="0"/>
        <w:spacing w:before="240" w:after="283"/>
        <w:jc w:val="both"/>
        <w:rPr/>
      </w:pPr>
      <w:r>
        <w:rPr>
          <w:rFonts w:ascii="Times New Roman" w:hAnsi="Times New Roman"/>
          <w:color w:val="000000"/>
          <w:sz w:val="24"/>
          <w:u w:val="single"/>
        </w:rPr>
        <w:t>Right to Exercise</w:t>
      </w:r>
      <w:r>
        <w:rPr>
          <w:rFonts w:ascii="Times New Roman" w:hAnsi="Times New Roman"/>
          <w:color w:val="000000"/>
          <w:sz w:val="24"/>
        </w:rPr>
        <w:t>. This Option shall be exercisable during its term in accordance with the Vesting Schedule set out in the Notice of Grant and with the applicable provisions of the Plan and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22.4.2</w:t>
      </w:r>
    </w:p>
    <w:p>
      <w:pPr>
        <w:pStyle w:val="TextBody"/>
        <w:bidi w:val="0"/>
        <w:spacing w:before="240" w:after="283"/>
        <w:jc w:val="both"/>
        <w:rPr/>
      </w:pPr>
      <w:r>
        <w:rPr>
          <w:rFonts w:ascii="Times New Roman" w:hAnsi="Times New Roman"/>
          <w:color w:val="000000"/>
          <w:sz w:val="24"/>
          <w:u w:val="single"/>
        </w:rPr>
        <w:t>Method of Exercise</w:t>
      </w:r>
      <w:r>
        <w:rPr>
          <w:rFonts w:ascii="Times New Roman" w:hAnsi="Times New Roman"/>
          <w:color w:val="000000"/>
          <w:sz w:val="24"/>
        </w:rPr>
        <w:t>. This Option shall be exercisable by delivery of an exercise notice (the “</w:t>
      </w:r>
      <w:r>
        <w:rPr>
          <w:rFonts w:ascii="Times New Roman" w:hAnsi="Times New Roman"/>
          <w:color w:val="000000"/>
          <w:sz w:val="24"/>
          <w:u w:val="single"/>
        </w:rPr>
        <w:t>Exercise Notice</w:t>
      </w:r>
      <w:r>
        <w:rPr>
          <w:color w:val="000000"/>
        </w:rPr>
        <w:t>”</w:t>
      </w:r>
      <w:r>
        <w:rPr>
          <w:rFonts w:ascii="Times New Roman" w:hAnsi="Times New Roman"/>
          <w:color w:val="000000"/>
          <w:sz w:val="24"/>
        </w:rPr>
        <w:t xml:space="preserve">) in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hAnsi="Times New Roman"/>
          <w:color w:val="000000"/>
          <w:sz w:val="24"/>
          <w:u w:val="single"/>
        </w:rPr>
        <w:t>Exercised Shares</w:t>
      </w:r>
      <w:r>
        <w:rPr>
          <w:color w:val="000000"/>
        </w:rPr>
        <w:t>”</w:t>
      </w:r>
      <w:r>
        <w:rPr>
          <w:rFonts w:ascii="Times New Roman" w:hAnsi="Times New Roman"/>
          <w:color w:val="000000"/>
          <w:sz w:val="24"/>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Tax Obligations (as defined below). This Option shall be deemed to be exercised upon receipt by the Company of such fully executed Exercise Notice accompanied by the aggregate Exercise Price, together with any applicable 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rFonts w:ascii="Times New Roman" w:hAnsi="Times New Roman"/>
          <w:color w:val="000000"/>
          <w:sz w:val="24"/>
          <w:u w:val="single"/>
        </w:rPr>
        <w:t>Method of Payment</w:t>
      </w:r>
      <w:r>
        <w:rPr>
          <w:rFonts w:ascii="Times New Roman" w:hAnsi="Times New Roman"/>
          <w:color w:val="000000"/>
          <w:sz w:val="24"/>
        </w:rPr>
        <w:t>. Payment of the aggregate Exercise Price shall be by any of the following, or a combination thereof, at the election of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cash;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check;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consideration received by the Company under a formal cashless exercise program adopted by the Company in connection with the Plan;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non-U.S. resident’s methods of exercise may be restricted by the terms and conditions of any appendix to this Agreement for Participant’s country (including the Country Addendum, as defined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rFonts w:ascii="Times New Roman" w:hAnsi="Times New Roman"/>
          <w:color w:val="000000"/>
          <w:sz w:val="24"/>
          <w:u w:val="single"/>
        </w:rPr>
        <w:t>Non-Transferability of Option</w:t>
      </w:r>
      <w:r>
        <w:rPr>
          <w:rFonts w:ascii="Times New Roman" w:hAnsi="Times New Roman"/>
          <w:color w:val="000000"/>
          <w:sz w:val="24"/>
        </w:rPr>
        <w:t xml:space="preserve">. This Option may not be transferred in any manner otherwise than by will or by the laws of descent or distribution and may be exercised during the lifetime of Participant only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This Option may be exercised only within the term set out in the Notice of Grant, and may be exercised during such term only in accordance with the Plan and the terms of this Option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rFonts w:ascii="Times New Roman" w:hAnsi="Times New Roman"/>
          <w:color w:val="000000"/>
          <w:sz w:val="24"/>
          <w:u w:val="single"/>
        </w:rPr>
        <w:t>Tax 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22.8.1</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22.8.2</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applicable Service Recipient(s)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Obligations withheld from Participant’s wages or other cash compensation paid to Participant by the applicable Service Recipient(s), (iv) delivering to the Company Shares that Participant owns and that have vested with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the Administrator will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have the right (but not the obligation) to satisfy any Tax Obligations by reducing the number of Shares otherwise deliverable to Participant.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22.8.3</w:t>
      </w:r>
    </w:p>
    <w:p>
      <w:pPr>
        <w:pStyle w:val="TextBody"/>
        <w:bidi w:val="0"/>
        <w:spacing w:before="240" w:after="283"/>
        <w:jc w:val="both"/>
        <w:rPr/>
      </w:pPr>
      <w:r>
        <w:rPr>
          <w:rFonts w:ascii="Times New Roman" w:hAnsi="Times New Roman"/>
          <w:color w:val="000000"/>
          <w:sz w:val="24"/>
          <w:u w:val="single"/>
        </w:rPr>
        <w:t>Notice of Disqualifying Disposition of ISO Shares</w:t>
      </w:r>
      <w:r>
        <w:rPr>
          <w:rFonts w:ascii="Times New Roman" w:hAnsi="Times New Roman"/>
          <w:color w:val="000000"/>
          <w:sz w:val="24"/>
        </w:rPr>
        <w:t xml:space="preserve">.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22.8.4</w:t>
      </w:r>
    </w:p>
    <w:p>
      <w:pPr>
        <w:pStyle w:val="TextBody"/>
        <w:bidi w:val="0"/>
        <w:spacing w:before="240" w:after="283"/>
        <w:jc w:val="both"/>
        <w:rPr/>
      </w:pP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hAnsi="Times New Roman"/>
          <w:color w:val="000000"/>
          <w:sz w:val="24"/>
          <w:u w:val="single"/>
        </w:rPr>
        <w:t>IRS</w:t>
      </w:r>
      <w:r>
        <w:rPr>
          <w:color w:val="000000"/>
        </w:rPr>
        <w:t>”</w:t>
      </w:r>
      <w:r>
        <w:rPr>
          <w:rFonts w:ascii="Times New Roman" w:hAnsi="Times New Roman"/>
          <w:color w:val="000000"/>
          <w:sz w:val="24"/>
        </w:rPr>
        <w:t>) to be less than the fair market value of an underlying share on the date of grant (a “</w:t>
      </w:r>
      <w:r>
        <w:rPr>
          <w:rFonts w:ascii="Times New Roman" w:hAnsi="Times New Roman"/>
          <w:color w:val="000000"/>
          <w:sz w:val="24"/>
          <w:u w:val="single"/>
        </w:rPr>
        <w:t>discount option</w:t>
      </w:r>
      <w:r>
        <w:rPr>
          <w:color w:val="000000"/>
        </w:rPr>
        <w:t>”</w:t>
      </w:r>
      <w:r>
        <w:rPr>
          <w:rFonts w:ascii="Times New Roman" w:hAnsi="Times New Roman"/>
          <w:color w:val="000000"/>
          <w:sz w:val="24"/>
        </w:rPr>
        <w:t xml:space="preserve">)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22.10</w:t>
      </w:r>
    </w:p>
    <w:p>
      <w:pPr>
        <w:pStyle w:val="TextBody"/>
        <w:bidi w:val="0"/>
        <w:spacing w:before="240" w:after="283"/>
        <w:jc w:val="both"/>
        <w:rPr/>
      </w:pPr>
      <w:r>
        <w:rPr>
          <w:rFonts w:ascii="Times New Roman" w:hAnsi="Times New Roman"/>
          <w:color w:val="000000"/>
          <w:sz w:val="24"/>
          <w:u w:val="single"/>
        </w:rPr>
        <w:t>Entire Agreement; Governing Law</w:t>
      </w:r>
      <w:r>
        <w:rPr>
          <w:rFonts w:ascii="Times New Roman" w:hAnsi="Times New Roman"/>
          <w:color w:val="000000"/>
          <w:sz w:val="24"/>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22.11</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PARTICIPANT ACKNOWLEDGES AND AGREES THAT THE VESTING OF SHARES PURSUANT TO THE VESTING SCHEDULE HEREOF IS EARNED ONLY BY CONTINUING AS A SERVICE PROVIDER, WHICH UNLESS PROVIDED OTHERWISE UNDER APPLICABLE LAWS IS AT THE WILL OF THE COMPANY (OR THE PARENT OR SUBSIDIARY EMPLOYING OR RETAINING PARTICIPANT)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22.12</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the Option,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Option is voluntary and occasional and does not create any contractual or other right to receive future grants of options, or benefits in lieu of options, even if options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option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 and any Shares acquired under the Plan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Option is unknown, indeterminable, and cannot be predicted with certainty;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underlying Shares do not increase in value, the Option will have no value;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Participant exercises the Option and acquires Shares, the value of such Shares may increase or decrease in value, even below the Exercise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Option, Participant’s status as a Service Provider will be considered terminated as of the date Participant is no longer actively providing services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Option and the Shares subject to the Option are not part of normal or expected compensation or salary for any purpose;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22.13</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22.14</w:t>
      </w:r>
    </w:p>
    <w:p>
      <w:pPr>
        <w:pStyle w:val="TextBody"/>
        <w:bidi w:val="0"/>
        <w:spacing w:before="240" w:after="283"/>
        <w:jc w:val="both"/>
        <w:rPr/>
      </w:pPr>
      <w:r>
        <w:rPr>
          <w:rFonts w:ascii="Times New Roman" w:hAnsi="Times New Roman"/>
          <w:b/>
          <w:color w:val="000000"/>
          <w:sz w:val="24"/>
          <w:u w:val="single"/>
        </w:rPr>
        <w:t>Data Privacy</w:t>
      </w:r>
      <w:r>
        <w:rPr>
          <w:rFonts w:ascii="Times New Roman" w:hAnsi="Times New Roman"/>
          <w:color w:val="000000"/>
          <w:sz w:val="24"/>
        </w:rPr>
        <w:t xml:space="preserve">. </w:t>
      </w:r>
      <w:r>
        <w:rPr>
          <w:rFonts w:ascii="Times New Roman" w:hAnsi="Times New Roman"/>
          <w:b/>
          <w:i/>
          <w:color w:val="000000"/>
          <w:sz w:val="24"/>
        </w:rPr>
        <w:t xml:space="preserve">Participant hereby explicitly and unambiguously consents to the collection, use and transfer, in electronic or other form, of Participant’s personal data as described in this Option Agreement and any other Option grant materials by and among, as applicable, the Service Recipients for the exclusive purpose of implementing, administering and managing Participant’s participation in the Plan. </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22.15</w:t>
      </w:r>
    </w:p>
    <w:p>
      <w:pPr>
        <w:pStyle w:val="TextBody"/>
        <w:bidi w:val="0"/>
        <w:spacing w:before="240" w:after="283"/>
        <w:jc w:val="both"/>
        <w:rPr/>
      </w:pPr>
      <w:r>
        <w:rPr>
          <w:rFonts w:ascii="Times New Roman" w:hAnsi="Times New Roman"/>
          <w:color w:val="000000"/>
          <w:sz w:val="24"/>
          <w:u w:val="single"/>
        </w:rPr>
        <w:t>Address for Notices</w:t>
      </w:r>
      <w:r>
        <w:rPr>
          <w:rFonts w:ascii="Times New Roman" w:hAnsi="Times New Roman"/>
          <w:color w:val="000000"/>
          <w:sz w:val="24"/>
        </w:rPr>
        <w:t xml:space="preserve">. Any notice to be given to the Company under the terms of this Option Agreement will be addressed to the Company at LeonaBio, Inc., 18706 North Creek Parkway, Suite 104, Bothell, WA 98011, or at such other address as the Company may hereafter designate in writing.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22.16</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the executors, administrators, heirs, successors and assigns of Participant. The rights and obligations of Participant under this Option Agreement may be assigned only with the prior written consent of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22.17</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22.18</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22.19</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22.20</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22.21</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22.22</w:t>
      </w:r>
    </w:p>
    <w:p>
      <w:pPr>
        <w:pStyle w:val="TextBody"/>
        <w:bidi w:val="0"/>
        <w:spacing w:before="240" w:after="283"/>
        <w:jc w:val="both"/>
        <w:rPr/>
      </w:pPr>
      <w:r>
        <w:rPr>
          <w:rFonts w:ascii="Times New Roman" w:hAnsi="Times New Roman"/>
          <w:color w:val="000000"/>
          <w:sz w:val="24"/>
          <w:u w:val="single"/>
        </w:rPr>
        <w:t>Option Agreement Severable</w:t>
      </w:r>
      <w:r>
        <w:rPr>
          <w:rFonts w:ascii="Times New Roman" w:hAnsi="Times New Roman"/>
          <w:color w:val="000000"/>
          <w:sz w:val="24"/>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22.23</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22.24</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22.25</w:t>
      </w:r>
    </w:p>
    <w:p>
      <w:pPr>
        <w:pStyle w:val="TextBody"/>
        <w:bidi w:val="0"/>
        <w:spacing w:before="240" w:after="283"/>
        <w:jc w:val="both"/>
        <w:rPr/>
      </w:pPr>
      <w:r>
        <w:rPr>
          <w:rFonts w:ascii="Times New Roman" w:hAnsi="Times New Roman"/>
          <w:color w:val="000000"/>
          <w:sz w:val="24"/>
          <w:u w:val="single"/>
        </w:rPr>
        <w:t>Modifications to the Option Agreement</w:t>
      </w:r>
      <w:r>
        <w:rPr>
          <w:rFonts w:ascii="Times New Roman" w:hAnsi="Times New Roman"/>
          <w:color w:val="000000"/>
          <w:sz w:val="24"/>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22.26</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22.27</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sz w:val="20"/>
        </w:rPr>
      </w:pPr>
      <w:r>
        <w:rPr>
          <w:rFonts w:ascii="Times New Roman" w:hAnsi="Times New Roman"/>
          <w:b/>
          <w:color w:val="000000"/>
          <w:sz w:val="24"/>
        </w:rPr>
        <w:t>2024 INDUCEMENT EQUITY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EXERCISE NOTICE</w:t>
      </w:r>
    </w:p>
    <w:p>
      <w:pPr>
        <w:pStyle w:val="TextBody"/>
        <w:bidi w:val="0"/>
        <w:jc w:val="both"/>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LeonaBio, Inc.</w:t>
      </w:r>
    </w:p>
    <w:p>
      <w:pPr>
        <w:pStyle w:val="TextBody"/>
        <w:bidi w:val="0"/>
        <w:jc w:val="left"/>
        <w:rPr>
          <w:rFonts w:ascii="Times New Roman" w:hAnsi="Times New Roman"/>
          <w:color w:val="000000"/>
          <w:sz w:val="24"/>
        </w:rPr>
      </w:pPr>
      <w:r>
        <w:rPr>
          <w:rFonts w:ascii="Times New Roman" w:hAnsi="Times New Roman"/>
          <w:color w:val="000000"/>
          <w:sz w:val="24"/>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Attention: [Finance Department]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 Effective as of today, ________________, ____, the undersigned (“</w:t>
      </w:r>
      <w:r>
        <w:rPr>
          <w:rFonts w:ascii="Times New Roman" w:hAnsi="Times New Roman"/>
          <w:color w:val="000000"/>
          <w:sz w:val="24"/>
          <w:u w:val="single"/>
        </w:rPr>
        <w:t>Participant</w:t>
      </w:r>
      <w:r>
        <w:rPr>
          <w:color w:val="000000"/>
        </w:rPr>
        <w:t>”</w:t>
      </w:r>
      <w:r>
        <w:rPr>
          <w:rFonts w:ascii="Times New Roman" w:hAnsi="Times New Roman"/>
          <w:color w:val="000000"/>
          <w:sz w:val="24"/>
        </w:rPr>
        <w:t>) hereby elects to exercise Participant’s option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________________ shares of the Common Stock (the “Shares”) of LeonaBio, Inc. (the “</w:t>
      </w:r>
      <w:r>
        <w:rPr>
          <w:rFonts w:ascii="Times New Roman" w:hAnsi="Times New Roman"/>
          <w:color w:val="000000"/>
          <w:sz w:val="24"/>
          <w:u w:val="single"/>
        </w:rPr>
        <w:t>Company</w:t>
      </w:r>
      <w:r>
        <w:rPr>
          <w:color w:val="000000"/>
        </w:rPr>
        <w:t>”</w:t>
      </w:r>
      <w:r>
        <w:rPr>
          <w:rFonts w:ascii="Times New Roman" w:hAnsi="Times New Roman"/>
          <w:color w:val="000000"/>
          <w:sz w:val="24"/>
        </w:rPr>
        <w:t>) under and pursuant to the 2024 Inducement Equity Incentive Plan (the “</w:t>
      </w:r>
      <w:r>
        <w:rPr>
          <w:rFonts w:ascii="Times New Roman" w:hAnsi="Times New Roman"/>
          <w:color w:val="000000"/>
          <w:sz w:val="24"/>
          <w:u w:val="single"/>
        </w:rPr>
        <w:t>Plan</w:t>
      </w:r>
      <w:r>
        <w:rPr>
          <w:color w:val="000000"/>
        </w:rPr>
        <w:t>”</w:t>
      </w:r>
      <w:r>
        <w:rPr>
          <w:rFonts w:ascii="Times New Roman" w:hAnsi="Times New Roman"/>
          <w:color w:val="000000"/>
          <w:sz w:val="24"/>
        </w:rPr>
        <w:t xml:space="preserve">) and the Stock Option Agreement dated ______________, _____, including the Notice of Stock Option Grant, and the Terms and Conditions of Stock Option Grant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thereto and other exhibits, appendices and addenda attached thereto (the “</w:t>
      </w:r>
      <w:r>
        <w:rPr>
          <w:rFonts w:ascii="Times New Roman" w:hAnsi="Times New Roman"/>
          <w:color w:val="000000"/>
          <w:sz w:val="24"/>
          <w:u w:val="single"/>
        </w:rPr>
        <w:t>Option Agreement</w:t>
      </w:r>
      <w:r>
        <w:rPr>
          <w:color w:val="000000"/>
        </w:rPr>
        <w:t>”</w:t>
      </w:r>
      <w:r>
        <w:rPr>
          <w:rFonts w:ascii="Times New Roman" w:hAnsi="Times New Roman"/>
          <w:color w:val="000000"/>
          <w:sz w:val="24"/>
        </w:rPr>
        <w:t xml:space="preserve">). Unless otherwise defined herein, capitalized terms used in this Exercise Notice will be ascribed the same defined meanings as set forth in the Option Agreement (or the Plan or other written agreement as specified in the Option Agreement). </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Delivery of Payment</w:t>
      </w:r>
      <w:r>
        <w:rPr>
          <w:rFonts w:ascii="Times New Roman" w:hAnsi="Times New Roman"/>
          <w:color w:val="000000"/>
          <w:sz w:val="24"/>
        </w:rPr>
        <w:t>. Participant herewith delivers to the Company the full purchase price of the Shares, as set forth in the Option Agreement, and any Tax Obligations to be paid in connection with the exercise of the Option.</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Representations of Participant</w:t>
      </w:r>
      <w:r>
        <w:rPr>
          <w:rFonts w:ascii="Times New Roman" w:hAnsi="Times New Roman"/>
          <w:color w:val="000000"/>
          <w:sz w:val="24"/>
        </w:rPr>
        <w:t>. Participant acknowledges that Participant has received, read and understood the Plan and the Option Agreement and agrees to abide by and be bound by their 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Rights as Stockholder</w:t>
      </w:r>
      <w:r>
        <w:rPr>
          <w:rFonts w:ascii="Times New Roman" w:hAnsi="Times New Roman"/>
          <w:color w:val="000000"/>
          <w:sz w:val="24"/>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Tax Consultation</w:t>
      </w:r>
      <w:r>
        <w:rPr>
          <w:rFonts w:ascii="Times New Roman" w:hAnsi="Times New Roman"/>
          <w:color w:val="000000"/>
          <w:sz w:val="24"/>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Interpretation</w:t>
      </w:r>
      <w:r>
        <w:rPr>
          <w:rFonts w:ascii="Times New Roman" w:hAnsi="Times New Roman"/>
          <w:color w:val="000000"/>
          <w:sz w:val="24"/>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Governing Law; Severability</w:t>
      </w:r>
      <w:r>
        <w:rPr>
          <w:rFonts w:ascii="Times New Roman" w:hAnsi="Times New Roman"/>
          <w:color w:val="000000"/>
          <w:sz w:val="24"/>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Entire Agreement</w:t>
      </w:r>
      <w:r>
        <w:rPr>
          <w:rFonts w:ascii="Times New Roman" w:hAnsi="Times New Roman"/>
          <w:color w:val="000000"/>
          <w:sz w:val="24"/>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Submitted by: Accepted by:</w:t>
      </w:r>
    </w:p>
    <w:p>
      <w:pPr>
        <w:pStyle w:val="TextBody"/>
        <w:bidi w:val="0"/>
        <w:jc w:val="both"/>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LEONABIO, INC.</w:t>
      </w:r>
    </w:p>
    <w:p>
      <w:pPr>
        <w:pStyle w:val="TextBody"/>
        <w:bidi w:val="0"/>
        <w:spacing w:before="240" w:after="283"/>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_____________________________ _________________________________</w:t>
        <w:br/>
      </w:r>
      <w:r>
        <w:rPr>
          <w:rFonts w:ascii="Times New Roman" w:hAnsi="Times New Roman"/>
          <w:color w:val="000000"/>
          <w:sz w:val="20"/>
        </w:rPr>
        <w:t>Signature By</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_____________________________ _________________________________ </w:t>
        <w:br/>
      </w:r>
      <w:r>
        <w:rPr>
          <w:rFonts w:ascii="Times New Roman" w:hAnsi="Times New Roman"/>
          <w:color w:val="000000"/>
          <w:sz w:val="20"/>
        </w:rPr>
        <w:t>Print Name Print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_______________________________________ Title</w:t>
      </w:r>
    </w:p>
    <w:p>
      <w:pPr>
        <w:pStyle w:val="TextBody"/>
        <w:bidi w:val="0"/>
        <w:spacing w:before="120" w:after="283"/>
        <w:jc w:val="both"/>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Address: Address: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_________________________________ ________________________________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 ________________________________</w:t>
      </w:r>
    </w:p>
    <w:p>
      <w:pPr>
        <w:pStyle w:val="TextBody"/>
        <w:bidi w:val="0"/>
        <w:jc w:val="both"/>
        <w:rPr>
          <w:rFonts w:ascii="Times New Roman" w:hAnsi="Times New Roman"/>
          <w:sz w:val="20"/>
        </w:rPr>
      </w:pPr>
      <w:r>
        <w:rPr>
          <w:rFonts w:ascii="Times New Roman" w:hAnsi="Times New Roman"/>
          <w:color w:val="000000"/>
          <w:sz w:val="24"/>
          <w:u w:val="single"/>
        </w:rPr>
        <w:br/>
      </w:r>
      <w:r>
        <w:rPr>
          <w:rFonts w:ascii="Times New Roman" w:hAnsi="Times New Roman"/>
          <w:color w:val="000000"/>
          <w:sz w:val="24"/>
        </w:rPr>
        <w:t xml:space="preserve">_________________________________ _________________________________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Date Received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sz w:val="20"/>
        </w:rPr>
      </w:pPr>
      <w:r>
        <w:rPr>
          <w:rFonts w:ascii="Times New Roman" w:hAnsi="Times New Roman"/>
          <w:b/>
          <w:color w:val="000000"/>
          <w:sz w:val="24"/>
        </w:rPr>
        <w:t>2024 INDUCEMENT EQUITY INCENTIVE PLAN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STOCK OPTION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Stock Option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Option Agreement of which this Country Addendum forms a part (or the Plan or other written agreement as specified in the Option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this Option awarded to Participant under the Plan if he or she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Options is granted, the Company, in its discretion, shall determine to what extent the terms and conditions contained herein shall apply to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also may include information regarding exchange controls and certain other issues of which Participant should be aware with respect to participation in the Plan. The information is based on the securities, exchange control, and other Applicable Laws in effect in the respective countries as of ______, 202_.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exercises the Option or sells Shares acquired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 particular result. Participant should seek appropriate professional advice as to how the Applicable Laws in Participant’s country may apply to his or her situation.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this Option is awarded, or is considered a resident of another country for local law purposes, the information in this Country Addendum may not apply to Participant in the same manner.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NOTICE OF RESTRICTED STOCK UNIT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LeonaBio,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will have the same defined meanings in this Restricted Stock Unit Agreement which includes the Notice of Restricted Stock Unit Grant (the “</w:t>
      </w:r>
      <w:r>
        <w:rPr>
          <w:rFonts w:ascii="Times New Roman" w:hAnsi="Times New Roman"/>
          <w:color w:val="000000"/>
          <w:sz w:val="24"/>
          <w:u w:val="single"/>
        </w:rPr>
        <w:t>Notice of Grant</w:t>
      </w:r>
      <w:r>
        <w:rPr>
          <w:rFonts w:ascii="Times New Roman" w:hAnsi="Times New Roman"/>
          <w:color w:val="000000"/>
          <w:sz w:val="20"/>
        </w:rPr>
        <w:t>”</w:t>
      </w:r>
      <w:r>
        <w:rPr>
          <w:rFonts w:ascii="Times New Roman" w:hAnsi="Times New Roman"/>
          <w:color w:val="000000"/>
          <w:sz w:val="24"/>
        </w:rPr>
        <w:t xml:space="preserve">),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(the “</w:t>
      </w:r>
      <w:r>
        <w:rPr>
          <w:rFonts w:ascii="Times New Roman" w:hAnsi="Times New Roman"/>
          <w:color w:val="000000"/>
          <w:sz w:val="24"/>
          <w:u w:val="single"/>
        </w:rPr>
        <w:t>Award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Participant Name: </w:t>
      </w:r>
    </w:p>
    <w:p>
      <w:pPr>
        <w:pStyle w:val="TextBody"/>
        <w:bidi w:val="0"/>
        <w:jc w:val="both"/>
        <w:rPr>
          <w:rFonts w:ascii="Times New Roman" w:hAnsi="Times New Roman"/>
          <w:b/>
          <w:color w:val="000000"/>
          <w:sz w:val="24"/>
        </w:rPr>
      </w:pPr>
      <w:r>
        <w:rPr>
          <w:rFonts w:ascii="Times New Roman" w:hAnsi="Times New Roman"/>
          <w:b/>
          <w:color w:val="000000"/>
          <w:sz w:val="24"/>
        </w:rPr>
        <w:t xml:space="preserve">Address: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Award of Restricted Stock Units, subject to the terms and conditions of the Plan and this Award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 Number: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Date of Grant: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Vesting Commencement Date: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Total Number of Restricted Stock Units: ______________________________</w:t>
      </w:r>
    </w:p>
    <w:p>
      <w:pPr>
        <w:pStyle w:val="TextBody"/>
        <w:bidi w:val="0"/>
        <w:spacing w:before="240" w:after="283"/>
        <w:jc w:val="both"/>
        <w:rPr>
          <w:rFonts w:ascii="Times New Roman" w:hAnsi="Times New Roman"/>
          <w:sz w:val="20"/>
        </w:rPr>
      </w:pPr>
      <w:r>
        <w:rPr>
          <w:rFonts w:ascii="Times New Roman" w:hAnsi="Times New Roman"/>
          <w:color w:val="000000"/>
          <w:sz w:val="24"/>
          <w:u w:val="single"/>
        </w:rPr>
        <w:t>Vesting Schedule</w:t>
      </w:r>
      <w:r>
        <w:rPr>
          <w:rFonts w:ascii="Times New Roman" w:hAnsi="Times New Roman"/>
          <w:color w:val="000000"/>
          <w:sz w:val="24"/>
        </w:rPr>
        <w:t>:</w:t>
      </w:r>
    </w:p>
    <w:p>
      <w:pPr>
        <w:pStyle w:val="TextBody"/>
        <w:bidi w:val="0"/>
        <w:spacing w:before="120" w:after="283"/>
        <w:jc w:val="both"/>
        <w:rPr>
          <w:rFonts w:ascii="Times New Roman" w:hAnsi="Times New Roman"/>
          <w:sz w:val="20"/>
        </w:rPr>
      </w:pPr>
      <w:r>
        <w:rPr>
          <w:rFonts w:ascii="Times New Roman" w:hAnsi="Times New Roman"/>
          <w:color w:val="000000"/>
          <w:sz w:val="24"/>
        </w:rPr>
        <w:t>For purposes of this Agreement, “</w:t>
      </w:r>
      <w:r>
        <w:rPr>
          <w:rFonts w:ascii="Times New Roman" w:hAnsi="Times New Roman"/>
          <w:color w:val="000000"/>
          <w:sz w:val="24"/>
          <w:u w:val="single"/>
        </w:rPr>
        <w:t>Quarterly Vesting Dates</w:t>
      </w:r>
      <w:r>
        <w:rPr>
          <w:rFonts w:ascii="Times New Roman" w:hAnsi="Times New Roman"/>
          <w:color w:val="000000"/>
          <w:sz w:val="20"/>
        </w:rPr>
        <w:t xml:space="preserve">” </w:t>
      </w:r>
      <w:r>
        <w:rPr>
          <w:rFonts w:ascii="Times New Roman" w:hAnsi="Times New Roman"/>
          <w:color w:val="000000"/>
          <w:sz w:val="24"/>
        </w:rPr>
        <w:t>with respect to any calendar year means [Month Day], [Month Day], [Month Day], and [Month Day], provided, to the extent any of such dates occurs on a weekend day or U.S. federal holiday, the Quarterly Vesting Date will be deemed to occur instead on the immediately following day that is not a weekend day or U.S. federal holiday.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Award Agreement or any other written agreement between Participant and the Company (or any Parent or Subsidiary of the Company, as applicable) governing the terms of this Award, the Restricted Stock Units will be scheduled to vest according to the following vesting schedule:</w:t>
      </w:r>
    </w:p>
    <w:p>
      <w:pPr>
        <w:pStyle w:val="TextBody"/>
        <w:bidi w:val="0"/>
        <w:spacing w:before="120" w:after="283"/>
        <w:jc w:val="both"/>
        <w:rPr>
          <w:rFonts w:ascii="Times New Roman" w:hAnsi="Times New Roman"/>
          <w:sz w:val="20"/>
        </w:rPr>
      </w:pPr>
      <w:r>
        <w:rPr>
          <w:rFonts w:ascii="Times New Roman" w:hAnsi="Times New Roman"/>
          <w:color w:val="000000"/>
          <w:sz w:val="24"/>
        </w:rPr>
        <w:t>[Insert Vesting Schedule]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hAnsi="Times New Roman"/>
          <w:color w:val="000000"/>
          <w:sz w:val="24"/>
          <w:u w:val="single"/>
        </w:rPr>
        <w:t>Exhibit A</w:t>
      </w:r>
      <w:r>
        <w:rPr>
          <w:rFonts w:ascii="Times New Roman" w:hAnsi="Times New Roman"/>
          <w:color w:val="000000"/>
          <w:sz w:val="24"/>
        </w:rPr>
        <w:t>, and all other exhibits, appendices and addenda attached hereto, all of which are made a part of this document. Participant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pStyle w:val="TextBody"/>
        <w:bidi w:val="0"/>
        <w:spacing w:before="240" w:after="283"/>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PARTICIPANT LEONABIO,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_____________________________ ________________________________ Signature</w:t>
      </w:r>
      <w:r>
        <w:rPr>
          <w:rFonts w:ascii="Times New Roman" w:hAnsi="Times New Roman"/>
          <w:color w:val="000000"/>
          <w:sz w:val="20"/>
        </w:rPr>
        <w:t xml:space="preserve"> </w:t>
      </w:r>
      <w:r>
        <w:rPr>
          <w:rFonts w:ascii="Times New Roman" w:hAnsi="Times New Roman"/>
          <w:color w:val="000000"/>
          <w:sz w:val="24"/>
        </w:rPr>
        <w:t>Signature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 ________________________________</w:t>
      </w:r>
    </w:p>
    <w:p>
      <w:pPr>
        <w:pStyle w:val="TextBody"/>
        <w:bidi w:val="0"/>
        <w:jc w:val="both"/>
        <w:rPr>
          <w:rFonts w:ascii="Times New Roman" w:hAnsi="Times New Roman"/>
          <w:sz w:val="20"/>
        </w:rPr>
      </w:pPr>
      <w:r>
        <w:rPr>
          <w:rFonts w:ascii="Times New Roman" w:hAnsi="Times New Roman"/>
          <w:color w:val="000000"/>
          <w:sz w:val="24"/>
        </w:rPr>
        <w:t>Print Name</w:t>
      </w:r>
      <w:r>
        <w:rPr>
          <w:rFonts w:ascii="Times New Roman" w:hAnsi="Times New Roman"/>
          <w:color w:val="000000"/>
          <w:sz w:val="20"/>
        </w:rPr>
        <w:t xml:space="preserve"> </w:t>
      </w:r>
      <w:r>
        <w:rPr>
          <w:rFonts w:ascii="Times New Roman" w:hAnsi="Times New Roman"/>
          <w:color w:val="000000"/>
          <w:sz w:val="24"/>
        </w:rPr>
        <w:t>Print Name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Title</w:t>
      </w:r>
    </w:p>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Residence Address: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______________________________</w:t>
      </w:r>
    </w:p>
    <w:p>
      <w:pPr>
        <w:pStyle w:val="TextBody"/>
        <w:bidi w:val="0"/>
        <w:spacing w:before="240" w:after="283"/>
        <w:jc w:val="both"/>
        <w:rPr/>
      </w:pPr>
      <w:r>
        <w:rPr/>
        <w:t>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TERMS AND CONDITIONS OF RESTRICTED STOCK UNIT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22.28</w:t>
      </w:r>
    </w:p>
    <w:p>
      <w:pPr>
        <w:pStyle w:val="TextBody"/>
        <w:bidi w:val="0"/>
        <w:spacing w:before="240" w:after="283"/>
        <w:jc w:val="both"/>
        <w:rPr/>
      </w:pPr>
      <w:r>
        <w:rPr>
          <w:rFonts w:ascii="Times New Roman" w:hAnsi="Times New Roman"/>
          <w:color w:val="000000"/>
          <w:sz w:val="24"/>
          <w:u w:val="single"/>
        </w:rPr>
        <w:t>Grant of Restricted Stock Units</w:t>
      </w:r>
      <w:r>
        <w:rPr>
          <w:rFonts w:ascii="Times New Roman" w:hAnsi="Times New Roman"/>
          <w:color w:val="000000"/>
          <w:sz w:val="24"/>
        </w:rPr>
        <w:t>. The Company hereby grants to the individual (“</w:t>
      </w:r>
      <w:r>
        <w:rPr>
          <w:rFonts w:ascii="Times New Roman" w:hAnsi="Times New Roman"/>
          <w:color w:val="000000"/>
          <w:sz w:val="24"/>
          <w:u w:val="single"/>
        </w:rPr>
        <w:t>Participant</w:t>
      </w:r>
      <w:r>
        <w:rPr>
          <w:color w:val="000000"/>
        </w:rPr>
        <w:t>”</w:t>
      </w:r>
      <w:r>
        <w:rPr>
          <w:rFonts w:ascii="Times New Roman" w:hAnsi="Times New Roman"/>
          <w:color w:val="000000"/>
          <w:sz w:val="24"/>
        </w:rPr>
        <w:t>) named in the Notice of Restricted Stock Unit Grant of this Award Agreement (the “</w:t>
      </w:r>
      <w:r>
        <w:rPr>
          <w:rFonts w:ascii="Times New Roman" w:hAnsi="Times New Roman"/>
          <w:color w:val="000000"/>
          <w:sz w:val="24"/>
          <w:u w:val="single"/>
        </w:rPr>
        <w:t>Notice of Grant</w:t>
      </w:r>
      <w:r>
        <w:rPr>
          <w:color w:val="000000"/>
        </w:rPr>
        <w:t>”</w:t>
      </w:r>
      <w:r>
        <w:rPr>
          <w:rFonts w:ascii="Times New Roman" w:hAnsi="Times New Roman"/>
          <w:color w:val="000000"/>
          <w:sz w:val="24"/>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22.29</w:t>
      </w:r>
    </w:p>
    <w:p>
      <w:pPr>
        <w:pStyle w:val="TextBody"/>
        <w:bidi w:val="0"/>
        <w:spacing w:before="240" w:after="283"/>
        <w:jc w:val="both"/>
        <w:rPr/>
      </w:pPr>
      <w:r>
        <w:rPr>
          <w:rFonts w:ascii="Times New Roman" w:hAnsi="Times New Roman"/>
          <w:color w:val="000000"/>
          <w:sz w:val="24"/>
          <w:u w:val="single"/>
        </w:rPr>
        <w:t>Company’s Obligation to Pay</w:t>
      </w:r>
      <w:r>
        <w:rPr>
          <w:rFonts w:ascii="Times New Roman" w:hAnsi="Times New Roman"/>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22.30</w:t>
      </w:r>
    </w:p>
    <w:p>
      <w:pPr>
        <w:pStyle w:val="TextBody"/>
        <w:bidi w:val="0"/>
        <w:spacing w:before="240" w:after="283"/>
        <w:jc w:val="both"/>
        <w:rPr/>
      </w:pPr>
      <w:r>
        <w:rPr>
          <w:rFonts w:ascii="Times New Roman" w:hAnsi="Times New Roman"/>
          <w:color w:val="000000"/>
          <w:sz w:val="24"/>
          <w:u w:val="single"/>
        </w:rPr>
        <w:t>Vesting Schedule</w:t>
      </w:r>
      <w:r>
        <w:rPr>
          <w:rFonts w:ascii="Times New Roman" w:hAnsi="Times New Roman"/>
          <w:color w:val="000000"/>
          <w:sz w:val="24"/>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22.31</w:t>
      </w:r>
    </w:p>
    <w:p>
      <w:pPr>
        <w:pStyle w:val="TextBody"/>
        <w:bidi w:val="0"/>
        <w:spacing w:before="240" w:after="283"/>
        <w:jc w:val="both"/>
        <w:rPr/>
      </w:pPr>
      <w:r>
        <w:rPr>
          <w:rFonts w:ascii="Times New Roman" w:hAnsi="Times New Roman"/>
          <w:color w:val="000000"/>
          <w:sz w:val="24"/>
          <w:u w:val="single"/>
        </w:rPr>
        <w:t>Payment after Vesting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General Rule</w:t>
      </w:r>
      <w:r>
        <w:rPr>
          <w:rFonts w:ascii="Times New Roman" w:hAnsi="Times New Roman"/>
          <w:color w:val="000000"/>
          <w:sz w:val="24"/>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22.31.2</w:t>
      </w:r>
    </w:p>
    <w:p>
      <w:pPr>
        <w:pStyle w:val="TextBody"/>
        <w:bidi w:val="0"/>
        <w:spacing w:before="240" w:after="283"/>
        <w:jc w:val="both"/>
        <w:rPr/>
      </w:pPr>
      <w:r>
        <w:rPr>
          <w:rFonts w:ascii="Times New Roman" w:hAnsi="Times New Roman"/>
          <w:color w:val="000000"/>
          <w:sz w:val="24"/>
          <w:u w:val="single"/>
        </w:rPr>
        <w:t>Discretionary Acceleration</w:t>
      </w:r>
      <w:r>
        <w:rPr>
          <w:rFonts w:ascii="Times New Roman" w:hAnsi="Times New Roman"/>
          <w:color w:val="000000"/>
          <w:sz w:val="24"/>
        </w:rPr>
        <w:t xml:space="preserve">.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22.31.3</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w:t>
      </w:r>
      <w:bookmarkStart w:id="60" w:name="ole_link31"/>
      <w:bookmarkEnd w:id="60"/>
      <w:r>
        <w:rPr>
          <w:rFonts w:ascii="Times New Roman" w:hAnsi="Times New Roman"/>
          <w:color w:val="000000"/>
          <w:sz w:val="24"/>
        </w:rPr>
        <w:t xml:space="preserve">, unless Participant dies following his or her termination as a Service Provider, in which case, the Restricted Stock Units will be paid in Shares to Participant’s estate as soon as practicable following his or her death.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bookmarkStart w:id="61" w:name="ole_link5"/>
      <w:bookmarkEnd w:id="61"/>
      <w:r>
        <w:rPr>
          <w:rFonts w:ascii="Times New Roman" w:hAnsi="Times New Roman"/>
          <w:color w:val="000000"/>
          <w:sz w:val="24"/>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w:t>
      </w:r>
      <w:r>
        <w:rPr>
          <w:color w:val="000000"/>
        </w:rPr>
        <w:t xml:space="preserve"> </w:t>
      </w:r>
      <w:r>
        <w:rPr>
          <w:rFonts w:ascii="Times New Roman" w:hAnsi="Times New Roman"/>
          <w:color w:val="000000"/>
          <w:sz w:val="24"/>
        </w:rPr>
        <w:t>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22.32</w:t>
      </w:r>
    </w:p>
    <w:p>
      <w:pPr>
        <w:pStyle w:val="TextBody"/>
        <w:bidi w:val="0"/>
        <w:spacing w:before="240" w:after="283"/>
        <w:jc w:val="both"/>
        <w:rPr/>
      </w:pPr>
      <w:r>
        <w:rPr>
          <w:rFonts w:ascii="Times New Roman" w:hAnsi="Times New Roman"/>
          <w:color w:val="000000"/>
          <w:sz w:val="24"/>
          <w:u w:val="single"/>
        </w:rPr>
        <w:t>Forfeiture Upon Termination as a Service Provider</w:t>
      </w:r>
      <w:r>
        <w:rPr>
          <w:rFonts w:ascii="Times New Roman" w:hAnsi="Times New Roman"/>
          <w:color w:val="000000"/>
          <w:sz w:val="24"/>
        </w:rPr>
        <w:t>. Unless specifically provided otherwise in this Award Agreement or other written agreement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22.33</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Any distribution or delivery to be made to Participant under this Award Agreement, if Participant is then deceased, will be made to Participant’s designated beneficiary, or if no beneficiary survives Participant, the administrator or executor of Participant’s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22.34</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color w:val="000000"/>
          <w:sz w:val="24"/>
          <w:u w:val="single"/>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hAnsi="Times New Roman"/>
          <w:color w:val="000000"/>
          <w:sz w:val="24"/>
          <w:u w:val="single"/>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xml:space="preserve">. Pursuant to such procedures as the Administrator may specify from time to time, the Service Recipient will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To the extent determined appropriate by the Administrator in its discretion, the Administrator will have the right (but not the obligation) to satisfy any Tax Obligations by reducing the number of Shares otherwise deliverable to Participant.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Company’s Obligation to Deliver Shares</w:t>
      </w:r>
      <w:r>
        <w:rPr>
          <w:rFonts w:ascii="Times New Roman" w:hAnsi="Times New Roman"/>
          <w:color w:val="000000"/>
          <w:sz w:val="24"/>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permanently will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22.35</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22.36</w:t>
      </w:r>
    </w:p>
    <w:p>
      <w:pPr>
        <w:pStyle w:val="TextBody"/>
        <w:bidi w:val="0"/>
        <w:spacing w:before="240" w:after="283"/>
        <w:jc w:val="both"/>
        <w:rPr/>
      </w:pPr>
      <w:r>
        <w:rPr>
          <w:rFonts w:ascii="Times New Roman" w:hAnsi="Times New Roman"/>
          <w:color w:val="000000"/>
          <w:sz w:val="24"/>
          <w:u w:val="single"/>
        </w:rPr>
        <w:t>No Guarantee of Continued Service</w:t>
      </w:r>
      <w:r>
        <w:rPr>
          <w:rFonts w:ascii="Times New Roman" w:hAnsi="Times New Roman"/>
          <w:color w:val="000000"/>
          <w:sz w:val="24"/>
        </w:rPr>
        <w:t xml:space="preserve">.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22.37</w:t>
      </w:r>
    </w:p>
    <w:p>
      <w:pPr>
        <w:pStyle w:val="TextBody"/>
        <w:bidi w:val="0"/>
        <w:spacing w:before="240" w:after="283"/>
        <w:jc w:val="both"/>
        <w:rPr/>
      </w:pPr>
      <w:r>
        <w:rPr>
          <w:rFonts w:ascii="Times New Roman" w:hAnsi="Times New Roman"/>
          <w:color w:val="000000"/>
          <w:sz w:val="24"/>
          <w:u w:val="single"/>
        </w:rPr>
        <w:t>Grant is Not Transferable</w:t>
      </w:r>
      <w:r>
        <w:rPr>
          <w:rFonts w:ascii="Times New Roman" w:hAnsi="Times New Roman"/>
          <w:color w:val="000000"/>
          <w:sz w:val="24"/>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w:t>
      </w:r>
    </w:p>
    <w:p>
      <w:pPr>
        <w:pStyle w:val="TextBody"/>
        <w:bidi w:val="0"/>
        <w:spacing w:before="240" w:after="283"/>
        <w:jc w:val="both"/>
        <w:rPr/>
      </w:pPr>
      <w:r>
        <w:rPr>
          <w:rFonts w:ascii="Times New Roman" w:hAnsi="Times New Roman"/>
          <w:color w:val="000000"/>
          <w:sz w:val="24"/>
          <w:u w:val="single"/>
        </w:rPr>
        <w:t>Nature of Grant</w:t>
      </w:r>
      <w:r>
        <w:rPr>
          <w:rFonts w:ascii="Times New Roman" w:hAnsi="Times New Roman"/>
          <w:color w:val="000000"/>
          <w:sz w:val="24"/>
        </w:rPr>
        <w:t>. In accepting this Award of Restricted Stock Units,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Restricted Stock Units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Restricted Stock Units is unknown, indeterminable and cannot be predicted;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pPr>
      <w:r>
        <w:rPr>
          <w:rFonts w:ascii="Times New Roman" w:hAnsi="Times New Roman"/>
          <w:color w:val="000000"/>
          <w:sz w:val="24"/>
        </w:rPr>
        <w:t>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22.38.9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part of normal or expected compensation or salary for any purpose;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22.39</w:t>
      </w:r>
    </w:p>
    <w:p>
      <w:pPr>
        <w:pStyle w:val="TextBody"/>
        <w:bidi w:val="0"/>
        <w:spacing w:before="240" w:after="283"/>
        <w:jc w:val="both"/>
        <w:rPr/>
      </w:pPr>
      <w:r>
        <w:rPr>
          <w:rFonts w:ascii="Times New Roman" w:hAnsi="Times New Roman"/>
          <w:color w:val="000000"/>
          <w:sz w:val="24"/>
          <w:u w:val="single"/>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22.40</w:t>
      </w:r>
    </w:p>
    <w:p>
      <w:pPr>
        <w:pStyle w:val="TextBody"/>
        <w:bidi w:val="0"/>
        <w:spacing w:before="240" w:after="283"/>
        <w:jc w:val="both"/>
        <w:rPr/>
      </w:pPr>
      <w:r>
        <w:rPr>
          <w:rFonts w:ascii="Times New Roman" w:hAnsi="Times New Roman"/>
          <w:b/>
          <w:i/>
          <w:color w:val="000000"/>
          <w:sz w:val="24"/>
          <w:u w:val="single"/>
        </w:rPr>
        <w:t>Data Privacy</w:t>
      </w:r>
      <w:r>
        <w:rPr>
          <w:rFonts w:ascii="Times New Roman" w:hAnsi="Times New Roman"/>
          <w:b/>
          <w:i/>
          <w:color w:val="000000"/>
          <w:sz w:val="24"/>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pStyle w:val="TextBody"/>
        <w:bidi w:val="0"/>
        <w:spacing w:before="240" w:after="283"/>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hAnsi="Times New Roman"/>
          <w:b/>
          <w:i/>
          <w:color w:val="000000"/>
          <w:sz w:val="24"/>
          <w:u w:val="single"/>
        </w:rPr>
        <w:t>Data</w:t>
      </w:r>
      <w:r>
        <w:rPr>
          <w:rFonts w:ascii="Times New Roman" w:hAnsi="Times New Roman"/>
          <w:color w:val="000000"/>
          <w:sz w:val="20"/>
        </w:rPr>
        <w:t>”</w:t>
      </w:r>
      <w:r>
        <w:rPr>
          <w:rFonts w:ascii="Times New Roman" w:hAnsi="Times New Roman"/>
          <w:b/>
          <w:i/>
          <w:color w:val="000000"/>
          <w:sz w:val="24"/>
        </w:rPr>
        <w:t>), for the exclusive purpose of implementing, administering and managing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22.41</w:t>
      </w:r>
    </w:p>
    <w:p>
      <w:pPr>
        <w:pStyle w:val="TextBody"/>
        <w:bidi w:val="0"/>
        <w:spacing w:before="240" w:after="283"/>
        <w:jc w:val="both"/>
        <w:rPr/>
      </w:pPr>
      <w:r>
        <w:rPr>
          <w:rFonts w:ascii="Times New Roman" w:hAnsi="Times New Roman"/>
          <w:color w:val="000000"/>
          <w:sz w:val="24"/>
          <w:u w:val="single"/>
        </w:rPr>
        <w:t>Address for Notices</w:t>
      </w:r>
      <w:r>
        <w:rPr>
          <w:rFonts w:ascii="Times New Roman" w:hAnsi="Times New Roman"/>
          <w:color w:val="000000"/>
          <w:sz w:val="24"/>
        </w:rPr>
        <w:t>. Any notice to be given to the Company under the terms of this Award Agreement will be addressed to the Company at LeonaBio, Inc., 18706 North Creek Parkway, Suite 104, Bothell, WA 98011, or at such other address as the Company may hereafter designate in writing.</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22.42</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22.43</w:t>
      </w:r>
    </w:p>
    <w:p>
      <w:pPr>
        <w:pStyle w:val="TextBody"/>
        <w:bidi w:val="0"/>
        <w:spacing w:before="240" w:after="283"/>
        <w:jc w:val="both"/>
        <w:rPr/>
      </w:pPr>
      <w:r>
        <w:rPr>
          <w:rFonts w:ascii="Times New Roman" w:hAnsi="Times New Roman"/>
          <w:color w:val="000000"/>
          <w:sz w:val="24"/>
          <w:u w:val="single"/>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22.44</w:t>
      </w:r>
    </w:p>
    <w:p>
      <w:pPr>
        <w:pStyle w:val="TextBody"/>
        <w:bidi w:val="0"/>
        <w:spacing w:before="240" w:after="283"/>
        <w:jc w:val="both"/>
        <w:rPr/>
      </w:pPr>
      <w:r>
        <w:rPr>
          <w:rFonts w:ascii="Times New Roman" w:hAnsi="Times New Roman"/>
          <w:color w:val="000000"/>
          <w:sz w:val="24"/>
          <w:u w:val="single"/>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22.45</w:t>
      </w:r>
    </w:p>
    <w:p>
      <w:pPr>
        <w:pStyle w:val="TextBody"/>
        <w:bidi w:val="0"/>
        <w:spacing w:before="240" w:after="283"/>
        <w:jc w:val="both"/>
        <w:rPr/>
      </w:pPr>
      <w:r>
        <w:rPr>
          <w:rFonts w:ascii="Times New Roman" w:hAnsi="Times New Roman"/>
          <w:color w:val="000000"/>
          <w:sz w:val="24"/>
          <w:u w:val="single"/>
        </w:rPr>
        <w:t>Interpretation</w:t>
      </w:r>
      <w:r>
        <w:rPr>
          <w:rFonts w:ascii="Times New Roman" w:hAnsi="Times New Roman"/>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22.46</w:t>
      </w:r>
    </w:p>
    <w:p>
      <w:pPr>
        <w:pStyle w:val="TextBody"/>
        <w:bidi w:val="0"/>
        <w:spacing w:before="240" w:after="283"/>
        <w:jc w:val="both"/>
        <w:rPr/>
      </w:pPr>
      <w:r>
        <w:rPr>
          <w:rFonts w:ascii="Times New Roman" w:hAnsi="Times New Roman"/>
          <w:color w:val="000000"/>
          <w:sz w:val="24"/>
          <w:u w:val="single"/>
        </w:rPr>
        <w:t>Electronic Delivery and Acceptance</w:t>
      </w:r>
      <w:r>
        <w:rPr>
          <w:rFonts w:ascii="Times New Roman" w:hAnsi="Times New Roman"/>
          <w:color w:val="000000"/>
          <w:sz w:val="24"/>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22.47</w:t>
      </w:r>
    </w:p>
    <w:p>
      <w:pPr>
        <w:pStyle w:val="TextBody"/>
        <w:bidi w:val="0"/>
        <w:spacing w:before="240" w:after="283"/>
        <w:jc w:val="both"/>
        <w:rPr/>
      </w:pPr>
      <w:r>
        <w:rPr>
          <w:rFonts w:ascii="Times New Roman" w:hAnsi="Times New Roman"/>
          <w:color w:val="000000"/>
          <w:sz w:val="24"/>
          <w:u w:val="single"/>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22.48</w:t>
      </w:r>
    </w:p>
    <w:p>
      <w:pPr>
        <w:pStyle w:val="TextBody"/>
        <w:bidi w:val="0"/>
        <w:spacing w:before="240" w:after="283"/>
        <w:jc w:val="both"/>
        <w:rPr/>
      </w:pPr>
      <w:r>
        <w:rPr>
          <w:rFonts w:ascii="Times New Roman" w:hAnsi="Times New Roman"/>
          <w:color w:val="000000"/>
          <w:sz w:val="24"/>
          <w:u w:val="single"/>
        </w:rPr>
        <w:t>Amendment, Suspension or Termination of the Plan</w:t>
      </w:r>
      <w:r>
        <w:rPr>
          <w:rFonts w:ascii="Times New Roman" w:hAnsi="Times New Roman"/>
          <w:color w:val="000000"/>
          <w:sz w:val="24"/>
        </w:rPr>
        <w:t xml:space="preserve">. By accepting this Award, Participant expressly warrants that he or she has received an Award of Restricted Stock Units under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22.49</w:t>
      </w:r>
    </w:p>
    <w:p>
      <w:pPr>
        <w:pStyle w:val="TextBody"/>
        <w:bidi w:val="0"/>
        <w:spacing w:before="240" w:after="283"/>
        <w:jc w:val="both"/>
        <w:rPr/>
      </w:pPr>
      <w:r>
        <w:rPr>
          <w:rFonts w:ascii="Times New Roman" w:hAnsi="Times New Roman"/>
          <w:color w:val="000000"/>
          <w:sz w:val="24"/>
          <w:u w:val="single"/>
        </w:rPr>
        <w:t>Country Addendum</w:t>
      </w:r>
      <w:r>
        <w:rPr>
          <w:rFonts w:ascii="Times New Roman" w:hAnsi="Times New Roman"/>
          <w:color w:val="000000"/>
          <w:sz w:val="24"/>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hAnsi="Times New Roman"/>
          <w:color w:val="000000"/>
          <w:sz w:val="24"/>
          <w:u w:val="single"/>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22.50</w:t>
      </w:r>
    </w:p>
    <w:p>
      <w:pPr>
        <w:pStyle w:val="TextBody"/>
        <w:bidi w:val="0"/>
        <w:spacing w:before="240" w:after="283"/>
        <w:jc w:val="both"/>
        <w:rPr/>
      </w:pPr>
      <w:r>
        <w:rPr>
          <w:rFonts w:ascii="Times New Roman" w:hAnsi="Times New Roman"/>
          <w:color w:val="000000"/>
          <w:sz w:val="24"/>
          <w:u w:val="single"/>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22.51</w:t>
      </w:r>
    </w:p>
    <w:p>
      <w:pPr>
        <w:pStyle w:val="TextBody"/>
        <w:bidi w:val="0"/>
        <w:spacing w:before="240" w:after="283"/>
        <w:jc w:val="both"/>
        <w:rPr/>
      </w:pPr>
      <w:r>
        <w:rPr>
          <w:rFonts w:ascii="Times New Roman" w:hAnsi="Times New Roman"/>
          <w:color w:val="000000"/>
          <w:sz w:val="24"/>
          <w:u w:val="single"/>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22.52</w:t>
      </w:r>
    </w:p>
    <w:p>
      <w:pPr>
        <w:pStyle w:val="TextBody"/>
        <w:bidi w:val="0"/>
        <w:spacing w:before="240" w:after="283"/>
        <w:jc w:val="both"/>
        <w:rPr/>
      </w:pPr>
      <w:r>
        <w:rPr>
          <w:rFonts w:ascii="Times New Roman" w:hAnsi="Times New Roman"/>
          <w:color w:val="000000"/>
          <w:sz w:val="24"/>
          <w:u w:val="single"/>
        </w:rPr>
        <w:t>Governing Law; Severability</w:t>
      </w:r>
      <w:r>
        <w:rPr>
          <w:rFonts w:ascii="Times New Roman" w:hAnsi="Times New Roman"/>
          <w:color w:val="000000"/>
          <w:sz w:val="24"/>
        </w:rPr>
        <w:t xml:space="preserve">.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22.53</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5"/>
        </w:rPr>
      </w:pPr>
      <w:r>
        <w:rPr>
          <w:rFonts w:ascii="Times New Roman" w:hAnsi="Times New Roman"/>
          <w:color w:val="000000"/>
          <w:sz w:val="15"/>
        </w:rPr>
        <w:t>4863-9554-1665.2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COUNTRY ADDENDUM TO RESTRICTED STOCK UNIT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Restricted Stock Unit Agreement (the “</w:t>
      </w:r>
      <w:r>
        <w:rPr>
          <w:rFonts w:ascii="Times New Roman" w:hAnsi="Times New Roman"/>
          <w:color w:val="000000"/>
          <w:sz w:val="24"/>
          <w:u w:val="single"/>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Unit Agreement of which this Country Addendum forms a part (or the Plan or other written agreement as specified in the Restricted Stock Unit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includes additional terms and conditions that govern the Award of Restricted Stock Units granted pursuant to the terms and conditions of the LeonaBio, Inc. 2024 Inducement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the Restricted Stock Unit Agreement to which this Country Addendum is attached (the “</w:t>
      </w:r>
      <w:r>
        <w:rPr>
          <w:rFonts w:ascii="Times New Roman" w:hAnsi="Times New Roman"/>
          <w:color w:val="000000"/>
          <w:sz w:val="24"/>
          <w:u w:val="single"/>
        </w:rPr>
        <w:t>Restricted Stock Unit Agreement</w:t>
      </w:r>
      <w:r>
        <w:rPr>
          <w:rFonts w:ascii="Times New Roman" w:hAnsi="Times New Roman"/>
          <w:color w:val="000000"/>
          <w:sz w:val="20"/>
        </w:rPr>
        <w:t>”</w:t>
      </w:r>
      <w:r>
        <w:rPr>
          <w:rFonts w:ascii="Times New Roman" w:hAnsi="Times New Roman"/>
          <w:color w:val="000000"/>
          <w:sz w:val="24"/>
        </w:rPr>
        <w:t>) to the extent the individual to whom the Restricted Stock Units were granted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resides and/or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Award of Restricted Stock Units is granted, the Company, in its discretion, will determine to what extent the terms and conditions contained herein will apply to the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2020.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62" w:name="lona-ex10_29.htm"/>
      <w:bookmarkStart w:id="63" w:name="kslonaex10_29"/>
      <w:bookmarkEnd w:id="62"/>
      <w:bookmarkEnd w:id="63"/>
      <w:r>
        <w:rPr>
          <w:rFonts w:ascii="Times New Roman" w:hAnsi="Times New Roman"/>
          <w:b/>
          <w:color w:val="000000"/>
          <w:sz w:val="24"/>
        </w:rPr>
        <w:t>Exhibit 10.29</w:t>
      </w:r>
      <w:r>
        <w:rPr>
          <w:rFonts w:ascii="Times New Roman" w:hAnsi="Times New Roman"/>
          <w:color w:val="000000"/>
          <w:sz w:val="20"/>
        </w:rPr>
        <w:t xml:space="preserve"> </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CERTAIN CONFIDENTIAL INFORMATION CONTAINED IN THIS DOCUMENT, MARKED BY </w:t>
      </w:r>
      <w:r>
        <w:rPr>
          <w:rFonts w:ascii="Times New Roman" w:hAnsi="Times New Roman"/>
          <w:color w:val="000000"/>
          <w:sz w:val="24"/>
        </w:rPr>
        <w:t>[***]</w:t>
      </w:r>
      <w:r>
        <w:rPr>
          <w:rFonts w:ascii="Times New Roman" w:hAnsi="Times New Roman"/>
          <w:b/>
          <w:color w:val="000000"/>
          <w:sz w:val="24"/>
        </w:rPr>
        <w:t>, HAS BEEN OMITTED BECAUSE IT IS BOTH (I) NOT MATERIAL AND (II) IS THE TYPE THAT LEONABIO, INC. TREATS AS PRIVATE AND CONFIDENTIAL</w:t>
      </w:r>
    </w:p>
    <w:p>
      <w:pPr>
        <w:pStyle w:val="TextBody"/>
        <w:bidi w:val="0"/>
        <w:jc w:val="center"/>
        <w:rPr/>
      </w:pPr>
      <w:r>
        <w:rPr/>
        <w:t> </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360"/>
        <w:jc w:val="both"/>
        <w:rPr>
          <w:rFonts w:ascii="Times New Roman" w:hAnsi="Times New Roman"/>
          <w:sz w:val="20"/>
        </w:rPr>
      </w:pPr>
      <w:r>
        <w:rPr>
          <w:rFonts w:ascii="Times New Roman" w:hAnsi="Times New Roman"/>
          <w:color w:val="000000"/>
          <w:sz w:val="24"/>
        </w:rPr>
        <w:t>This LICENSE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executed as of December 18,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Ligand Pharmaceuticals Incorporated, a corporation organized under the laws of Delaware and having a place of business at 555 Heritage Dr., Suite 200, Jupiter, FL 33458 (“</w:t>
      </w:r>
      <w:r>
        <w:rPr>
          <w:rFonts w:ascii="Times New Roman" w:hAnsi="Times New Roman"/>
          <w:color w:val="000000"/>
          <w:sz w:val="24"/>
          <w:u w:val="single"/>
        </w:rPr>
        <w:t>Ligand</w:t>
      </w:r>
      <w:r>
        <w:rPr>
          <w:rFonts w:ascii="Times New Roman" w:hAnsi="Times New Roman"/>
          <w:color w:val="000000"/>
          <w:sz w:val="20"/>
        </w:rPr>
        <w:t>”</w:t>
      </w:r>
      <w:r>
        <w:rPr>
          <w:rFonts w:ascii="Times New Roman" w:hAnsi="Times New Roman"/>
          <w:color w:val="000000"/>
          <w:sz w:val="24"/>
        </w:rPr>
        <w:t>) and Athira Pharma, Inc., a corporation organized under the laws of Delaware and having a place of business at 18706 North Creek Parkway, Suite 104, Bothell, WA, 98011(“</w:t>
      </w:r>
      <w:r>
        <w:rPr>
          <w:rFonts w:ascii="Times New Roman" w:hAnsi="Times New Roman"/>
          <w:color w:val="000000"/>
          <w:sz w:val="24"/>
          <w:u w:val="single"/>
        </w:rPr>
        <w:t>Licensee</w:t>
      </w:r>
      <w:r>
        <w:rPr>
          <w:rFonts w:ascii="Times New Roman" w:hAnsi="Times New Roman"/>
          <w:color w:val="000000"/>
          <w:sz w:val="20"/>
        </w:rPr>
        <w:t>”</w:t>
      </w:r>
      <w:r>
        <w:rPr>
          <w:rFonts w:ascii="Times New Roman" w:hAnsi="Times New Roman"/>
          <w:color w:val="000000"/>
          <w:sz w:val="24"/>
        </w:rPr>
        <w:t>). Ligand and Licensee are each referred to herein by name or, individually, as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or, collectively, as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BACKGROUND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Ligand Controls (as defined below) certain patent rights and know-how, which relate to Lasofoxifene (as defined below), including those rights it obtained pursuant to that certain Patent License Agreement by and between Ligand and Pfizer, Inc. (“</w:t>
      </w:r>
      <w:r>
        <w:rPr>
          <w:rFonts w:ascii="Times New Roman" w:hAnsi="Times New Roman"/>
          <w:color w:val="000000"/>
          <w:sz w:val="24"/>
          <w:u w:val="single"/>
        </w:rPr>
        <w:t>Pfizer</w:t>
      </w:r>
      <w:r>
        <w:rPr>
          <w:rFonts w:ascii="Times New Roman" w:hAnsi="Times New Roman"/>
          <w:color w:val="000000"/>
          <w:sz w:val="20"/>
        </w:rPr>
        <w:t>”</w:t>
      </w:r>
      <w:r>
        <w:rPr>
          <w:rFonts w:ascii="Times New Roman" w:hAnsi="Times New Roman"/>
          <w:color w:val="000000"/>
          <w:sz w:val="24"/>
        </w:rPr>
        <w:t>) dated July 15, 2011 (the “</w:t>
      </w:r>
      <w:r>
        <w:rPr>
          <w:rFonts w:ascii="Times New Roman" w:hAnsi="Times New Roman"/>
          <w:color w:val="000000"/>
          <w:sz w:val="24"/>
          <w:u w:val="single"/>
        </w:rPr>
        <w:t>Pfizer License</w:t>
      </w:r>
      <w:r>
        <w:rPr>
          <w:rFonts w:ascii="Times New Roman" w:hAnsi="Times New Roman"/>
          <w:color w:val="000000"/>
          <w:sz w:val="20"/>
        </w:rPr>
        <w:t>”</w:t>
      </w:r>
      <w:r>
        <w:rPr>
          <w:rFonts w:ascii="Times New Roman" w:hAnsi="Times New Roman"/>
          <w:color w:val="000000"/>
          <w:sz w:val="24"/>
        </w:rPr>
        <w:t>);</w:t>
      </w:r>
    </w:p>
    <w:p>
      <w:pPr>
        <w:pStyle w:val="TextBody"/>
        <w:bidi w:val="0"/>
        <w:spacing w:before="0" w:after="36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Ligand and Sermonix Pharmaceuticals, Inc. (“</w:t>
      </w:r>
      <w:r>
        <w:rPr>
          <w:rFonts w:ascii="Times New Roman" w:hAnsi="Times New Roman"/>
          <w:color w:val="000000"/>
          <w:sz w:val="24"/>
          <w:u w:val="single"/>
        </w:rPr>
        <w:t>Sermonix</w:t>
      </w:r>
      <w:r>
        <w:rPr>
          <w:rFonts w:ascii="Times New Roman" w:hAnsi="Times New Roman"/>
          <w:color w:val="000000"/>
          <w:sz w:val="20"/>
        </w:rPr>
        <w:t>”</w:t>
      </w:r>
      <w:r>
        <w:rPr>
          <w:rFonts w:ascii="Times New Roman" w:hAnsi="Times New Roman"/>
          <w:color w:val="000000"/>
          <w:sz w:val="24"/>
        </w:rPr>
        <w:t>) entered into a License Agreement, dated February 1, 2015 (as amended) (such date the “</w:t>
      </w:r>
      <w:r>
        <w:rPr>
          <w:rFonts w:ascii="Times New Roman" w:hAnsi="Times New Roman"/>
          <w:color w:val="000000"/>
          <w:sz w:val="24"/>
          <w:u w:val="single"/>
        </w:rPr>
        <w:t>Original Effective Date</w:t>
      </w:r>
      <w:r>
        <w:rPr>
          <w:rFonts w:ascii="Times New Roman" w:hAnsi="Times New Roman"/>
          <w:color w:val="000000"/>
          <w:sz w:val="20"/>
        </w:rPr>
        <w:t xml:space="preserve">” </w:t>
      </w:r>
      <w:r>
        <w:rPr>
          <w:rFonts w:ascii="Times New Roman" w:hAnsi="Times New Roman"/>
          <w:color w:val="000000"/>
          <w:sz w:val="24"/>
        </w:rPr>
        <w:t>and such agreement, the “</w:t>
      </w:r>
      <w:r>
        <w:rPr>
          <w:rFonts w:ascii="Times New Roman" w:hAnsi="Times New Roman"/>
          <w:color w:val="000000"/>
          <w:sz w:val="24"/>
          <w:u w:val="single"/>
        </w:rPr>
        <w:t>Original Agreement</w:t>
      </w:r>
      <w:r>
        <w:rPr>
          <w:rFonts w:ascii="Times New Roman" w:hAnsi="Times New Roman"/>
          <w:color w:val="000000"/>
          <w:sz w:val="20"/>
        </w:rPr>
        <w:t>”</w:t>
      </w:r>
      <w:r>
        <w:rPr>
          <w:rFonts w:ascii="Times New Roman" w:hAnsi="Times New Roman"/>
          <w:color w:val="000000"/>
          <w:sz w:val="24"/>
        </w:rPr>
        <w:t>) pursuant to which Ligand granted to Sermonix a worldwide exclusive license, under such patent rights and know-how, to develop and commercialize Lasofoxifene;</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Licensee and Sermonix are entering into a transaction pursuant to which Licensee is obtaining the exclusive right to develop and commercialize Lasofoxifene in the Territory (as defined below) (the “</w:t>
      </w:r>
      <w:r>
        <w:rPr>
          <w:rFonts w:ascii="Times New Roman" w:hAnsi="Times New Roman"/>
          <w:color w:val="000000"/>
          <w:sz w:val="24"/>
          <w:u w:val="single"/>
        </w:rPr>
        <w:t>Sermonix-Athira License</w:t>
      </w:r>
      <w:r>
        <w:rPr>
          <w:rFonts w:ascii="Times New Roman" w:hAnsi="Times New Roman"/>
          <w:color w:val="000000"/>
          <w:sz w:val="20"/>
        </w:rPr>
        <w:t>”</w:t>
      </w:r>
      <w:r>
        <w:rPr>
          <w:rFonts w:ascii="Times New Roman" w:hAnsi="Times New Roman"/>
          <w:color w:val="000000"/>
          <w:sz w:val="24"/>
        </w:rPr>
        <w:t>) and, instead of receiving a sublicense from Sermonix under the Original Agreement, Licensee desires to obtain directly from Ligand an exclusive license, under Ligand’s patent rights and know-how, to develop and commercialize Lasofoxifene in the Territory and Sermonix desires to amend and restate the Original License Agreement to exclude the Territory;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Ligand desires to grant such license to Licensee, all in accordance with the terms and conditions herein, and to separately enter into such amended and restated agreement (the “</w:t>
      </w:r>
      <w:r>
        <w:rPr>
          <w:rFonts w:ascii="Times New Roman" w:hAnsi="Times New Roman"/>
          <w:color w:val="000000"/>
          <w:sz w:val="24"/>
          <w:u w:val="single"/>
        </w:rPr>
        <w:t>A&amp;R Agreement</w:t>
      </w:r>
      <w:r>
        <w:rPr>
          <w:rFonts w:ascii="Times New Roman" w:hAnsi="Times New Roman"/>
          <w:color w:val="000000"/>
          <w:sz w:val="20"/>
        </w:rPr>
        <w:t>”</w:t>
      </w:r>
      <w:r>
        <w:rPr>
          <w:rFonts w:ascii="Times New Roman" w:hAnsi="Times New Roman"/>
          <w:color w:val="000000"/>
          <w:sz w:val="24"/>
        </w:rPr>
        <w:t>) with Sermonix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covenants and agreements provided herein below and other consideration, the receipt and sufficiency of which is hereby acknowledged, Ligand and Licensee hereby agree as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120"/>
        <w:jc w:val="center"/>
        <w:rPr>
          <w:rFonts w:ascii="Times New Roman" w:hAnsi="Times New Roman"/>
          <w:b/>
          <w:color w:val="000000"/>
          <w:sz w:val="24"/>
        </w:rPr>
      </w:pPr>
      <w:r>
        <w:rPr>
          <w:rFonts w:ascii="Times New Roman" w:hAnsi="Times New Roman"/>
          <w:b/>
          <w:color w:val="000000"/>
          <w:sz w:val="24"/>
        </w:rPr>
        <w:t>ARTICLE 1</w:t>
      </w:r>
    </w:p>
    <w:p>
      <w:pPr>
        <w:pStyle w:val="TextBody"/>
        <w:bidi w:val="0"/>
        <w:spacing w:before="240" w:after="120"/>
        <w:jc w:val="center"/>
        <w:rPr/>
      </w:pPr>
      <w:r>
        <w:rPr>
          <w:rFonts w:ascii="Times New Roman" w:hAnsi="Times New Roman"/>
          <w:b/>
          <w:caps/>
          <w:color w:val="000000"/>
          <w:sz w:val="24"/>
          <w:u w:val="single"/>
        </w:rPr>
        <w:br/>
      </w:r>
      <w:r>
        <w:rPr>
          <w:rFonts w:ascii="Times New Roman" w:hAnsi="Times New Roman"/>
          <w:b/>
          <w:caps/>
          <w:color w:val="000000"/>
          <w:sz w:val="24"/>
        </w:rPr>
        <w:t>DEFINITIONS</w:t>
      </w:r>
    </w:p>
    <w:p>
      <w:pPr>
        <w:pStyle w:val="TextBody"/>
        <w:bidi w:val="0"/>
        <w:spacing w:before="120" w:after="283"/>
        <w:jc w:val="both"/>
        <w:rPr>
          <w:rFonts w:ascii="Times New Roman" w:hAnsi="Times New Roman"/>
          <w:sz w:val="20"/>
        </w:rPr>
      </w:pPr>
      <w:r>
        <w:rPr>
          <w:rFonts w:ascii="Times New Roman" w:hAnsi="Times New Roman"/>
          <w:color w:val="000000"/>
          <w:sz w:val="24"/>
        </w:rPr>
        <w:t>As used in this Agreement, capitalized terms shall have the meanings indicated in this Article 1 or as specified elsewhere in this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color w:val="000000"/>
        </w:rPr>
        <w:t>“</w:t>
      </w:r>
      <w:r>
        <w:rPr>
          <w:rFonts w:ascii="Times New Roman" w:hAnsi="Times New Roman"/>
          <w:color w:val="000000"/>
          <w:sz w:val="24"/>
          <w:u w:val="single"/>
        </w:rPr>
        <w:t>Additional Third Party License</w:t>
      </w:r>
      <w:r>
        <w:rPr>
          <w:color w:val="000000"/>
        </w:rPr>
        <w:t xml:space="preserve">” </w:t>
      </w:r>
      <w:r>
        <w:rPr>
          <w:rFonts w:ascii="Times New Roman" w:hAnsi="Times New Roman"/>
          <w:color w:val="000000"/>
          <w:sz w:val="24"/>
        </w:rPr>
        <w:t>has the meaning set forth in Section 3.4(g).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 xml:space="preserve">means, with respect to a Person, any Person that is controlled by, controls, or is under common control with such first Person, as the case may be. For purposes of this Section1.2, the term “control” means (a) direct or indirect ownership of fifty percent (50%) or more of the voting interest in the entity in question, or fifty percent (50%) or more interest in the income of the entity in question;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local Law requires a minimum percentage of local ownership of greater than fifty percent (50%), control will be established by direct or indirect beneficial ownership of one hundred percent (100%) of the maximum ownership percentage that may, under such local Law, be owned by foreign interests, or (b) possession, directly or indirectly, of the power to direct or cause the direction of management or policies of the entity in question (whether through ownership of securities or other ownership interests, by contract or otherwise).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color w:val="000000"/>
        </w:rPr>
        <w:t>“</w:t>
      </w:r>
      <w:r>
        <w:rPr>
          <w:rFonts w:ascii="Times New Roman" w:hAnsi="Times New Roman"/>
          <w:color w:val="000000"/>
          <w:sz w:val="24"/>
          <w:u w:val="single"/>
        </w:rPr>
        <w:t>Challenge</w:t>
      </w:r>
      <w:r>
        <w:rPr>
          <w:color w:val="000000"/>
        </w:rPr>
        <w:t xml:space="preserve">” </w:t>
      </w:r>
      <w:r>
        <w:rPr>
          <w:rFonts w:ascii="Times New Roman" w:hAnsi="Times New Roman"/>
          <w:color w:val="000000"/>
          <w:sz w:val="24"/>
        </w:rPr>
        <w:t>means if Licensee, its Affiliates or any Sublicensee: (a) institutes, or causes its counsel to institute, any interference, opposition, re-examination, review or similar proceeding with respect to any Licensed Patent with the U.S. Patent and Trademark Office or any foreign patent office; (b) makes any filing or institutes any legal proceeding, or causes its counsel to make any filing or institute any legal proceeding, with a court or other governmental body (including, the U.S. Patent and Trademark Office or any foreign patent office) in which one or more claims or allegations challenges the validity or enforceability of any Licensed Patent; or (c) makes any filing with or certification to, or causes its representative to make any filing with or certification to, the FDA pursuant to 21 U.S.C. § 355(b)(2)(A)(iv) or 21 U.S.C. § 355(j)(2)(A)(vii)(IV) with respect to any Licensed Patent.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0" w:after="283"/>
        <w:jc w:val="both"/>
        <w:rPr/>
      </w:pPr>
      <w:r>
        <w:rPr>
          <w:color w:val="000000"/>
        </w:rPr>
        <w:t>“</w:t>
      </w:r>
      <w:r>
        <w:rPr>
          <w:rFonts w:ascii="Times New Roman" w:hAnsi="Times New Roman"/>
          <w:color w:val="000000"/>
          <w:sz w:val="24"/>
          <w:u w:val="single"/>
        </w:rPr>
        <w:t>Change of Control</w:t>
      </w:r>
      <w:r>
        <w:rPr>
          <w:color w:val="000000"/>
        </w:rPr>
        <w:t xml:space="preserve">” </w:t>
      </w:r>
      <w:r>
        <w:rPr>
          <w:rFonts w:ascii="Times New Roman" w:hAnsi="Times New Roman"/>
          <w:color w:val="000000"/>
          <w:sz w:val="24"/>
        </w:rPr>
        <w:t>means, with respect to a Party, (a) a merger or consolidation of such Party with a Third Party which results in the stockholders or equity holders of such Party not owning at least fifty percent (50%) of the combined voting power of the surviving entity immediately after such merger or consolidation, or (b) except in the case of a bona fide equity or debt financings, whether private or public, in which a Party issues new shares of its capital stock or securities convertible into shares of such Party,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of all or substantially all of such Party’s business to which the subject matter of this Agreement relates.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240" w:after="283"/>
        <w:jc w:val="both"/>
        <w:rPr/>
      </w:pPr>
      <w:r>
        <w:rPr>
          <w:color w:val="000000"/>
        </w:rPr>
        <w:t>“</w:t>
      </w:r>
      <w:r>
        <w:rPr>
          <w:rFonts w:ascii="Times New Roman" w:hAnsi="Times New Roman"/>
          <w:color w:val="000000"/>
          <w:sz w:val="24"/>
          <w:u w:val="single"/>
        </w:rPr>
        <w:t>Clinical Trial</w:t>
      </w:r>
      <w:r>
        <w:rPr>
          <w:color w:val="000000"/>
        </w:rPr>
        <w:t xml:space="preserve">” </w:t>
      </w:r>
      <w:r>
        <w:rPr>
          <w:rFonts w:ascii="Times New Roman" w:hAnsi="Times New Roman"/>
          <w:color w:val="000000"/>
          <w:sz w:val="24"/>
        </w:rPr>
        <w:t xml:space="preserve">means an investigation in human subjects and/or patients intended to discover or verify the clinical, pharmacological and/or other pharmacodynamic effects of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Product, and/or to identify any adverse reactions to Product, and/or to study absorption, distribution, metabolism, and/or excretion of Product with the objective of ascertaining its safety, activity and/or efficacy.</w:t>
      </w:r>
    </w:p>
    <w:p>
      <w:pPr>
        <w:pStyle w:val="Heading2"/>
        <w:bidi w:val="0"/>
        <w:spacing w:before="240" w:after="283"/>
        <w:jc w:val="both"/>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240" w:after="283"/>
        <w:jc w:val="both"/>
        <w:rPr/>
      </w:pPr>
      <w:r>
        <w:rPr>
          <w:color w:val="000000"/>
        </w:rPr>
        <w:t>“</w:t>
      </w:r>
      <w:r>
        <w:rPr>
          <w:rFonts w:ascii="Times New Roman" w:hAnsi="Times New Roman"/>
          <w:color w:val="000000"/>
          <w:sz w:val="24"/>
          <w:u w:val="single"/>
        </w:rPr>
        <w:t>Commercially Reasonable Efforts</w:t>
      </w:r>
      <w:r>
        <w:rPr>
          <w:color w:val="000000"/>
        </w:rPr>
        <w:t xml:space="preserve">” </w:t>
      </w:r>
      <w:r>
        <w:rPr>
          <w:rFonts w:ascii="Times New Roman" w:hAnsi="Times New Roman"/>
          <w:color w:val="000000"/>
          <w:sz w:val="24"/>
        </w:rPr>
        <w:t xml:space="preserve">means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240" w:after="283"/>
        <w:jc w:val="both"/>
        <w:rPr/>
      </w:pPr>
      <w:r>
        <w:rPr>
          <w:color w:val="000000"/>
        </w:rPr>
        <w:t>“</w:t>
      </w:r>
      <w:r>
        <w:rPr>
          <w:rFonts w:ascii="Times New Roman" w:hAnsi="Times New Roman"/>
          <w:color w:val="000000"/>
          <w:sz w:val="24"/>
          <w:u w:val="single"/>
        </w:rPr>
        <w:t>Confidential Information</w:t>
      </w:r>
      <w:r>
        <w:rPr>
          <w:color w:val="000000"/>
        </w:rPr>
        <w:t xml:space="preserve">” </w:t>
      </w:r>
      <w:r>
        <w:rPr>
          <w:rFonts w:ascii="Times New Roman" w:hAnsi="Times New Roman"/>
          <w:color w:val="000000"/>
          <w:sz w:val="24"/>
        </w:rPr>
        <w:t>means any information of a confidential and proprietary nature, including know-how, information, invention disclosures, patent applications, proprietary materials and/or technologies, economic information, business or research strategies, trade secrets, and material embodiments thereof, disclosed by a Party to the other Party and characterized to the receiving Party as confidential. For clarity,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240" w:after="283"/>
        <w:jc w:val="both"/>
        <w:rPr/>
      </w:pPr>
      <w:r>
        <w:rPr>
          <w:color w:val="000000"/>
        </w:rPr>
        <w:t>“</w:t>
      </w:r>
      <w:r>
        <w:rPr>
          <w:rFonts w:ascii="Times New Roman" w:hAnsi="Times New Roman"/>
          <w:color w:val="000000"/>
          <w:sz w:val="24"/>
          <w:u w:val="single"/>
        </w:rPr>
        <w:t>Control</w:t>
      </w:r>
      <w:r>
        <w:rPr>
          <w:color w:val="000000"/>
        </w:rPr>
        <w:t xml:space="preserve">” </w:t>
      </w:r>
      <w:r>
        <w:rPr>
          <w:rFonts w:ascii="Times New Roman" w:hAnsi="Times New Roman"/>
          <w:color w:val="000000"/>
          <w:sz w:val="24"/>
        </w:rPr>
        <w:t>or “</w:t>
      </w:r>
      <w:r>
        <w:rPr>
          <w:rFonts w:ascii="Times New Roman" w:hAnsi="Times New Roman"/>
          <w:color w:val="000000"/>
          <w:sz w:val="24"/>
          <w:u w:val="single"/>
        </w:rPr>
        <w:t>Controlled</w:t>
      </w:r>
      <w:r>
        <w:rPr>
          <w:color w:val="000000"/>
        </w:rPr>
        <w:t xml:space="preserve">” </w:t>
      </w:r>
      <w:r>
        <w:rPr>
          <w:rFonts w:ascii="Times New Roman" w:hAnsi="Times New Roman"/>
          <w:color w:val="000000"/>
          <w:sz w:val="24"/>
        </w:rPr>
        <w:t xml:space="preserve">means, with respect to any information, material or intellectual property right, that a Party owns or has a license to such information, material or intellectual property right, as applicable, and has the ability to grant to the other Party access to, or a license or sublicense under, such information, material or intellectual property right as provided under the terms of this Agreement. Notwithstanding the foregoing if use of any information, material or intellectual property right by Licensee requires that Ligand pay royalties, milestone payments or other consideration to a Third Party, then such information, material or intellectual property right shall only be deemed to be Controlled by Ligand if Licensee has agreed to pay its pro rata share of the financial consideration due to such Third Party.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240" w:after="283"/>
        <w:jc w:val="both"/>
        <w:rPr/>
      </w:pPr>
      <w:r>
        <w:rPr>
          <w:color w:val="000000"/>
        </w:rPr>
        <w:t>“</w:t>
      </w:r>
      <w:r>
        <w:rPr>
          <w:rFonts w:ascii="Times New Roman" w:hAnsi="Times New Roman"/>
          <w:color w:val="000000"/>
          <w:sz w:val="24"/>
          <w:u w:val="single"/>
        </w:rPr>
        <w:t>Develop</w:t>
      </w:r>
      <w:r>
        <w:rPr>
          <w:color w:val="000000"/>
        </w:rPr>
        <w:t xml:space="preserve">” </w:t>
      </w:r>
      <w:r>
        <w:rPr>
          <w:rFonts w:ascii="Times New Roman" w:hAnsi="Times New Roman"/>
          <w:color w:val="000000"/>
          <w:sz w:val="24"/>
        </w:rPr>
        <w:t>or “</w:t>
      </w:r>
      <w:r>
        <w:rPr>
          <w:rFonts w:ascii="Times New Roman" w:hAnsi="Times New Roman"/>
          <w:color w:val="000000"/>
          <w:sz w:val="24"/>
          <w:u w:val="single"/>
        </w:rPr>
        <w:t>Development</w:t>
      </w:r>
      <w:r>
        <w:rPr>
          <w:color w:val="000000"/>
        </w:rPr>
        <w:t xml:space="preserve">” </w:t>
      </w:r>
      <w:r>
        <w:rPr>
          <w:rFonts w:ascii="Times New Roman" w:hAnsi="Times New Roman"/>
          <w:color w:val="000000"/>
          <w:sz w:val="24"/>
        </w:rPr>
        <w:t>means pre-clinical and clinical research and development activities, including toxicology and other pre-clinical development efforts, stability testing, process development, formulation development, delivery system development, quality assurance and quality control development, statistical analysis, clinical pharmacology, clinical studies (including Clinical Trials), regulatory affairs, and Regulatory Approval and clinical study regulatory activities.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240" w:after="283"/>
        <w:jc w:val="both"/>
        <w:rPr/>
      </w:pPr>
      <w:r>
        <w:rPr>
          <w:color w:val="000000"/>
        </w:rPr>
        <w:t>“</w:t>
      </w:r>
      <w:r>
        <w:rPr>
          <w:rFonts w:ascii="Times New Roman" w:hAnsi="Times New Roman"/>
          <w:color w:val="000000"/>
          <w:sz w:val="24"/>
          <w:u w:val="single"/>
        </w:rPr>
        <w:t>Executive</w:t>
      </w:r>
      <w:r>
        <w:rPr>
          <w:color w:val="000000"/>
        </w:rPr>
        <w:t xml:space="preserve">” </w:t>
      </w:r>
      <w:r>
        <w:rPr>
          <w:rFonts w:ascii="Times New Roman" w:hAnsi="Times New Roman"/>
          <w:color w:val="000000"/>
          <w:sz w:val="24"/>
        </w:rPr>
        <w:t>shall mean for Ligand, [***] (or such individual’s designee), and, for Licensee, [***] (or such individual’s designee).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240" w:after="283"/>
        <w:jc w:val="both"/>
        <w:rPr/>
      </w:pPr>
      <w:r>
        <w:rPr>
          <w:color w:val="000000"/>
        </w:rPr>
        <w:t>“</w:t>
      </w:r>
      <w:r>
        <w:rPr>
          <w:rFonts w:ascii="Times New Roman" w:hAnsi="Times New Roman"/>
          <w:color w:val="000000"/>
          <w:sz w:val="24"/>
          <w:u w:val="single"/>
        </w:rPr>
        <w:t>FCPA</w:t>
      </w:r>
      <w:r>
        <w:rPr>
          <w:color w:val="000000"/>
        </w:rPr>
        <w:t xml:space="preserve">” </w:t>
      </w:r>
      <w:r>
        <w:rPr>
          <w:rFonts w:ascii="Times New Roman" w:hAnsi="Times New Roman"/>
          <w:color w:val="000000"/>
          <w:sz w:val="24"/>
        </w:rPr>
        <w:t>has the meaning set forth in Section 7.2(b).</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240" w:after="283"/>
        <w:jc w:val="both"/>
        <w:rPr/>
      </w:pPr>
      <w:r>
        <w:rPr>
          <w:color w:val="000000"/>
        </w:rPr>
        <w:t>“</w:t>
      </w:r>
      <w:r>
        <w:rPr>
          <w:rFonts w:ascii="Times New Roman" w:hAnsi="Times New Roman"/>
          <w:color w:val="000000"/>
          <w:sz w:val="24"/>
          <w:u w:val="single"/>
        </w:rPr>
        <w:t>FD&amp;C Act</w:t>
      </w:r>
      <w:r>
        <w:rPr>
          <w:color w:val="000000"/>
        </w:rPr>
        <w:t xml:space="preserve">” </w:t>
      </w:r>
      <w:r>
        <w:rPr>
          <w:rFonts w:ascii="Times New Roman" w:hAnsi="Times New Roman"/>
          <w:color w:val="000000"/>
          <w:sz w:val="24"/>
        </w:rPr>
        <w:t xml:space="preserve">means the U.S. Federal Food, Drug, and Cosmetic Act (21 U.S.C. §301, et seq.), including any amendments or supplements thereto.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240" w:after="283"/>
        <w:jc w:val="both"/>
        <w:rPr/>
      </w:pPr>
      <w:r>
        <w:rPr>
          <w:color w:val="000000"/>
        </w:rPr>
        <w:t>“</w:t>
      </w:r>
      <w:r>
        <w:rPr>
          <w:rFonts w:ascii="Times New Roman" w:hAnsi="Times New Roman"/>
          <w:color w:val="000000"/>
          <w:sz w:val="24"/>
          <w:u w:val="single"/>
        </w:rPr>
        <w:t>FDA</w:t>
      </w:r>
      <w:r>
        <w:rPr>
          <w:color w:val="000000"/>
        </w:rPr>
        <w:t xml:space="preserve">” </w:t>
      </w:r>
      <w:r>
        <w:rPr>
          <w:rFonts w:ascii="Times New Roman" w:hAnsi="Times New Roman"/>
          <w:color w:val="000000"/>
          <w:sz w:val="24"/>
        </w:rPr>
        <w:t xml:space="preserve">means the U.S. Food and Drug Administration, or any successor agency thereto.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240" w:after="283"/>
        <w:jc w:val="both"/>
        <w:rPr/>
      </w:pPr>
      <w:r>
        <w:rPr>
          <w:color w:val="000000"/>
        </w:rPr>
        <w:t>“</w:t>
      </w:r>
      <w:r>
        <w:rPr>
          <w:rFonts w:ascii="Times New Roman" w:hAnsi="Times New Roman"/>
          <w:color w:val="000000"/>
          <w:sz w:val="24"/>
          <w:u w:val="single"/>
        </w:rPr>
        <w:t>Field</w:t>
      </w:r>
      <w:r>
        <w:rPr>
          <w:color w:val="000000"/>
        </w:rPr>
        <w:t xml:space="preserve">” </w:t>
      </w:r>
      <w:r>
        <w:rPr>
          <w:rFonts w:ascii="Times New Roman" w:hAnsi="Times New Roman"/>
          <w:color w:val="000000"/>
          <w:sz w:val="24"/>
        </w:rPr>
        <w:t>means the treatment or prevention of human diseases.</w:t>
      </w:r>
    </w:p>
    <w:p>
      <w:pPr>
        <w:pStyle w:val="Heading2"/>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1.16</w:t>
      </w:r>
    </w:p>
    <w:p>
      <w:pPr>
        <w:pStyle w:val="TextBody"/>
        <w:bidi w:val="0"/>
        <w:jc w:val="both"/>
        <w:rPr/>
      </w:pPr>
      <w:r>
        <w:rPr>
          <w:color w:val="000000"/>
        </w:rPr>
        <w:t>“</w:t>
      </w:r>
      <w:r>
        <w:rPr>
          <w:rFonts w:ascii="Times New Roman" w:hAnsi="Times New Roman"/>
          <w:color w:val="000000"/>
          <w:sz w:val="24"/>
          <w:u w:val="single"/>
        </w:rPr>
        <w:t>First Commercial Sale</w:t>
      </w:r>
      <w:r>
        <w:rPr>
          <w:color w:val="000000"/>
        </w:rPr>
        <w:t xml:space="preserve">” </w:t>
      </w:r>
      <w:r>
        <w:rPr>
          <w:rFonts w:ascii="Times New Roman" w:hAnsi="Times New Roman"/>
          <w:color w:val="000000"/>
          <w:sz w:val="24"/>
        </w:rPr>
        <w:t>means the first sale of Product by Licensee or its Affiliates or Sublicensees to a Third Party for which payment (cash or non-cash) has been received in any country in the Territory.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0"/>
        <w:jc w:val="both"/>
        <w:rPr/>
      </w:pPr>
      <w:r>
        <w:rPr>
          <w:color w:val="000000"/>
        </w:rPr>
        <w:t>“</w:t>
      </w:r>
      <w:r>
        <w:rPr>
          <w:rFonts w:ascii="Times New Roman" w:hAnsi="Times New Roman"/>
          <w:color w:val="000000"/>
          <w:sz w:val="24"/>
          <w:u w:val="single"/>
        </w:rPr>
        <w:t>Generic Product</w:t>
      </w:r>
      <w:r>
        <w:rPr>
          <w:color w:val="000000"/>
        </w:rPr>
        <w:t xml:space="preserve">” </w:t>
      </w:r>
      <w:r>
        <w:rPr>
          <w:rFonts w:ascii="Times New Roman" w:hAnsi="Times New Roman"/>
          <w:color w:val="000000"/>
          <w:sz w:val="24"/>
        </w:rPr>
        <w:t>means any pharmaceutical product that (a) is sold by [***], (b) contains [***], (c) has [***] and (d) [***] or,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240" w:after="283"/>
        <w:jc w:val="both"/>
        <w:rPr/>
      </w:pPr>
      <w:r>
        <w:rPr>
          <w:color w:val="000000"/>
        </w:rPr>
        <w:t>“</w:t>
      </w:r>
      <w:r>
        <w:rPr>
          <w:rFonts w:ascii="Times New Roman" w:hAnsi="Times New Roman"/>
          <w:color w:val="000000"/>
          <w:sz w:val="24"/>
          <w:u w:val="single"/>
        </w:rPr>
        <w:t>Geographical Asia</w:t>
      </w:r>
      <w:r>
        <w:rPr>
          <w:color w:val="000000"/>
        </w:rPr>
        <w:t xml:space="preserve">” </w:t>
      </w:r>
      <w:r>
        <w:rPr>
          <w:rFonts w:ascii="Times New Roman" w:hAnsi="Times New Roman"/>
          <w:color w:val="000000"/>
          <w:sz w:val="24"/>
        </w:rPr>
        <w:t xml:space="preserve">means the countries and territories set forth on </w:t>
      </w:r>
      <w:r>
        <w:rPr>
          <w:rFonts w:ascii="Times New Roman" w:hAnsi="Times New Roman"/>
          <w:color w:val="000000"/>
          <w:sz w:val="24"/>
          <w:u w:val="single"/>
        </w:rPr>
        <w:t>Exhibit 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240" w:after="283"/>
        <w:jc w:val="both"/>
        <w:rPr/>
      </w:pPr>
      <w:r>
        <w:rPr>
          <w:color w:val="000000"/>
        </w:rPr>
        <w:t>“</w:t>
      </w:r>
      <w:r>
        <w:rPr>
          <w:rFonts w:ascii="Times New Roman" w:hAnsi="Times New Roman"/>
          <w:color w:val="000000"/>
          <w:sz w:val="24"/>
          <w:u w:val="single"/>
        </w:rPr>
        <w:t>Governmental Entity</w:t>
      </w:r>
      <w:r>
        <w:rPr>
          <w:color w:val="000000"/>
        </w:rPr>
        <w:t xml:space="preserve">” </w:t>
      </w:r>
      <w:r>
        <w:rPr>
          <w:rFonts w:ascii="Times New Roman" w:hAnsi="Times New Roman"/>
          <w:color w:val="000000"/>
          <w:sz w:val="24"/>
        </w:rPr>
        <w:t>means any regional, central, federal, state, provincial or local court, commission or governmental, regulatory or administrative body, board, bureau, agency, instrumentality, authority or tribunal or any subdivision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240" w:after="283"/>
        <w:jc w:val="both"/>
        <w:rPr/>
      </w:pPr>
      <w:r>
        <w:rPr>
          <w:color w:val="000000"/>
        </w:rPr>
        <w:t>“</w:t>
      </w:r>
      <w:r>
        <w:rPr>
          <w:rFonts w:ascii="Times New Roman" w:hAnsi="Times New Roman"/>
          <w:color w:val="000000"/>
          <w:sz w:val="24"/>
          <w:u w:val="single"/>
        </w:rPr>
        <w:t>Government Official</w:t>
      </w:r>
      <w:r>
        <w:rPr>
          <w:color w:val="000000"/>
        </w:rPr>
        <w:t xml:space="preserve">” </w:t>
      </w:r>
      <w:r>
        <w:rPr>
          <w:rFonts w:ascii="Times New Roman" w:hAnsi="Times New Roman"/>
          <w:color w:val="000000"/>
          <w:sz w:val="24"/>
        </w:rPr>
        <w:t>has the meaning set forth in Section 7.2(a).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240" w:after="283"/>
        <w:jc w:val="both"/>
        <w:rPr/>
      </w:pPr>
      <w:r>
        <w:rPr>
          <w:color w:val="000000"/>
        </w:rPr>
        <w:t>“</w:t>
      </w:r>
      <w:r>
        <w:rPr>
          <w:rFonts w:ascii="Times New Roman" w:hAnsi="Times New Roman"/>
          <w:color w:val="000000"/>
          <w:sz w:val="24"/>
          <w:u w:val="single"/>
        </w:rPr>
        <w:t>Improvement</w:t>
      </w:r>
      <w:r>
        <w:rPr>
          <w:color w:val="000000"/>
        </w:rPr>
        <w:t xml:space="preserve">” </w:t>
      </w:r>
      <w:r>
        <w:rPr>
          <w:rFonts w:ascii="Times New Roman" w:hAnsi="Times New Roman"/>
          <w:color w:val="000000"/>
          <w:sz w:val="24"/>
        </w:rPr>
        <w:t xml:space="preserve">means any discovery, invention, contribution, method, finding, or improvement, whether or not patentable, and all intellectual property therein, that is conceived, reduced to practice, or otherwise developed by or on behalf of a Party, during the Term, that is a modification, improvement or enhancement to the Licensed Patents and is dominated by the claims of one or more of the Patent rights described in Section 1.30.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240" w:after="283"/>
        <w:jc w:val="both"/>
        <w:rPr/>
      </w:pPr>
      <w:r>
        <w:rPr>
          <w:color w:val="000000"/>
        </w:rPr>
        <w:t>“</w:t>
      </w:r>
      <w:r>
        <w:rPr>
          <w:rFonts w:ascii="Times New Roman" w:hAnsi="Times New Roman"/>
          <w:color w:val="000000"/>
          <w:sz w:val="24"/>
          <w:u w:val="single"/>
        </w:rPr>
        <w:t>IND</w:t>
      </w:r>
      <w:r>
        <w:rPr>
          <w:color w:val="000000"/>
        </w:rPr>
        <w:t xml:space="preserve">” </w:t>
      </w:r>
      <w:r>
        <w:rPr>
          <w:rFonts w:ascii="Times New Roman" w:hAnsi="Times New Roman"/>
          <w:color w:val="000000"/>
          <w:sz w:val="24"/>
        </w:rPr>
        <w:t>means an Investigational New Drug application, Clinical Study Application, Clinical Trial Exemption, or similar application or submission for approval to conduct Clinical Trials filed with or submitted to a Regulatory Authority in the applicable jurisdiction in conformance with the requirements of such Regulatory Authority.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240" w:after="283"/>
        <w:jc w:val="both"/>
        <w:rPr/>
      </w:pPr>
      <w:r>
        <w:rPr>
          <w:color w:val="000000"/>
        </w:rPr>
        <w:t>“</w:t>
      </w:r>
      <w:r>
        <w:rPr>
          <w:rFonts w:ascii="Times New Roman" w:hAnsi="Times New Roman"/>
          <w:color w:val="000000"/>
          <w:sz w:val="24"/>
          <w:u w:val="single"/>
        </w:rPr>
        <w:t>Indication</w:t>
      </w:r>
      <w:r>
        <w:rPr>
          <w:color w:val="000000"/>
        </w:rPr>
        <w:t xml:space="preserve">” </w:t>
      </w:r>
      <w:r>
        <w:rPr>
          <w:rFonts w:ascii="Times New Roman" w:hAnsi="Times New Roman"/>
          <w:color w:val="000000"/>
          <w:sz w:val="24"/>
        </w:rPr>
        <w:t>means a medically recognized disease or disorder which in all cases requires a Pivotal Clinical Study for Regulatory Approval for the relevant Product label. Notwithstanding the foregoing,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240" w:after="283"/>
        <w:jc w:val="both"/>
        <w:rPr/>
      </w:pPr>
      <w:r>
        <w:rPr>
          <w:color w:val="000000"/>
        </w:rPr>
        <w:t>“</w:t>
      </w:r>
      <w:r>
        <w:rPr>
          <w:rFonts w:ascii="Times New Roman" w:hAnsi="Times New Roman"/>
          <w:color w:val="000000"/>
          <w:sz w:val="24"/>
          <w:u w:val="single"/>
        </w:rPr>
        <w:t>Infringement Claim</w:t>
      </w:r>
      <w:r>
        <w:rPr>
          <w:color w:val="000000"/>
        </w:rPr>
        <w:t xml:space="preserve">” </w:t>
      </w:r>
      <w:r>
        <w:rPr>
          <w:rFonts w:ascii="Times New Roman" w:hAnsi="Times New Roman"/>
          <w:color w:val="000000"/>
          <w:sz w:val="24"/>
        </w:rPr>
        <w:t>has the meaning set forth in Section 8.1(b).</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240" w:after="283"/>
        <w:jc w:val="both"/>
        <w:rPr/>
      </w:pPr>
      <w:r>
        <w:rPr>
          <w:color w:val="000000"/>
        </w:rPr>
        <w:t>“</w:t>
      </w:r>
      <w:r>
        <w:rPr>
          <w:rFonts w:ascii="Times New Roman" w:hAnsi="Times New Roman"/>
          <w:color w:val="000000"/>
          <w:sz w:val="24"/>
          <w:u w:val="single"/>
        </w:rPr>
        <w:t>Intellectual Property Rights</w:t>
      </w:r>
      <w:r>
        <w:rPr>
          <w:color w:val="000000"/>
        </w:rPr>
        <w:t xml:space="preserve">” </w:t>
      </w:r>
      <w:r>
        <w:rPr>
          <w:rFonts w:ascii="Times New Roman" w:hAnsi="Times New Roman"/>
          <w:color w:val="000000"/>
          <w:sz w:val="24"/>
        </w:rPr>
        <w:t>means Patents, copyrights, database rights, Know-How and similar rights of any type (excluding trademarks) under the laws of any Governmental Entity, including all applications, registrations, extensions and renewals relating to any of the foregoing.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240" w:after="283"/>
        <w:jc w:val="both"/>
        <w:rPr/>
      </w:pPr>
      <w:r>
        <w:rPr>
          <w:color w:val="000000"/>
        </w:rPr>
        <w:t>“</w:t>
      </w:r>
      <w:r>
        <w:rPr>
          <w:rFonts w:ascii="Times New Roman" w:hAnsi="Times New Roman"/>
          <w:color w:val="000000"/>
          <w:sz w:val="24"/>
          <w:u w:val="single"/>
        </w:rPr>
        <w:t>Know-How</w:t>
      </w:r>
      <w:r>
        <w:rPr>
          <w:color w:val="000000"/>
        </w:rPr>
        <w:t xml:space="preserve">” </w:t>
      </w:r>
      <w:r>
        <w:rPr>
          <w:rFonts w:ascii="Times New Roman" w:hAnsi="Times New Roman"/>
          <w:color w:val="000000"/>
          <w:sz w:val="24"/>
        </w:rPr>
        <w:t xml:space="preserve">means all technical information and other technical subject matter, proprietary methods, ideas, concepts, formulations, discoveries, inventions, devices, technology, trade secrets, compositions, designs, formulae, know-how, show-how, specifications, drawings, techniques, results, data, processes, methods, procedures, designs and regulatory correspondence and information (including pharmacological, toxicological, pre-clinical, clinical and manufacturing test data, manufacturing protocols, analytical methods and data, quality control data and process validation) whether or not patentable.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240" w:after="283"/>
        <w:jc w:val="both"/>
        <w:rPr/>
      </w:pPr>
      <w:r>
        <w:rPr>
          <w:color w:val="000000"/>
        </w:rPr>
        <w:t>“</w:t>
      </w:r>
      <w:r>
        <w:rPr>
          <w:rFonts w:ascii="Times New Roman" w:hAnsi="Times New Roman"/>
          <w:color w:val="000000"/>
          <w:sz w:val="24"/>
          <w:u w:val="single"/>
        </w:rPr>
        <w:t>Lasofoxifene</w:t>
      </w:r>
      <w:r>
        <w:rPr>
          <w:color w:val="000000"/>
        </w:rPr>
        <w:t xml:space="preserve">” </w:t>
      </w:r>
      <w:r>
        <w:rPr>
          <w:rFonts w:ascii="Times New Roman" w:hAnsi="Times New Roman"/>
          <w:color w:val="000000"/>
          <w:sz w:val="24"/>
        </w:rPr>
        <w:t xml:space="preserve">means that compound known as lasofoxifene tartrate as identified in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240" w:after="283"/>
        <w:jc w:val="both"/>
        <w:rPr/>
      </w:pPr>
      <w:r>
        <w:rPr>
          <w:color w:val="000000"/>
        </w:rPr>
        <w:t>“</w:t>
      </w:r>
      <w:r>
        <w:rPr>
          <w:rFonts w:ascii="Times New Roman" w:hAnsi="Times New Roman"/>
          <w:color w:val="000000"/>
          <w:sz w:val="24"/>
          <w:u w:val="single"/>
        </w:rPr>
        <w:t>Law</w:t>
      </w:r>
      <w:r>
        <w:rPr>
          <w:color w:val="000000"/>
        </w:rPr>
        <w:t xml:space="preserve">” </w:t>
      </w:r>
      <w:r>
        <w:rPr>
          <w:rFonts w:ascii="Times New Roman" w:hAnsi="Times New Roman"/>
          <w:color w:val="000000"/>
          <w:sz w:val="24"/>
        </w:rPr>
        <w:t xml:space="preserve">means, individually and collectively, any and all laws, ordinances, orders, rules, rulings, directives and regulations of any kind whatsoever of any Governmental Entity or Regulatory Authority within the applicable jurisdiction.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240" w:after="283"/>
        <w:jc w:val="both"/>
        <w:rPr/>
      </w:pPr>
      <w:r>
        <w:rPr>
          <w:color w:val="000000"/>
        </w:rPr>
        <w:t>“</w:t>
      </w:r>
      <w:r>
        <w:rPr>
          <w:rFonts w:ascii="Times New Roman" w:hAnsi="Times New Roman"/>
          <w:color w:val="000000"/>
          <w:sz w:val="24"/>
          <w:u w:val="single"/>
        </w:rPr>
        <w:t>Licensed Know-How</w:t>
      </w:r>
      <w:r>
        <w:rPr>
          <w:color w:val="000000"/>
        </w:rPr>
        <w:t xml:space="preserve">” </w:t>
      </w:r>
      <w:r>
        <w:rPr>
          <w:rFonts w:ascii="Times New Roman" w:hAnsi="Times New Roman"/>
          <w:color w:val="000000"/>
          <w:sz w:val="24"/>
        </w:rPr>
        <w:t xml:space="preserve">means all Know-How Controlled by Ligand or any of its Affiliates as of the Original Effective Date that is (a) necessary or useful in connection with developing, making, using, selling, offering to sell, exporting and importing Product in the Territory and (b) not included in the Licensed Patents.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240" w:after="283"/>
        <w:jc w:val="both"/>
        <w:rPr/>
      </w:pPr>
      <w:r>
        <w:rPr>
          <w:color w:val="000000"/>
        </w:rPr>
        <w:t>“</w:t>
      </w:r>
      <w:r>
        <w:rPr>
          <w:rFonts w:ascii="Times New Roman" w:hAnsi="Times New Roman"/>
          <w:color w:val="000000"/>
          <w:sz w:val="24"/>
          <w:u w:val="single"/>
        </w:rPr>
        <w:t>Licensed Patents</w:t>
      </w:r>
      <w:r>
        <w:rPr>
          <w:color w:val="000000"/>
        </w:rPr>
        <w:t xml:space="preserve">” </w:t>
      </w:r>
      <w:r>
        <w:rPr>
          <w:rFonts w:ascii="Times New Roman" w:hAnsi="Times New Roman"/>
          <w:color w:val="000000"/>
          <w:sz w:val="24"/>
        </w:rPr>
        <w:t xml:space="preserve">means those Patents Controlled by Ligand or any of its Affiliates listed in </w:t>
      </w:r>
      <w:r>
        <w:rPr>
          <w:rFonts w:ascii="Times New Roman" w:hAnsi="Times New Roman"/>
          <w:color w:val="000000"/>
          <w:sz w:val="24"/>
          <w:u w:val="single"/>
        </w:rPr>
        <w:t>Schedule 1.30</w:t>
      </w:r>
      <w:r>
        <w:rPr>
          <w:color w:val="000000"/>
        </w:rPr>
        <w:t xml:space="preserve"> </w:t>
      </w:r>
      <w:r>
        <w:rPr>
          <w:rFonts w:ascii="Times New Roman" w:hAnsi="Times New Roman"/>
          <w:color w:val="000000"/>
          <w:sz w:val="24"/>
        </w:rPr>
        <w:t xml:space="preserve">attached hereto.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240" w:after="283"/>
        <w:jc w:val="both"/>
        <w:rPr/>
      </w:pPr>
      <w:r>
        <w:rPr>
          <w:color w:val="000000"/>
        </w:rPr>
        <w:t>“</w:t>
      </w:r>
      <w:r>
        <w:rPr>
          <w:rFonts w:ascii="Times New Roman" w:hAnsi="Times New Roman"/>
          <w:color w:val="000000"/>
          <w:sz w:val="24"/>
          <w:u w:val="single"/>
        </w:rPr>
        <w:t>Licensed Technology</w:t>
      </w:r>
      <w:r>
        <w:rPr>
          <w:color w:val="000000"/>
        </w:rPr>
        <w:t xml:space="preserve">” </w:t>
      </w:r>
      <w:r>
        <w:rPr>
          <w:rFonts w:ascii="Times New Roman" w:hAnsi="Times New Roman"/>
          <w:color w:val="000000"/>
          <w:sz w:val="24"/>
        </w:rPr>
        <w:t>means the Licensed Know-How and the Licensed Patents.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240" w:after="283"/>
        <w:jc w:val="both"/>
        <w:rPr/>
      </w:pPr>
      <w:r>
        <w:rPr>
          <w:color w:val="000000"/>
        </w:rPr>
        <w:t>“</w:t>
      </w:r>
      <w:r>
        <w:rPr>
          <w:rFonts w:ascii="Times New Roman" w:hAnsi="Times New Roman"/>
          <w:color w:val="000000"/>
          <w:sz w:val="24"/>
          <w:u w:val="single"/>
        </w:rPr>
        <w:t>Licensee Improvements</w:t>
      </w:r>
      <w:r>
        <w:rPr>
          <w:color w:val="000000"/>
        </w:rPr>
        <w:t xml:space="preserve">” </w:t>
      </w:r>
      <w:r>
        <w:rPr>
          <w:rFonts w:ascii="Times New Roman" w:hAnsi="Times New Roman"/>
          <w:color w:val="000000"/>
          <w:sz w:val="24"/>
        </w:rPr>
        <w:t>means any and all Improvements to the Licensed Technology and any and all Licensee Patents that claim any composition or method of making or method of using Lasofoxifene or otherwise necessary in connection with the Development, manufacture, use or commercialization of Lasofoxifene and/or Product, which are Controlled or owned by Licensee or any of its Affiliates during the Term (other than Ligand Patent rights pursuant to the licenses granted hereunder).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240" w:after="283"/>
        <w:jc w:val="both"/>
        <w:rPr/>
      </w:pPr>
      <w:r>
        <w:rPr>
          <w:color w:val="000000"/>
        </w:rPr>
        <w:t>“</w:t>
      </w:r>
      <w:r>
        <w:rPr>
          <w:rFonts w:ascii="Times New Roman" w:hAnsi="Times New Roman"/>
          <w:color w:val="000000"/>
          <w:sz w:val="24"/>
          <w:u w:val="single"/>
        </w:rPr>
        <w:t>Licensee Indemnitees</w:t>
      </w:r>
      <w:r>
        <w:rPr>
          <w:color w:val="000000"/>
        </w:rPr>
        <w:t xml:space="preserve">” </w:t>
      </w:r>
      <w:r>
        <w:rPr>
          <w:rFonts w:ascii="Times New Roman" w:hAnsi="Times New Roman"/>
          <w:color w:val="000000"/>
          <w:sz w:val="24"/>
        </w:rPr>
        <w:t>has the meaning set forth in Section 8.2.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240" w:after="283"/>
        <w:jc w:val="both"/>
        <w:rPr/>
      </w:pPr>
      <w:r>
        <w:rPr>
          <w:color w:val="000000"/>
        </w:rPr>
        <w:t>“</w:t>
      </w:r>
      <w:r>
        <w:rPr>
          <w:rFonts w:ascii="Times New Roman" w:hAnsi="Times New Roman"/>
          <w:color w:val="000000"/>
          <w:sz w:val="24"/>
          <w:u w:val="single"/>
        </w:rPr>
        <w:t>Ligand Indemnitees</w:t>
      </w:r>
      <w:r>
        <w:rPr>
          <w:color w:val="000000"/>
        </w:rPr>
        <w:t xml:space="preserve">” </w:t>
      </w:r>
      <w:r>
        <w:rPr>
          <w:rFonts w:ascii="Times New Roman" w:hAnsi="Times New Roman"/>
          <w:color w:val="000000"/>
          <w:sz w:val="24"/>
        </w:rPr>
        <w:t>has the meaning set forth in Section 8.1(a).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240" w:after="283"/>
        <w:jc w:val="both"/>
        <w:rPr/>
      </w:pPr>
      <w:r>
        <w:rPr>
          <w:color w:val="000000"/>
        </w:rPr>
        <w:t>“</w:t>
      </w:r>
      <w:r>
        <w:rPr>
          <w:rFonts w:ascii="Times New Roman" w:hAnsi="Times New Roman"/>
          <w:color w:val="000000"/>
          <w:sz w:val="24"/>
          <w:u w:val="single"/>
        </w:rPr>
        <w:t>Litigation Costs</w:t>
      </w:r>
      <w:r>
        <w:rPr>
          <w:color w:val="000000"/>
        </w:rPr>
        <w:t xml:space="preserve">” </w:t>
      </w:r>
      <w:r>
        <w:rPr>
          <w:rFonts w:ascii="Times New Roman" w:hAnsi="Times New Roman"/>
          <w:color w:val="000000"/>
          <w:sz w:val="24"/>
        </w:rPr>
        <w:t>has the meaning set forth in Section 8.1(a).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240" w:after="283"/>
        <w:jc w:val="both"/>
        <w:rPr/>
      </w:pPr>
      <w:r>
        <w:rPr>
          <w:color w:val="000000"/>
        </w:rPr>
        <w:t>“</w:t>
      </w:r>
      <w:r>
        <w:rPr>
          <w:rFonts w:ascii="Times New Roman" w:hAnsi="Times New Roman"/>
          <w:color w:val="000000"/>
          <w:sz w:val="24"/>
          <w:u w:val="single"/>
        </w:rPr>
        <w:t>Losses</w:t>
      </w:r>
      <w:r>
        <w:rPr>
          <w:color w:val="000000"/>
        </w:rPr>
        <w:t xml:space="preserve">” </w:t>
      </w:r>
      <w:r>
        <w:rPr>
          <w:rFonts w:ascii="Times New Roman" w:hAnsi="Times New Roman"/>
          <w:color w:val="000000"/>
          <w:sz w:val="24"/>
        </w:rPr>
        <w:t>has the meaning set forth in Section 8.1(a).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240" w:after="283"/>
        <w:jc w:val="both"/>
        <w:rPr/>
      </w:pPr>
      <w:r>
        <w:rPr>
          <w:color w:val="000000"/>
        </w:rPr>
        <w:t>“</w:t>
      </w:r>
      <w:r>
        <w:rPr>
          <w:rFonts w:ascii="Times New Roman" w:hAnsi="Times New Roman"/>
          <w:color w:val="000000"/>
          <w:sz w:val="24"/>
          <w:u w:val="single"/>
        </w:rPr>
        <w:t>NDA</w:t>
      </w:r>
      <w:r>
        <w:rPr>
          <w:color w:val="000000"/>
        </w:rPr>
        <w:t xml:space="preserve">” </w:t>
      </w:r>
      <w:r>
        <w:rPr>
          <w:rFonts w:ascii="Times New Roman" w:hAnsi="Times New Roman"/>
          <w:color w:val="000000"/>
          <w:sz w:val="24"/>
        </w:rPr>
        <w:t>means a “New Drug Application,” as defined in the FD&amp;C Act and applicable regulations promulgated thereunder by the FDA and all amendments and supplements thereto filed with the FDA, or the equivalent application filed with any Regulatory Authority, including all documents, data, and other information concerning Product, which are necessary for gaining Regulatory Approval to market and sell Product in the relevant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240" w:after="283"/>
        <w:jc w:val="both"/>
        <w:rPr/>
      </w:pPr>
      <w:r>
        <w:rPr>
          <w:color w:val="000000"/>
        </w:rPr>
        <w:t>“</w:t>
      </w:r>
      <w:r>
        <w:rPr>
          <w:rFonts w:ascii="Times New Roman" w:hAnsi="Times New Roman"/>
          <w:color w:val="000000"/>
          <w:sz w:val="24"/>
          <w:u w:val="single"/>
        </w:rPr>
        <w:t>Net Sales</w:t>
      </w:r>
      <w:r>
        <w:rPr>
          <w:color w:val="000000"/>
        </w:rPr>
        <w:t xml:space="preserve">” </w:t>
      </w:r>
      <w:r>
        <w:rPr>
          <w:rFonts w:ascii="Times New Roman" w:hAnsi="Times New Roman"/>
          <w:color w:val="000000"/>
          <w:sz w:val="24"/>
        </w:rPr>
        <w:t>means [***], less the following deductions,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the event a Product is sold in a package or formulated in combination with one or more other active ingredients that are not Products (as used in this definition of Net Sales, a “</w:t>
      </w:r>
      <w:r>
        <w:rPr>
          <w:rFonts w:ascii="Times New Roman" w:hAnsi="Times New Roman"/>
          <w:color w:val="000000"/>
          <w:sz w:val="24"/>
          <w:u w:val="single"/>
        </w:rPr>
        <w:t>Combination Product</w:t>
      </w:r>
      <w:r>
        <w:rPr>
          <w:rFonts w:ascii="Times New Roman" w:hAnsi="Times New Roman"/>
          <w:color w:val="000000"/>
          <w:sz w:val="20"/>
        </w:rPr>
        <w:t>”</w:t>
      </w:r>
      <w:r>
        <w:rPr>
          <w:rFonts w:ascii="Times New Roman" w:hAnsi="Times New Roman"/>
          <w:color w:val="000000"/>
          <w:sz w:val="24"/>
        </w:rPr>
        <w:t>), then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Reserved.</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240" w:after="283"/>
        <w:jc w:val="both"/>
        <w:rPr/>
      </w:pPr>
      <w:r>
        <w:rPr>
          <w:color w:val="000000"/>
        </w:rPr>
        <w:t>“</w:t>
      </w:r>
      <w:r>
        <w:rPr>
          <w:rFonts w:ascii="Times New Roman" w:hAnsi="Times New Roman"/>
          <w:color w:val="000000"/>
          <w:sz w:val="24"/>
          <w:u w:val="single"/>
        </w:rPr>
        <w:t>Other Covered Party</w:t>
      </w:r>
      <w:r>
        <w:rPr>
          <w:color w:val="000000"/>
        </w:rPr>
        <w:t xml:space="preserve">” </w:t>
      </w:r>
      <w:r>
        <w:rPr>
          <w:rFonts w:ascii="Times New Roman" w:hAnsi="Times New Roman"/>
          <w:color w:val="000000"/>
          <w:sz w:val="24"/>
        </w:rPr>
        <w:t>has the meaning set forth in Section 7.2(a).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240" w:after="283"/>
        <w:jc w:val="both"/>
        <w:rPr/>
      </w:pPr>
      <w:r>
        <w:rPr>
          <w:color w:val="000000"/>
        </w:rPr>
        <w:t>“</w:t>
      </w:r>
      <w:r>
        <w:rPr>
          <w:rFonts w:ascii="Times New Roman" w:hAnsi="Times New Roman"/>
          <w:color w:val="000000"/>
          <w:sz w:val="24"/>
          <w:u w:val="single"/>
        </w:rPr>
        <w:t>Patents</w:t>
      </w:r>
      <w:r>
        <w:rPr>
          <w:color w:val="000000"/>
        </w:rPr>
        <w:t xml:space="preserve">” </w:t>
      </w:r>
      <w:r>
        <w:rPr>
          <w:rFonts w:ascii="Times New Roman" w:hAnsi="Times New Roman"/>
          <w:color w:val="000000"/>
          <w:sz w:val="24"/>
        </w:rPr>
        <w:t>means all: (a) United States and foreign patents, re-examinations, reissues, renewals, extensions and term restorations, inventors’ certificates and counterparts thereof; and (b) pending applications for United States and foreign patents, including, provisional applications, continuations, continued prosecution, divisional and substitute applications, and counterparts thereof.</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240" w:after="283"/>
        <w:jc w:val="both"/>
        <w:rPr/>
      </w:pPr>
      <w:r>
        <w:rPr>
          <w:color w:val="000000"/>
        </w:rPr>
        <w:t>“</w:t>
      </w:r>
      <w:r>
        <w:rPr>
          <w:rFonts w:ascii="Times New Roman" w:hAnsi="Times New Roman"/>
          <w:color w:val="000000"/>
          <w:sz w:val="24"/>
          <w:u w:val="single"/>
        </w:rPr>
        <w:t>Phase 1a Trial</w:t>
      </w:r>
      <w:r>
        <w:rPr>
          <w:color w:val="000000"/>
        </w:rPr>
        <w:t xml:space="preserve">” </w:t>
      </w:r>
      <w:r>
        <w:rPr>
          <w:rFonts w:ascii="Times New Roman" w:hAnsi="Times New Roman"/>
          <w:color w:val="000000"/>
          <w:sz w:val="24"/>
        </w:rPr>
        <w:t xml:space="preserve">means a Clinical Trial that would satisfy the requirements of 21 C.F.R. Part 312.21(a) (as amended from time to time) or other comparable regulation imposed by an applicable Regulatory Authority in any country other than the United States, the principal purposes of which are to generate sufficient data on safety in humans to commence a Phase 2 Trial. For purposes of this Agreement, ‘initiation’ of a Phase 1a Trial means the first [***] a human subject in a Phase 1a Trial.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240" w:after="283"/>
        <w:jc w:val="both"/>
        <w:rPr/>
      </w:pPr>
      <w:r>
        <w:rPr>
          <w:color w:val="000000"/>
        </w:rPr>
        <w:t>“</w:t>
      </w:r>
      <w:r>
        <w:rPr>
          <w:rFonts w:ascii="Times New Roman" w:hAnsi="Times New Roman"/>
          <w:color w:val="000000"/>
          <w:sz w:val="24"/>
          <w:u w:val="single"/>
        </w:rPr>
        <w:t>Phase 2 Trial</w:t>
      </w:r>
      <w:r>
        <w:rPr>
          <w:color w:val="000000"/>
        </w:rPr>
        <w:t xml:space="preserve">” </w:t>
      </w:r>
      <w:r>
        <w:rPr>
          <w:rFonts w:ascii="Times New Roman" w:hAnsi="Times New Roman"/>
          <w:color w:val="000000"/>
          <w:sz w:val="24"/>
        </w:rPr>
        <w:t xml:space="preserve">means a Clinical Trial that would satisfy the requirements of 21 C.F.R. Part 312.21(b) (as amended from time to time) or other comparable regulation imposed by an applicable Regulatory Authority in any country other than the United States, the principal purposes of which are to make a preliminary determination that a Product is safe for its intended use and to obtain sufficient information about such Product’s efficacy to permit the design of further clinical trials. For purposes of this Agreement, ‘initiation’ of a Phase 2 Trial means the first [***] a human subject in a Phase 2 Trial.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240" w:after="283"/>
        <w:jc w:val="both"/>
        <w:rPr/>
      </w:pPr>
      <w:r>
        <w:rPr>
          <w:color w:val="000000"/>
        </w:rPr>
        <w:t>“</w:t>
      </w:r>
      <w:r>
        <w:rPr>
          <w:rFonts w:ascii="Times New Roman" w:hAnsi="Times New Roman"/>
          <w:color w:val="000000"/>
          <w:sz w:val="24"/>
          <w:u w:val="single"/>
        </w:rPr>
        <w:t>Phase 3 Trial</w:t>
      </w:r>
      <w:r>
        <w:rPr>
          <w:color w:val="000000"/>
        </w:rPr>
        <w:t xml:space="preserve">” </w:t>
      </w:r>
      <w:r>
        <w:rPr>
          <w:rFonts w:ascii="Times New Roman" w:hAnsi="Times New Roman"/>
          <w:color w:val="000000"/>
          <w:sz w:val="24"/>
        </w:rPr>
        <w:t xml:space="preserve">means a Clinical Trial on sufficient numbers of patients that is designed to establish that a Product is safe and efficacious for its intended use, and to define warnings, precautions and adverse reactions that are associated with such Product in the dosage range to be prescribed, and to support Regulatory Approval of such Product or label expansion of such Product. For purposes of this Agreement, ‘initiation’ of a Phase 3 Trial means the first [***] a human subject in a Phase 3 Trial.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240" w:after="283"/>
        <w:jc w:val="both"/>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 xml:space="preserve">means any individual, corporation, partnership, association, joint-stock company, trust, unincorporated organization or government or political subdivision thereof.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240" w:after="283"/>
        <w:jc w:val="both"/>
        <w:rPr/>
      </w:pPr>
      <w:r>
        <w:rPr>
          <w:color w:val="000000"/>
        </w:rPr>
        <w:t>“</w:t>
      </w:r>
      <w:r>
        <w:rPr>
          <w:rFonts w:ascii="Times New Roman" w:hAnsi="Times New Roman"/>
          <w:color w:val="000000"/>
          <w:sz w:val="24"/>
          <w:u w:val="single"/>
        </w:rPr>
        <w:t>Pivotal Clinical Study</w:t>
      </w:r>
      <w:r>
        <w:rPr>
          <w:color w:val="000000"/>
        </w:rPr>
        <w:t xml:space="preserve">” </w:t>
      </w:r>
      <w:r>
        <w:rPr>
          <w:rFonts w:ascii="Times New Roman" w:hAnsi="Times New Roman"/>
          <w:color w:val="000000"/>
          <w:sz w:val="24"/>
        </w:rPr>
        <w:t>means a Phase 3 Trial that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240" w:after="283"/>
        <w:jc w:val="both"/>
        <w:rPr/>
      </w:pPr>
      <w:r>
        <w:rPr>
          <w:color w:val="000000"/>
        </w:rPr>
        <w:t>“</w:t>
      </w:r>
      <w:r>
        <w:rPr>
          <w:rFonts w:ascii="Times New Roman" w:hAnsi="Times New Roman"/>
          <w:color w:val="000000"/>
          <w:sz w:val="24"/>
          <w:u w:val="single"/>
        </w:rPr>
        <w:t>Product</w:t>
      </w:r>
      <w:r>
        <w:rPr>
          <w:color w:val="000000"/>
        </w:rPr>
        <w:t xml:space="preserve">” </w:t>
      </w:r>
      <w:r>
        <w:rPr>
          <w:rFonts w:ascii="Times New Roman" w:hAnsi="Times New Roman"/>
          <w:color w:val="000000"/>
          <w:sz w:val="24"/>
        </w:rPr>
        <w:t xml:space="preserve">means, subject to Section 2.1(b), all preparations, compositions and formulations intended for oral use in the Field that contain Lasofoxifene, whether alone or in combination with other active pharmaceutical ingredients.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240" w:after="283"/>
        <w:jc w:val="both"/>
        <w:rPr/>
      </w:pPr>
      <w:r>
        <w:rPr>
          <w:color w:val="000000"/>
        </w:rPr>
        <w:t>“</w:t>
      </w:r>
      <w:r>
        <w:rPr>
          <w:rFonts w:ascii="Times New Roman" w:hAnsi="Times New Roman"/>
          <w:color w:val="000000"/>
          <w:sz w:val="24"/>
          <w:u w:val="single"/>
        </w:rPr>
        <w:t>Prosecute</w:t>
      </w:r>
      <w:r>
        <w:rPr>
          <w:color w:val="000000"/>
        </w:rPr>
        <w:t xml:space="preserve">” </w:t>
      </w:r>
      <w:r>
        <w:rPr>
          <w:rFonts w:ascii="Times New Roman" w:hAnsi="Times New Roman"/>
          <w:color w:val="000000"/>
          <w:sz w:val="24"/>
        </w:rPr>
        <w:t>or “</w:t>
      </w:r>
      <w:r>
        <w:rPr>
          <w:rFonts w:ascii="Times New Roman" w:hAnsi="Times New Roman"/>
          <w:color w:val="000000"/>
          <w:sz w:val="24"/>
          <w:u w:val="single"/>
        </w:rPr>
        <w:t>Prosecution</w:t>
      </w:r>
      <w:r>
        <w:rPr>
          <w:color w:val="000000"/>
        </w:rPr>
        <w:t xml:space="preserve">” </w:t>
      </w:r>
      <w:r>
        <w:rPr>
          <w:rFonts w:ascii="Times New Roman" w:hAnsi="Times New Roman"/>
          <w:color w:val="000000"/>
          <w:sz w:val="24"/>
        </w:rPr>
        <w:t xml:space="preserve">means, with respect to Patents, the filing for, prosecuting, responding to oppositions, nullity actions, re-examinations, revocation actions and similar proceedings (including conducting or participating in interference and oppositions) filed by Third Parties against, and maintaining, Patents.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240" w:after="283"/>
        <w:jc w:val="both"/>
        <w:rPr/>
      </w:pPr>
      <w:r>
        <w:rPr>
          <w:color w:val="000000"/>
        </w:rPr>
        <w:t>“</w:t>
      </w:r>
      <w:r>
        <w:rPr>
          <w:rFonts w:ascii="Times New Roman" w:hAnsi="Times New Roman"/>
          <w:color w:val="000000"/>
          <w:sz w:val="24"/>
          <w:u w:val="single"/>
        </w:rPr>
        <w:t>Regulatory Approval</w:t>
      </w:r>
      <w:r>
        <w:rPr>
          <w:color w:val="000000"/>
        </w:rPr>
        <w:t xml:space="preserve">” </w:t>
      </w:r>
      <w:r>
        <w:rPr>
          <w:rFonts w:ascii="Times New Roman" w:hAnsi="Times New Roman"/>
          <w:color w:val="000000"/>
          <w:sz w:val="24"/>
        </w:rPr>
        <w:t>means, with respect to a country or jurisdiction within the Territory, any approvals, licenses, registrations or authorizations necessary for the manufacture, marketing and sale of a Product in such country or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240" w:after="283"/>
        <w:jc w:val="both"/>
        <w:rPr/>
      </w:pPr>
      <w:r>
        <w:rPr>
          <w:color w:val="000000"/>
        </w:rPr>
        <w:t>“</w:t>
      </w:r>
      <w:r>
        <w:rPr>
          <w:rFonts w:ascii="Times New Roman" w:hAnsi="Times New Roman"/>
          <w:color w:val="000000"/>
          <w:sz w:val="24"/>
          <w:u w:val="single"/>
        </w:rPr>
        <w:t>Regulatory Authority</w:t>
      </w:r>
      <w:r>
        <w:rPr>
          <w:color w:val="000000"/>
        </w:rPr>
        <w:t xml:space="preserve">” </w:t>
      </w:r>
      <w:r>
        <w:rPr>
          <w:rFonts w:ascii="Times New Roman" w:hAnsi="Times New Roman"/>
          <w:color w:val="000000"/>
          <w:sz w:val="24"/>
        </w:rPr>
        <w:t xml:space="preserve">means any national (e.g., the FDA), supranational (e.g., the European Medicines Agency), regional, state or local regulatory agency, department bureau, commission, council or other Governmental Entity in any jurisdiction of the world involved in the granting of Regulatory Approval for pharmaceutical products.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240" w:after="283"/>
        <w:jc w:val="both"/>
        <w:rPr/>
      </w:pPr>
      <w:r>
        <w:rPr>
          <w:color w:val="000000"/>
        </w:rPr>
        <w:t>“</w:t>
      </w:r>
      <w:r>
        <w:rPr>
          <w:rFonts w:ascii="Times New Roman" w:hAnsi="Times New Roman"/>
          <w:color w:val="000000"/>
          <w:sz w:val="24"/>
          <w:u w:val="single"/>
        </w:rPr>
        <w:t>Regulatory Documentation</w:t>
      </w:r>
      <w:r>
        <w:rPr>
          <w:color w:val="000000"/>
        </w:rPr>
        <w:t xml:space="preserve">” </w:t>
      </w:r>
      <w:r>
        <w:rPr>
          <w:rFonts w:ascii="Times New Roman" w:hAnsi="Times New Roman"/>
          <w:color w:val="000000"/>
          <w:sz w:val="24"/>
        </w:rPr>
        <w:t>means all submissions to Regulatory Authorities and other Governmental Entities, including for Clinical Trials, preclinical trials, tests, and biostudies, relating to a Product, including all INDs, NDAs and Regulatory Approvals, as well as all correspondence with Governmental Entities (registration and licenses, pricing and reimbursement correspondence, regulatory drug lists, advertising and promotion documents), adverse event files, complaint files, manufacturing records and inspection reports.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240" w:after="283"/>
        <w:jc w:val="both"/>
        <w:rPr/>
      </w:pPr>
      <w:r>
        <w:rPr>
          <w:color w:val="000000"/>
        </w:rPr>
        <w:t>“</w:t>
      </w:r>
      <w:r>
        <w:rPr>
          <w:rFonts w:ascii="Times New Roman" w:hAnsi="Times New Roman"/>
          <w:color w:val="000000"/>
          <w:sz w:val="24"/>
          <w:u w:val="single"/>
        </w:rPr>
        <w:t>Research Plan</w:t>
      </w:r>
      <w:r>
        <w:rPr>
          <w:color w:val="000000"/>
        </w:rPr>
        <w:t xml:space="preserve">” </w:t>
      </w:r>
      <w:r>
        <w:rPr>
          <w:rFonts w:ascii="Times New Roman" w:hAnsi="Times New Roman"/>
          <w:color w:val="000000"/>
          <w:sz w:val="24"/>
        </w:rPr>
        <w:t>has the meaning set forth in Section 4.2(a).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240" w:after="283"/>
        <w:jc w:val="both"/>
        <w:rPr/>
      </w:pPr>
      <w:r>
        <w:rPr>
          <w:color w:val="000000"/>
        </w:rPr>
        <w:t>“</w:t>
      </w:r>
      <w:r>
        <w:rPr>
          <w:rFonts w:ascii="Times New Roman" w:hAnsi="Times New Roman"/>
          <w:color w:val="000000"/>
          <w:sz w:val="24"/>
          <w:u w:val="single"/>
        </w:rPr>
        <w:t>Retained Field</w:t>
      </w:r>
      <w:r>
        <w:rPr>
          <w:color w:val="000000"/>
        </w:rPr>
        <w:t xml:space="preserve">” </w:t>
      </w:r>
      <w:r>
        <w:rPr>
          <w:rFonts w:ascii="Times New Roman" w:hAnsi="Times New Roman"/>
          <w:color w:val="000000"/>
          <w:sz w:val="24"/>
        </w:rPr>
        <w:t xml:space="preserve">means all preparations, compositions and formulations of product containing Lasofoxifene other than for oral use in the Field in the Territory.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240" w:after="283"/>
        <w:jc w:val="both"/>
        <w:rPr/>
      </w:pPr>
      <w:r>
        <w:rPr>
          <w:color w:val="000000"/>
        </w:rPr>
        <w:t>“</w:t>
      </w:r>
      <w:r>
        <w:rPr>
          <w:rFonts w:ascii="Times New Roman" w:hAnsi="Times New Roman"/>
          <w:color w:val="000000"/>
          <w:sz w:val="24"/>
          <w:u w:val="single"/>
        </w:rPr>
        <w:t>Royalty Term</w:t>
      </w:r>
      <w:r>
        <w:rPr>
          <w:color w:val="000000"/>
        </w:rPr>
        <w:t xml:space="preserve">” </w:t>
      </w:r>
      <w:r>
        <w:rPr>
          <w:rFonts w:ascii="Times New Roman" w:hAnsi="Times New Roman"/>
          <w:color w:val="000000"/>
          <w:sz w:val="24"/>
        </w:rPr>
        <w:t>has the meaning set forth in Section 3.4(d).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240" w:after="283"/>
        <w:jc w:val="both"/>
        <w:rPr/>
      </w:pPr>
      <w:r>
        <w:rPr>
          <w:color w:val="000000"/>
        </w:rPr>
        <w:t>“</w:t>
      </w:r>
      <w:r>
        <w:rPr>
          <w:rFonts w:ascii="Times New Roman" w:hAnsi="Times New Roman"/>
          <w:color w:val="000000"/>
          <w:sz w:val="24"/>
          <w:u w:val="single"/>
        </w:rPr>
        <w:t>Sublicense Agreement</w:t>
      </w:r>
      <w:r>
        <w:rPr>
          <w:color w:val="000000"/>
        </w:rPr>
        <w:t xml:space="preserve">” </w:t>
      </w:r>
      <w:r>
        <w:rPr>
          <w:rFonts w:ascii="Times New Roman" w:hAnsi="Times New Roman"/>
          <w:color w:val="000000"/>
          <w:sz w:val="24"/>
        </w:rPr>
        <w:t xml:space="preserve">has the meaning set forth in Section 2.4(a).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240" w:after="283"/>
        <w:jc w:val="both"/>
        <w:rPr/>
      </w:pPr>
      <w:r>
        <w:rPr>
          <w:color w:val="000000"/>
        </w:rPr>
        <w:t>“</w:t>
      </w:r>
      <w:r>
        <w:rPr>
          <w:rFonts w:ascii="Times New Roman" w:hAnsi="Times New Roman"/>
          <w:color w:val="000000"/>
          <w:sz w:val="24"/>
          <w:u w:val="single"/>
        </w:rPr>
        <w:t>Sublicense Revenues</w:t>
      </w:r>
      <w:r>
        <w:rPr>
          <w:color w:val="000000"/>
        </w:rPr>
        <w:t xml:space="preserve">” </w:t>
      </w:r>
      <w:r>
        <w:rPr>
          <w:rFonts w:ascii="Times New Roman" w:hAnsi="Times New Roman"/>
          <w:color w:val="000000"/>
          <w:sz w:val="24"/>
        </w:rPr>
        <w:t xml:space="preserve">means amounts (including, any licensing fees, or license maintenance fees, or milestone payments) paid to the Licensee by any Sublicensee under a Sublicense Agreement, provided that Sublicense Revenues will not include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240" w:after="283"/>
        <w:jc w:val="both"/>
        <w:rPr/>
      </w:pPr>
      <w:r>
        <w:rPr>
          <w:color w:val="000000"/>
        </w:rPr>
        <w:t>“</w:t>
      </w:r>
      <w:r>
        <w:rPr>
          <w:rFonts w:ascii="Times New Roman" w:hAnsi="Times New Roman"/>
          <w:color w:val="000000"/>
          <w:sz w:val="24"/>
          <w:u w:val="single"/>
        </w:rPr>
        <w:t>Sublicensee</w:t>
      </w:r>
      <w:r>
        <w:rPr>
          <w:color w:val="000000"/>
        </w:rPr>
        <w:t xml:space="preserve">” </w:t>
      </w:r>
      <w:r>
        <w:rPr>
          <w:rFonts w:ascii="Times New Roman" w:hAnsi="Times New Roman"/>
          <w:color w:val="000000"/>
          <w:sz w:val="24"/>
        </w:rPr>
        <w:t>means a Third Party to whom Licensee grants a sublicense hereunder to sell, offer for sale or import a Product, but excluding wholesalers and other physical distributors. For the avoidance of doubt,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240" w:after="283"/>
        <w:jc w:val="both"/>
        <w:rPr/>
      </w:pPr>
      <w:r>
        <w:rPr>
          <w:color w:val="000000"/>
        </w:rPr>
        <w:t>“</w:t>
      </w:r>
      <w:r>
        <w:rPr>
          <w:rFonts w:ascii="Times New Roman" w:hAnsi="Times New Roman"/>
          <w:color w:val="000000"/>
          <w:sz w:val="24"/>
          <w:u w:val="single"/>
        </w:rPr>
        <w:t>Term</w:t>
      </w:r>
      <w:r>
        <w:rPr>
          <w:color w:val="000000"/>
        </w:rPr>
        <w:t xml:space="preserve">” </w:t>
      </w:r>
      <w:r>
        <w:rPr>
          <w:rFonts w:ascii="Times New Roman" w:hAnsi="Times New Roman"/>
          <w:color w:val="000000"/>
          <w:sz w:val="24"/>
        </w:rPr>
        <w:t>has the meaning set forth in Section 10.1.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240" w:after="283"/>
        <w:jc w:val="both"/>
        <w:rPr/>
      </w:pPr>
      <w:r>
        <w:rPr>
          <w:color w:val="000000"/>
        </w:rPr>
        <w:t>“</w:t>
      </w:r>
      <w:r>
        <w:rPr>
          <w:rFonts w:ascii="Times New Roman" w:hAnsi="Times New Roman"/>
          <w:color w:val="000000"/>
          <w:sz w:val="24"/>
          <w:u w:val="single"/>
        </w:rPr>
        <w:t>Territory</w:t>
      </w:r>
      <w:r>
        <w:rPr>
          <w:color w:val="000000"/>
        </w:rPr>
        <w:t xml:space="preserve">” </w:t>
      </w:r>
      <w:r>
        <w:rPr>
          <w:rFonts w:ascii="Times New Roman" w:hAnsi="Times New Roman"/>
          <w:color w:val="000000"/>
          <w:sz w:val="24"/>
        </w:rPr>
        <w:t xml:space="preserve">means worldwide other than Geographical Asia.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240" w:after="283"/>
        <w:jc w:val="both"/>
        <w:rPr/>
      </w:pPr>
      <w:r>
        <w:rPr>
          <w:color w:val="000000"/>
        </w:rPr>
        <w:t>“</w:t>
      </w:r>
      <w:r>
        <w:rPr>
          <w:rFonts w:ascii="Times New Roman" w:hAnsi="Times New Roman"/>
          <w:color w:val="000000"/>
          <w:sz w:val="24"/>
          <w:u w:val="single"/>
        </w:rPr>
        <w:t>Third Party</w:t>
      </w:r>
      <w:r>
        <w:rPr>
          <w:color w:val="000000"/>
        </w:rPr>
        <w:t xml:space="preserve">” </w:t>
      </w:r>
      <w:r>
        <w:rPr>
          <w:rFonts w:ascii="Times New Roman" w:hAnsi="Times New Roman"/>
          <w:color w:val="000000"/>
          <w:sz w:val="24"/>
        </w:rPr>
        <w:t xml:space="preserve">means any Person other than Ligand, Licensee or any Affiliate of either Ligand or Licensee.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240" w:after="283"/>
        <w:jc w:val="both"/>
        <w:rPr/>
      </w:pPr>
      <w:r>
        <w:rPr>
          <w:color w:val="000000"/>
        </w:rPr>
        <w:t>“</w:t>
      </w:r>
      <w:r>
        <w:rPr>
          <w:rFonts w:ascii="Times New Roman" w:hAnsi="Times New Roman"/>
          <w:color w:val="000000"/>
          <w:sz w:val="24"/>
          <w:u w:val="single"/>
        </w:rPr>
        <w:t>Valid Claim</w:t>
      </w:r>
      <w:r>
        <w:rPr>
          <w:color w:val="000000"/>
        </w:rPr>
        <w:t xml:space="preserve">” </w:t>
      </w:r>
      <w:r>
        <w:rPr>
          <w:rFonts w:ascii="Times New Roman" w:hAnsi="Times New Roman"/>
          <w:color w:val="000000"/>
          <w:sz w:val="24"/>
        </w:rPr>
        <w:t xml:space="preserve">means (a) any claim of [***] patent within the Licensed Patents that has not been [***], and which patent has not been [***], or (b)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Unless the context of this Agreement otherwise requires: (a) words of any gender include each other gender; (b) words using the singular or plural number also include the plural or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singular number, respectively; (c) the terms “hereof,” “herein,” “hereby” and derivative or similar words refer to this entire Agreement; (d) the terms “Article,” “Section” or “Exhibit” refer to the specified Article, Section or Exhibit of this Agreement; and (e) the term “including” means “including without limitation.” Whenever this Agreement refers to a number of days, such number shall refer to calendar days.</w:t>
      </w:r>
      <w:r>
        <w:rPr>
          <w:color w:val="00000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2</w:t>
      </w:r>
    </w:p>
    <w:p>
      <w:pPr>
        <w:pStyle w:val="TextBody"/>
        <w:bidi w:val="0"/>
        <w:spacing w:before="240" w:after="283"/>
        <w:jc w:val="center"/>
        <w:rPr/>
      </w:pPr>
      <w:r>
        <w:rPr>
          <w:rFonts w:ascii="Times New Roman" w:hAnsi="Times New Roman"/>
          <w:b/>
          <w:caps/>
          <w:color w:val="000000"/>
          <w:sz w:val="24"/>
          <w:u w:val="single"/>
        </w:rPr>
        <w:br/>
      </w:r>
      <w:r>
        <w:rPr>
          <w:rFonts w:ascii="Times New Roman" w:hAnsi="Times New Roman"/>
          <w:b/>
          <w:caps/>
          <w:color w:val="000000"/>
          <w:sz w:val="24"/>
        </w:rPr>
        <w:t>LICENSES AND TECHNOLOGY TRANSFER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Exclusive License for the Products.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During the Term, subject to the terms and conditions of this Agreement, Ligand hereby grants to Licensee an exclusive, royalty-bearing right and license under the Licensed Technology to develop, make, have made, use, sell, have sold, import and export Products in the Field in the Territory. For clarity, in the foregoing sentence, “exclusive” means that Ligand shall not for its own account, and shall not grant to any Third Party the right and license under the Licensed Technology to, develop, make, have made, use, sell, have sold, import and export Products in the Field in the Territory.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240" w:after="283"/>
        <w:jc w:val="both"/>
        <w:rPr/>
      </w:pPr>
      <w:r>
        <w:rPr>
          <w:rFonts w:ascii="Times New Roman" w:hAnsi="Times New Roman"/>
          <w:b/>
          <w:color w:val="000000"/>
          <w:sz w:val="24"/>
        </w:rPr>
        <w:t>Rights to Improvements.</w:t>
      </w:r>
      <w:r>
        <w:rPr>
          <w:color w:val="000000"/>
        </w:rPr>
        <w:t xml:space="preserve"> </w:t>
      </w:r>
      <w:r>
        <w:rPr>
          <w:rFonts w:ascii="Times New Roman" w:hAnsi="Times New Roman"/>
          <w:color w:val="000000"/>
          <w:sz w:val="24"/>
        </w:rPr>
        <w:t>Licensee and its permitted Sublicensees shall have the right to make Improvements to the Licensed Technology, and to utilize such Improvements to develop, make, have made, use, sell, have sold, import and export Products in the Field in the Territory.</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240" w:after="283"/>
        <w:jc w:val="both"/>
        <w:rPr/>
      </w:pPr>
      <w:r>
        <w:rPr>
          <w:rFonts w:ascii="Times New Roman" w:hAnsi="Times New Roman"/>
          <w:b/>
          <w:color w:val="000000"/>
          <w:sz w:val="24"/>
        </w:rPr>
        <w:t>License Back to Ligand</w:t>
      </w:r>
      <w:r>
        <w:rPr>
          <w:rFonts w:ascii="Times New Roman" w:hAnsi="Times New Roman"/>
          <w:color w:val="000000"/>
          <w:sz w:val="24"/>
        </w:rPr>
        <w:t xml:space="preserve">. Subject to the terms and conditions of this Agreement, Licensee hereby grants Ligand a non-exclusive, perpetual, irrevocable, royalty-free, fully paid-up worldwide license, with the right to sublicense through multiple tiers, under the Licensee Improvements to develop, seek regulatory approval for, make, have made, import, export, use, offer for sale and sell products comprising Lasofoxifene other than Products.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Sublicenses.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The rights and licenses granted pursuant to Section 2.1 include the right to grant sublicenses pursuant to a written sublicense agreement (each a “</w:t>
      </w:r>
      <w:r>
        <w:rPr>
          <w:rFonts w:ascii="Times New Roman" w:hAnsi="Times New Roman"/>
          <w:color w:val="000000"/>
          <w:sz w:val="24"/>
          <w:u w:val="single"/>
        </w:rPr>
        <w:t>Sublicense Agreement</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 any such Sublicense Agreement shall be consistent with and subject to the terms and conditions of this Agreement; (ii) Licensee shall remain fully responsible to Ligand for the performance of its Sublicensee(s) with respect to Licensee’s obligations under the terms of this Agreement; (iii)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Should this Agreement terminate for any reason, at the request of Licensee or any of its Sublicensees, Ligand shall grant such Sublicensee a direct license to the Licensed Technology in the Territory and the Field on the same terms applicable to Licensee under this Agreement and limited to the scope of rights granted by Licensee to a Sublicensee. In no event shall Ligand have greater obligations under any such written agreement than Ligand has under this Agreement.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240" w:after="283"/>
        <w:jc w:val="both"/>
        <w:rPr/>
      </w:pPr>
      <w:r>
        <w:rPr>
          <w:rFonts w:ascii="Times New Roman" w:hAnsi="Times New Roman"/>
          <w:b/>
          <w:color w:val="000000"/>
          <w:sz w:val="24"/>
        </w:rPr>
        <w:t xml:space="preserve">Technology Transfer. </w:t>
      </w:r>
      <w:r>
        <w:rPr>
          <w:rFonts w:ascii="Times New Roman" w:hAnsi="Times New Roman"/>
          <w:color w:val="000000"/>
          <w:sz w:val="24"/>
        </w:rPr>
        <w:t xml:space="preserve">Ligand acknowledges and agrees that Sermonix has or will disclose and provide to Licensee all tangible embodiments of data and information concerning the Licensed Technology and Regulatory Documentation (including without limitation all safety data for the Product) that is in Sermonix’s possession as of the Effective Date and was disclosed and provided to Sermonix by Ligand pursuant to the Original Agreement. Licensee is permitted to maintain a global safety database for the Product throughout the Term and to receive safety data for the Product from Sermonix for inclusion in the global safety database and to disclose safety data from the global safety database to Sermonix for its use in Geographical Asia.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240" w:after="283"/>
        <w:jc w:val="both"/>
        <w:rPr/>
      </w:pPr>
      <w:r>
        <w:rPr>
          <w:rFonts w:ascii="Times New Roman" w:hAnsi="Times New Roman"/>
          <w:b/>
          <w:color w:val="000000"/>
          <w:sz w:val="24"/>
        </w:rPr>
        <w:t>Reserved</w:t>
      </w:r>
      <w:r>
        <w:rPr>
          <w:rFonts w:ascii="Times New Roman" w:hAnsi="Times New Roman"/>
          <w:color w:val="000000"/>
          <w:sz w:val="24"/>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240" w:after="283"/>
        <w:jc w:val="both"/>
        <w:rPr/>
      </w:pPr>
      <w:r>
        <w:rPr>
          <w:rFonts w:ascii="Times New Roman" w:hAnsi="Times New Roman"/>
          <w:b/>
          <w:color w:val="000000"/>
          <w:sz w:val="24"/>
        </w:rPr>
        <w:t xml:space="preserve">Manufacturing. </w:t>
      </w:r>
      <w:r>
        <w:rPr>
          <w:rFonts w:ascii="Times New Roman" w:hAnsi="Times New Roman"/>
          <w:color w:val="000000"/>
          <w:sz w:val="24"/>
        </w:rPr>
        <w:t xml:space="preserve">Licensee shall be solely responsible for manufacturing and supplying Lasofoxifene and finished dosage form of Product for commercialization in the Territory. In this role, Licensee shall identify and manage Third Party contract manufacturers, as well as lead all supply chain management and quality control activities.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240" w:after="283"/>
        <w:jc w:val="both"/>
        <w:rPr/>
      </w:pPr>
      <w:r>
        <w:rPr>
          <w:rFonts w:ascii="Times New Roman" w:hAnsi="Times New Roman"/>
          <w:b/>
          <w:color w:val="000000"/>
          <w:sz w:val="24"/>
        </w:rPr>
        <w:t>No Other Rights.</w:t>
      </w:r>
      <w:r>
        <w:rPr>
          <w:color w:val="000000"/>
        </w:rPr>
        <w:t xml:space="preserve"> </w:t>
      </w:r>
      <w:r>
        <w:rPr>
          <w:rFonts w:ascii="Times New Roman" w:hAnsi="Times New Roman"/>
          <w:color w:val="000000"/>
          <w:sz w:val="24"/>
        </w:rPr>
        <w:t xml:space="preserve">Ligand and Licensee each acknowledges and agrees that, except as expressly granted under this Agreement, no right, title, or interest of any nature whatsoever is granted whether by implication, estoppel, reliance, or otherwise, by either Party to the other Party. All rights with respect to technology, Patents or other Intellectual Property Rights that are not specifically granted herein are reserved.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2.9</w:t>
      </w:r>
    </w:p>
    <w:p>
      <w:pPr>
        <w:pStyle w:val="TextBody"/>
        <w:bidi w:val="0"/>
        <w:spacing w:before="240" w:after="283"/>
        <w:jc w:val="both"/>
        <w:rPr/>
      </w:pPr>
      <w:r>
        <w:rPr>
          <w:rFonts w:ascii="Times New Roman" w:hAnsi="Times New Roman"/>
          <w:b/>
          <w:color w:val="000000"/>
          <w:sz w:val="24"/>
        </w:rPr>
        <w:t>Bankruptcy.</w:t>
      </w:r>
      <w:r>
        <w:rPr>
          <w:color w:val="000000"/>
        </w:rPr>
        <w:t xml:space="preserve"> </w:t>
      </w:r>
      <w:r>
        <w:rPr>
          <w:rFonts w:ascii="Times New Roman" w:hAnsi="Times New Roman"/>
          <w:color w:val="000000"/>
          <w:sz w:val="24"/>
        </w:rPr>
        <w:t xml:space="preserve">All rights and licenses granted under or pursuant to this Agreement, including amendments hereto, are, for all purposes of 11 U.S.C. § 365(n), licenses of rights to intellectual property as defined in the United States Bankruptcy Code, and any comparable Law of a relevant jurisdiction. Each Party may elect to retain and may fully exercise all of its rights and elections under 11 U.S.C. § 365(n). The Parties further agree that, in the event of the commencement a bankruptcy proceeding by or against Ligand under the United States Bankruptcy Code, Licensee shall be entitled to a complete duplicate of (or complete access to, as appropriate) any intellectual property licensed to Licensee and all embodiments of such intellectual property, which, if not already in Licensee’s possession, shall be promptly delivered to it (a) upon any such commencement of a bankruptcy proceeding upon Licensee’s written request therefor, unless Ligand elects to continue to perform all of its obligations under this Agreement or (b) if not delivered under clause (a), following the rejection of this Agreement by Ligand upon written request therefor by Licensee.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3</w:t>
      </w:r>
    </w:p>
    <w:p>
      <w:pPr>
        <w:pStyle w:val="TextBody"/>
        <w:bidi w:val="0"/>
        <w:spacing w:before="240" w:after="283"/>
        <w:jc w:val="center"/>
        <w:rPr>
          <w:rFonts w:ascii="Times New Roman" w:hAnsi="Times New Roman"/>
          <w:b/>
          <w:caps/>
          <w:color w:val="000000"/>
          <w:sz w:val="24"/>
          <w:u w:val="single"/>
        </w:rPr>
      </w:pPr>
      <w:r>
        <w:rPr>
          <w:rFonts w:ascii="Times New Roman" w:hAnsi="Times New Roman"/>
          <w:b/>
          <w:caps/>
          <w:color w:val="000000"/>
          <w:sz w:val="24"/>
          <w:u w:val="single"/>
        </w:rPr>
        <w:br/>
        <w:t>Compensation</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240" w:after="240"/>
        <w:jc w:val="both"/>
        <w:rPr/>
      </w:pPr>
      <w:r>
        <w:rPr>
          <w:rFonts w:ascii="Times New Roman" w:hAnsi="Times New Roman"/>
          <w:b/>
          <w:color w:val="000000"/>
          <w:sz w:val="24"/>
        </w:rPr>
        <w:t>Reserved.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 xml:space="preserve">Regulatory Milestone Payments. </w:t>
      </w:r>
      <w:r>
        <w:rPr>
          <w:rFonts w:ascii="Times New Roman" w:hAnsi="Times New Roman"/>
          <w:color w:val="000000"/>
          <w:sz w:val="24"/>
        </w:rPr>
        <w:t>In further consideration of the rights and licenses granted by Ligand hereunder, on a Product-by-Product basis, Licensee shall pay to Ligand the non-refundable and non-creditable milestone payments set forth below for the achievement by Licensee or its Affiliates or Sublicensees of each of the corresponding events, said milestone payments to be made upon no later [***] after [***] provided such milestone payments shall be accelerated and due and payable in their entirety within [***] after either (i) [***] or (ii) [***]:</w:t>
      </w:r>
    </w:p>
    <w:tbl>
      <w:tblPr>
        <w:tblW w:w="2147" w:type="dxa"/>
        <w:jc w:val="left"/>
        <w:tblInd w:w="0" w:type="dxa"/>
        <w:tblLayout w:type="fixed"/>
        <w:tblCellMar>
          <w:top w:w="28" w:type="dxa"/>
          <w:left w:w="28" w:type="dxa"/>
          <w:bottom w:w="28" w:type="dxa"/>
          <w:right w:w="28" w:type="dxa"/>
        </w:tblCellMar>
      </w:tblPr>
      <w:tblGrid>
        <w:gridCol w:w="1096"/>
        <w:gridCol w:w="1051"/>
      </w:tblGrid>
      <w:tr>
        <w:trPr/>
        <w:tc>
          <w:tcPr>
            <w:tcW w:w="10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0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Milestone</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Payment</w:t>
            </w:r>
          </w:p>
        </w:tc>
      </w:tr>
      <w:tr>
        <w:trPr/>
        <w:tc>
          <w:tcPr>
            <w:tcW w:w="10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r>
      <w:tr>
        <w:trPr/>
        <w:tc>
          <w:tcPr>
            <w:tcW w:w="10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r>
    </w:tbl>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left"/>
        <w:rPr/>
      </w:pPr>
      <w:r>
        <w:rPr>
          <w:rFonts w:ascii="Times New Roman" w:hAnsi="Times New Roman"/>
          <w:b/>
          <w:color w:val="000000"/>
          <w:sz w:val="24"/>
        </w:rPr>
        <w:t xml:space="preserve">Commercial Milestone Payments. </w:t>
      </w:r>
      <w:r>
        <w:rPr>
          <w:rFonts w:ascii="Times New Roman" w:hAnsi="Times New Roman"/>
          <w:color w:val="000000"/>
          <w:sz w:val="24"/>
        </w:rPr>
        <w:t>In further consideration of the rights and licenses granted by Ligand hereunder, on a Product-by-Product basis, Licensee shall pay to Ligand the non-refundable and non-creditable milestone payments set forth below within [***] of the achievement by Licensee or its Affiliates or Sublicensees of each of the corresponding events:</w:t>
      </w:r>
    </w:p>
    <w:tbl>
      <w:tblPr>
        <w:tblW w:w="2147" w:type="dxa"/>
        <w:jc w:val="left"/>
        <w:tblInd w:w="0" w:type="dxa"/>
        <w:tblLayout w:type="fixed"/>
        <w:tblCellMar>
          <w:top w:w="28" w:type="dxa"/>
          <w:left w:w="28" w:type="dxa"/>
          <w:bottom w:w="28" w:type="dxa"/>
          <w:right w:w="28" w:type="dxa"/>
        </w:tblCellMar>
      </w:tblPr>
      <w:tblGrid>
        <w:gridCol w:w="1096"/>
        <w:gridCol w:w="1051"/>
      </w:tblGrid>
      <w:tr>
        <w:trPr/>
        <w:tc>
          <w:tcPr>
            <w:tcW w:w="10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0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44" w:after="60"/>
              <w:jc w:val="center"/>
              <w:rPr>
                <w:rFonts w:ascii="Times New Roman" w:hAnsi="Times New Roman"/>
                <w:b/>
                <w:color w:val="000000"/>
                <w:sz w:val="24"/>
              </w:rPr>
            </w:pPr>
            <w:r>
              <w:rPr>
                <w:rFonts w:ascii="Times New Roman" w:hAnsi="Times New Roman"/>
                <w:b/>
                <w:color w:val="000000"/>
                <w:sz w:val="24"/>
              </w:rPr>
              <w:t>Milestone</w:t>
            </w:r>
          </w:p>
        </w:tc>
        <w:tc>
          <w:tcPr>
            <w:tcW w:w="105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44" w:after="60"/>
              <w:jc w:val="center"/>
              <w:rPr>
                <w:rFonts w:ascii="Times New Roman" w:hAnsi="Times New Roman"/>
                <w:b/>
                <w:color w:val="000000"/>
                <w:sz w:val="24"/>
              </w:rPr>
            </w:pPr>
            <w:r>
              <w:rPr>
                <w:rFonts w:ascii="Times New Roman" w:hAnsi="Times New Roman"/>
                <w:b/>
                <w:color w:val="000000"/>
                <w:sz w:val="24"/>
              </w:rPr>
              <w:t>Payment</w:t>
            </w:r>
          </w:p>
        </w:tc>
      </w:tr>
      <w:tr>
        <w:trPr/>
        <w:tc>
          <w:tcPr>
            <w:tcW w:w="10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r>
      <w:tr>
        <w:trPr/>
        <w:tc>
          <w:tcPr>
            <w:tcW w:w="10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r>
      <w:tr>
        <w:trPr/>
        <w:tc>
          <w:tcPr>
            <w:tcW w:w="109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c>
          <w:tcPr>
            <w:tcW w:w="105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w:t>
            </w:r>
          </w:p>
        </w:tc>
      </w:tr>
    </w:tbl>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240" w:after="283"/>
        <w:jc w:val="both"/>
        <w:rPr/>
      </w:pPr>
      <w:r>
        <w:rPr>
          <w:rFonts w:ascii="Times New Roman" w:hAnsi="Times New Roman"/>
          <w:b/>
          <w:color w:val="000000"/>
          <w:sz w:val="24"/>
        </w:rPr>
        <w:t>Payment of Royalties</w:t>
      </w:r>
      <w:r>
        <w:rPr>
          <w:color w:val="000000"/>
        </w:rPr>
        <w:t xml:space="preserve">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40"/>
        <w:jc w:val="both"/>
        <w:rPr/>
      </w:pPr>
      <w:r>
        <w:rPr>
          <w:rFonts w:ascii="Times New Roman" w:hAnsi="Times New Roman"/>
          <w:color w:val="000000"/>
          <w:sz w:val="24"/>
          <w:u w:val="single"/>
        </w:rPr>
        <w:t>Royalty Rates</w:t>
      </w:r>
      <w:r>
        <w:rPr>
          <w:rFonts w:ascii="Times New Roman" w:hAnsi="Times New Roman"/>
          <w:color w:val="000000"/>
          <w:sz w:val="24"/>
        </w:rPr>
        <w:t xml:space="preserve">. In further consideration of the rights and licenses granted by Ligand hereunder, Licensee shall pay to Ligand a tiered royalty on aggregate Net Sales of Product sold by Licensee, its Affiliates and Sublicensees during the Royalty Term as follows: </w:t>
      </w:r>
    </w:p>
    <w:tbl>
      <w:tblPr>
        <w:tblW w:w="5162" w:type="dxa"/>
        <w:jc w:val="left"/>
        <w:tblInd w:w="0" w:type="dxa"/>
        <w:tblLayout w:type="fixed"/>
        <w:tblCellMar>
          <w:top w:w="28" w:type="dxa"/>
          <w:left w:w="28" w:type="dxa"/>
          <w:bottom w:w="28" w:type="dxa"/>
          <w:right w:w="28" w:type="dxa"/>
        </w:tblCellMar>
      </w:tblPr>
      <w:tblGrid>
        <w:gridCol w:w="3751"/>
        <w:gridCol w:w="1411"/>
      </w:tblGrid>
      <w:tr>
        <w:trPr/>
        <w:tc>
          <w:tcPr>
            <w:tcW w:w="375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7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Net Sales in a Single Calendar Year</w:t>
            </w:r>
          </w:p>
        </w:tc>
        <w:tc>
          <w:tcPr>
            <w:tcW w:w="14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60" w:after="60"/>
              <w:jc w:val="center"/>
              <w:rPr>
                <w:rFonts w:ascii="Times New Roman" w:hAnsi="Times New Roman"/>
                <w:b/>
                <w:color w:val="000000"/>
                <w:sz w:val="24"/>
              </w:rPr>
            </w:pPr>
            <w:r>
              <w:rPr>
                <w:rFonts w:ascii="Times New Roman" w:hAnsi="Times New Roman"/>
                <w:b/>
                <w:color w:val="000000"/>
                <w:sz w:val="24"/>
              </w:rPr>
              <w:t>Royalty rate</w:t>
            </w:r>
          </w:p>
        </w:tc>
      </w:tr>
      <w:tr>
        <w:trPr/>
        <w:tc>
          <w:tcPr>
            <w:tcW w:w="3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6%</w:t>
            </w:r>
          </w:p>
        </w:tc>
      </w:tr>
      <w:tr>
        <w:trPr/>
        <w:tc>
          <w:tcPr>
            <w:tcW w:w="3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w:t>
            </w:r>
          </w:p>
        </w:tc>
      </w:tr>
      <w:tr>
        <w:trPr/>
        <w:tc>
          <w:tcPr>
            <w:tcW w:w="37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color w:val="000000"/>
                <w:sz w:val="24"/>
              </w:rPr>
            </w:pPr>
            <w:r>
              <w:rPr>
                <w:rFonts w:ascii="Times New Roman" w:hAnsi="Times New Roman"/>
                <w:color w:val="000000"/>
                <w:sz w:val="24"/>
              </w:rPr>
              <w:t>[***]</w:t>
            </w:r>
          </w:p>
        </w:tc>
        <w:tc>
          <w:tcPr>
            <w:tcW w:w="14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10%</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Sublicensing</w:t>
      </w:r>
      <w:r>
        <w:rPr>
          <w:rFonts w:ascii="Times New Roman" w:hAnsi="Times New Roman"/>
          <w:color w:val="000000"/>
          <w:sz w:val="24"/>
        </w:rPr>
        <w:t>. In the event Licensee grants a sublicense under Section 2.4 to a Sublicensee to develop, make, use, sell, offer to sell, import or export a Product, the applicable Sublicense Agreement shall require the Sublicensee 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pPr>
      <w:r>
        <w:rPr>
          <w:rFonts w:ascii="Times New Roman" w:hAnsi="Times New Roman"/>
          <w:color w:val="000000"/>
          <w:sz w:val="24"/>
          <w:u w:val="single"/>
        </w:rPr>
        <w:t>Payment of Royalties</w:t>
      </w:r>
      <w:r>
        <w:rPr>
          <w:rFonts w:ascii="Times New Roman" w:hAnsi="Times New Roman"/>
          <w:color w:val="000000"/>
          <w:sz w:val="24"/>
        </w:rPr>
        <w:t xml:space="preserve">. Licensee shall pay on a [***] basis all royalties due and payable on Net Sales of Product in each [***] pursuant to this Section 3.4 within [***] after [***]; </w:t>
      </w:r>
      <w:r>
        <w:rPr>
          <w:rFonts w:ascii="Times New Roman" w:hAnsi="Times New Roman"/>
          <w:i/>
          <w:color w:val="000000"/>
          <w:sz w:val="24"/>
        </w:rPr>
        <w:t>provided</w:t>
      </w:r>
      <w:r>
        <w:rPr>
          <w:rFonts w:ascii="Times New Roman" w:hAnsi="Times New Roman"/>
          <w:color w:val="000000"/>
          <w:sz w:val="24"/>
        </w:rPr>
        <w:t xml:space="preserve">, that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pPr>
      <w:r>
        <w:rPr>
          <w:rFonts w:ascii="Times New Roman" w:hAnsi="Times New Roman"/>
          <w:color w:val="000000"/>
          <w:sz w:val="24"/>
          <w:u w:val="single"/>
        </w:rPr>
        <w:t>Royalty Term</w:t>
      </w:r>
      <w:r>
        <w:rPr>
          <w:rFonts w:ascii="Times New Roman" w:hAnsi="Times New Roman"/>
          <w:color w:val="000000"/>
          <w:sz w:val="24"/>
        </w:rPr>
        <w:t xml:space="preserve">. Notwithstanding anything to the contrary, the royalties under this Section 3.4 shall be payable in respect of each Product until the end of the Term; </w:t>
      </w:r>
      <w:r>
        <w:rPr>
          <w:rFonts w:ascii="Times New Roman" w:hAnsi="Times New Roman"/>
          <w:i/>
          <w:color w:val="000000"/>
          <w:sz w:val="24"/>
        </w:rPr>
        <w:t>provided, however</w:t>
      </w:r>
      <w:r>
        <w:rPr>
          <w:rFonts w:ascii="Times New Roman" w:hAnsi="Times New Roman"/>
          <w:color w:val="000000"/>
          <w:sz w:val="24"/>
        </w:rPr>
        <w:t>, that the royalty rate for Licensee shall be reduced by [***] on a country-by-country, Product-by-Product basis upon the later of (i) the expiry of the last Valid Claim in the last Licensed Patent in such country including any extensions thereto, (ii) the expiration of any market exclusivity or data exclusivity granted by the applicable Regulatory Authority for such Product in the Territory, and (iii) fifteen (15) years after the First Commercial Sale of such Product in such country (the “</w:t>
      </w:r>
      <w:r>
        <w:rPr>
          <w:rFonts w:ascii="Times New Roman" w:hAnsi="Times New Roman"/>
          <w:color w:val="000000"/>
          <w:sz w:val="24"/>
          <w:u w:val="single"/>
        </w:rPr>
        <w:t>Royalty Term</w:t>
      </w:r>
      <w:r>
        <w:rPr>
          <w:color w:val="000000"/>
        </w:rPr>
        <w:t>”</w:t>
      </w:r>
      <w:r>
        <w:rPr>
          <w:rFonts w:ascii="Times New Roman" w:hAnsi="Times New Roman"/>
          <w:color w:val="000000"/>
          <w:sz w:val="24"/>
        </w:rPr>
        <w:t xml:space="preserve">). Licensee acknowledges that such reduced royalty is fair and reasonable in order to compensate Ligand for Licensee's continuing license of the Ligand Know-How.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pPr>
      <w:r>
        <w:rPr>
          <w:rFonts w:ascii="Times New Roman" w:hAnsi="Times New Roman"/>
          <w:color w:val="000000"/>
          <w:sz w:val="24"/>
          <w:u w:val="single"/>
        </w:rPr>
        <w:t>Third Party Payments on Products</w:t>
      </w:r>
      <w:r>
        <w:rPr>
          <w:rFonts w:ascii="Times New Roman" w:hAnsi="Times New Roman"/>
          <w:color w:val="000000"/>
          <w:sz w:val="24"/>
        </w:rPr>
        <w:t>. Licensee shall be responsible for [***] in connection with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40" w:after="283"/>
        <w:jc w:val="both"/>
        <w:rPr/>
      </w:pPr>
      <w:r>
        <w:rPr>
          <w:rFonts w:ascii="Times New Roman" w:hAnsi="Times New Roman"/>
          <w:color w:val="000000"/>
          <w:sz w:val="24"/>
          <w:u w:val="single"/>
        </w:rPr>
        <w:t>Generic Entry</w:t>
      </w:r>
      <w:r>
        <w:rPr>
          <w:rFonts w:ascii="Times New Roman" w:hAnsi="Times New Roman"/>
          <w:color w:val="000000"/>
          <w:sz w:val="24"/>
        </w:rPr>
        <w:t>. Notwithstanding the foregoing, (i) for Net Sales based on sales of a Product in a country in the Territory, any payments owed with respect to such Product pursuant to this Section 3.4 will be reduced by [***] for [***], if at any time a Generic Product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(g)</w:t>
      </w:r>
    </w:p>
    <w:p>
      <w:pPr>
        <w:pStyle w:val="TextBody"/>
        <w:bidi w:val="0"/>
        <w:spacing w:before="240" w:after="283"/>
        <w:jc w:val="both"/>
        <w:rPr/>
      </w:pPr>
      <w:r>
        <w:rPr>
          <w:rFonts w:ascii="Times New Roman" w:hAnsi="Times New Roman"/>
          <w:color w:val="000000"/>
          <w:sz w:val="24"/>
          <w:u w:val="single"/>
        </w:rPr>
        <w:t>Third Party Patents</w:t>
      </w:r>
      <w:r>
        <w:rPr>
          <w:rFonts w:ascii="Times New Roman" w:hAnsi="Times New Roman"/>
          <w:color w:val="000000"/>
          <w:sz w:val="24"/>
        </w:rPr>
        <w:t>.</w:t>
      </w:r>
      <w:r>
        <w:rPr>
          <w:color w:val="000000"/>
        </w:rPr>
        <w:t xml:space="preserve"> </w:t>
      </w:r>
      <w:r>
        <w:rPr>
          <w:rFonts w:ascii="Times New Roman" w:hAnsi="Times New Roman"/>
          <w:color w:val="000000"/>
          <w:sz w:val="24"/>
        </w:rPr>
        <w:t>If the Intellectual Property Rights from any Third Party cover the composition of matter of Lasofoxifene in a country in the Territory, then Licensee may negotiate and obtain a license under, or otherwise pay amounts with respect to any litigation regarding, such Third Party’s Intellectual Property Right(s) (each such Third Party license or payment referred to herein as an “</w:t>
      </w:r>
      <w:r>
        <w:rPr>
          <w:rFonts w:ascii="Times New Roman" w:hAnsi="Times New Roman"/>
          <w:color w:val="000000"/>
          <w:sz w:val="24"/>
          <w:u w:val="single"/>
        </w:rPr>
        <w:t>Additional Third Party License</w:t>
      </w:r>
      <w:r>
        <w:rPr>
          <w:color w:val="000000"/>
        </w:rPr>
        <w:t>”</w:t>
      </w:r>
      <w:r>
        <w:rPr>
          <w:rFonts w:ascii="Times New Roman" w:hAnsi="Times New Roman"/>
          <w:color w:val="000000"/>
          <w:sz w:val="24"/>
        </w:rPr>
        <w:t xml:space="preserve">). Any royalty otherwise payable to Ligand under this Agreement with respect to Net Sales of any Product by Licensee, its Affiliates or Sublicensees in such country will be reduced by [***] of [***] to Third Parties pursuant to any Additional Third Party Licenses, such reduction to continue (and be carried forward for use) until all such amounts have been expended, </w:t>
      </w:r>
      <w:r>
        <w:rPr>
          <w:rFonts w:ascii="Times New Roman" w:hAnsi="Times New Roman"/>
          <w:i/>
          <w:color w:val="000000"/>
          <w:sz w:val="24"/>
        </w:rPr>
        <w:t>provided that</w:t>
      </w:r>
      <w:r>
        <w:rPr>
          <w:rFonts w:ascii="Times New Roman" w:hAnsi="Times New Roman"/>
          <w:color w:val="000000"/>
          <w:sz w:val="24"/>
        </w:rPr>
        <w:t xml:space="preserve">, in no event will [***] be less than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3.5</w:t>
      </w:r>
    </w:p>
    <w:p>
      <w:pPr>
        <w:pStyle w:val="TextBody"/>
        <w:bidi w:val="0"/>
        <w:spacing w:before="240" w:after="283"/>
        <w:jc w:val="both"/>
        <w:rPr/>
      </w:pPr>
      <w:r>
        <w:rPr>
          <w:rFonts w:ascii="Times New Roman" w:hAnsi="Times New Roman"/>
          <w:b/>
          <w:color w:val="000000"/>
          <w:sz w:val="24"/>
        </w:rPr>
        <w:t xml:space="preserve">Sublicense Revenues. </w:t>
      </w:r>
      <w:r>
        <w:rPr>
          <w:rFonts w:ascii="Times New Roman" w:hAnsi="Times New Roman"/>
          <w:color w:val="000000"/>
          <w:sz w:val="24"/>
        </w:rPr>
        <w:t xml:space="preserve">In addition to any payments due under Sections 3.2, 3.3 or 3.4 as a result of a Sublicensee’s activities, the Licensee shall pay to Ligand [***] of all Sublicense Revenues within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3.6</w:t>
      </w:r>
    </w:p>
    <w:p>
      <w:pPr>
        <w:pStyle w:val="TextBody"/>
        <w:bidi w:val="0"/>
        <w:spacing w:before="240" w:after="283"/>
        <w:jc w:val="both"/>
        <w:rPr/>
      </w:pPr>
      <w:r>
        <w:rPr>
          <w:rFonts w:ascii="Times New Roman" w:hAnsi="Times New Roman"/>
          <w:b/>
          <w:color w:val="000000"/>
          <w:sz w:val="24"/>
        </w:rPr>
        <w:t>Payment Method.</w:t>
      </w:r>
      <w:r>
        <w:rPr>
          <w:color w:val="000000"/>
        </w:rPr>
        <w:t xml:space="preserve"> </w:t>
      </w:r>
      <w:r>
        <w:rPr>
          <w:rFonts w:ascii="Times New Roman" w:hAnsi="Times New Roman"/>
          <w:color w:val="000000"/>
          <w:sz w:val="24"/>
        </w:rPr>
        <w:t xml:space="preserve">All payments made by Licensee under this Agreement shall be made in U.S. Dollars, and such payments shall be made by check or wire transfer to one or more bank accounts to be designated in writing by Ligand.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3.7</w:t>
      </w:r>
    </w:p>
    <w:p>
      <w:pPr>
        <w:pStyle w:val="TextBody"/>
        <w:bidi w:val="0"/>
        <w:spacing w:before="240" w:after="283"/>
        <w:jc w:val="both"/>
        <w:rPr/>
      </w:pPr>
      <w:r>
        <w:rPr>
          <w:rFonts w:ascii="Times New Roman" w:hAnsi="Times New Roman"/>
          <w:b/>
          <w:color w:val="000000"/>
          <w:sz w:val="24"/>
        </w:rPr>
        <w:t>Currency Conversion.</w:t>
      </w:r>
      <w:r>
        <w:rPr>
          <w:color w:val="000000"/>
        </w:rPr>
        <w:t xml:space="preserve"> </w:t>
      </w:r>
      <w:r>
        <w:rPr>
          <w:rFonts w:ascii="Times New Roman" w:hAnsi="Times New Roman"/>
          <w:color w:val="000000"/>
          <w:sz w:val="24"/>
        </w:rPr>
        <w:t xml:space="preserve">In the event that Products are sold in currencies other than U.S. Dollars, Net Sales shall be calculated by Licensee in accordance with [***]. Net Sales in currencies other than U.S. Dollars shall be converted into U.S. Dollars using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3.8</w:t>
      </w:r>
    </w:p>
    <w:p>
      <w:pPr>
        <w:pStyle w:val="TextBody"/>
        <w:bidi w:val="0"/>
        <w:spacing w:before="240" w:after="283"/>
        <w:jc w:val="both"/>
        <w:rPr/>
      </w:pPr>
      <w:r>
        <w:rPr>
          <w:rFonts w:ascii="Times New Roman" w:hAnsi="Times New Roman"/>
          <w:b/>
          <w:color w:val="000000"/>
          <w:sz w:val="24"/>
        </w:rPr>
        <w:t>Late Payment Interest.</w:t>
      </w:r>
      <w:r>
        <w:rPr>
          <w:color w:val="000000"/>
        </w:rPr>
        <w:t xml:space="preserve"> </w:t>
      </w:r>
      <w:r>
        <w:rPr>
          <w:rFonts w:ascii="Times New Roman" w:hAnsi="Times New Roman"/>
          <w:color w:val="000000"/>
          <w:sz w:val="24"/>
        </w:rPr>
        <w:t>Any payment due and payable to Ligand under the terms and conditions of this Agreement, including any royalty payment, made by Licensee after the date such payment is due and payable shall bear interest as of the day after the date such payment was due and payable and shall continue to accrue such interest until such payment is made at a rate equal 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3.9</w:t>
      </w:r>
    </w:p>
    <w:p>
      <w:pPr>
        <w:pStyle w:val="TextBody"/>
        <w:bidi w:val="0"/>
        <w:spacing w:before="240" w:after="283"/>
        <w:jc w:val="both"/>
        <w:rPr/>
      </w:pPr>
      <w:r>
        <w:rPr>
          <w:rFonts w:ascii="Times New Roman" w:hAnsi="Times New Roman"/>
          <w:b/>
          <w:color w:val="000000"/>
          <w:sz w:val="24"/>
        </w:rPr>
        <w:t>Records and Reports.</w:t>
      </w:r>
      <w:r>
        <w:rPr>
          <w:color w:val="000000"/>
        </w:rPr>
        <w:t xml:space="preserve"> </w:t>
      </w:r>
      <w:r>
        <w:rPr>
          <w:rFonts w:ascii="Times New Roman" w:hAnsi="Times New Roman"/>
          <w:color w:val="000000"/>
          <w:sz w:val="24"/>
        </w:rPr>
        <w:t>All payments made to Ligand hereunder shall be accompanied by a written statement setting forth in reasonable detail the calculation thereof, including, [***]. Licensee shall maintain complete and accurate records sufficient to enable accurate calculation of royalties and other payments due Ligand hereunder. Such records and books of account shall be preserved by Licensee for a period of [***], which obligation shall survive termination of this Agreement. Licensee must ensure that its Sublicensees provide reports and keep records in a manner consistent with this Section 3.9. Licensee shall provide reports received from Sublicensees to Ligand with the applicable payment.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3.10</w:t>
      </w:r>
    </w:p>
    <w:p>
      <w:pPr>
        <w:pStyle w:val="TextBody"/>
        <w:bidi w:val="0"/>
        <w:spacing w:before="240" w:after="283"/>
        <w:jc w:val="both"/>
        <w:rPr/>
      </w:pPr>
      <w:r>
        <w:rPr>
          <w:rFonts w:ascii="Times New Roman" w:hAnsi="Times New Roman"/>
          <w:b/>
          <w:color w:val="000000"/>
          <w:sz w:val="24"/>
        </w:rPr>
        <w:t>Taxes.</w:t>
      </w:r>
      <w:r>
        <w:rPr>
          <w:color w:val="000000"/>
        </w:rPr>
        <w:t xml:space="preserve"> </w:t>
      </w:r>
      <w:r>
        <w:rPr>
          <w:rFonts w:ascii="Times New Roman" w:hAnsi="Times New Roman"/>
          <w:color w:val="000000"/>
          <w:sz w:val="24"/>
        </w:rPr>
        <w:t>Licensee may withhold from payment made to Ligand under this Agreement any income tax required to be withheld by Licensee under the laws of the country or jurisdiction where Licensee has commercially sold Products. If any tax is withheld by Licensee, Licensee shall provide Ligand receipts or other evidence of such withholding and payment to the appropriate tax authorities on a timely basis following that tax payment.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 In addition, the Parties shall cooperate in accordance with applicable Law to minimize indirect taxes (such as value added tax, sales tax, consumption tax and other similar taxes) in connection with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3.11</w:t>
      </w:r>
    </w:p>
    <w:p>
      <w:pPr>
        <w:pStyle w:val="TextBody"/>
        <w:bidi w:val="0"/>
        <w:spacing w:before="240" w:after="283"/>
        <w:jc w:val="both"/>
        <w:rPr/>
      </w:pPr>
      <w:r>
        <w:rPr>
          <w:rFonts w:ascii="Times New Roman" w:hAnsi="Times New Roman"/>
          <w:b/>
          <w:color w:val="000000"/>
          <w:sz w:val="24"/>
        </w:rPr>
        <w:t>Audit Rights.</w:t>
      </w:r>
      <w:r>
        <w:rPr>
          <w:color w:val="000000"/>
        </w:rPr>
        <w:t xml:space="preserve"> </w:t>
      </w:r>
      <w:r>
        <w:rPr>
          <w:rFonts w:ascii="Times New Roman" w:hAnsi="Times New Roman"/>
          <w:color w:val="000000"/>
          <w:sz w:val="24"/>
        </w:rPr>
        <w:t>Licensee shall permit an independent public accountant designated by Ligand and reasonably acceptable to Licensee, to have access, no more than [***], to Licensee’s records and books to the extent necessary to determine the accuracy of Net Sales reported, and payments made, by Licensee to Ligand within [***]. The independent public accountant shall disclose to Ligand only (a) the accuracy of Net Sales reported and the basis for royalty and other payments made to Ligand under this Agreement and (b) the difference, if any, such reported and paid amounts vary from amounts determined as a result of the audit. If such examination results in a determination that Net Sales or payments have been misstated, over or under paid amounts due shall be paid promptly to the appropriate Party. If [***], the fees and expenses of such accountant shall be paid by Licensee; otherwise the fees and expenses of such accountant shall be paid by Ligand. All matters reviewed by such independent public accountant shall be deemed Confidential Information of Licensee subject to Article 6.</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4</w:t>
      </w:r>
    </w:p>
    <w:p>
      <w:pPr>
        <w:pStyle w:val="TextBody"/>
        <w:bidi w:val="0"/>
        <w:spacing w:before="240" w:after="283"/>
        <w:jc w:val="center"/>
        <w:rPr/>
      </w:pPr>
      <w:r>
        <w:rPr>
          <w:rFonts w:ascii="Times New Roman" w:hAnsi="Times New Roman"/>
          <w:b/>
          <w:caps/>
          <w:color w:val="000000"/>
          <w:sz w:val="24"/>
          <w:u w:val="single"/>
        </w:rPr>
        <w:br/>
      </w:r>
      <w:r>
        <w:rPr>
          <w:rFonts w:ascii="Times New Roman" w:hAnsi="Times New Roman"/>
          <w:b/>
          <w:caps/>
          <w:color w:val="000000"/>
          <w:sz w:val="24"/>
        </w:rPr>
        <w:t>PRODUCT ACTIVITIES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Diligence.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Licensee shall diligently Develop, manufacture and sell Products, and shall use Commercially Reasonable Efforts to develop markets for Products, in both cases either directly or through a Sublicensee. Licensee, either directly or through a Sublicensee, shall obtain all necessary Regulatory Approvals in each country where Products are made, used, sold, imported, or offered for sale.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rPr>
        <w:t>In addition, without limiting Licensee’s obligations under Section 4.1(a), Licensee will use its Commercially Reasonably Efforts</w:t>
      </w:r>
      <w:r>
        <w:rPr>
          <w:color w:val="000000"/>
        </w:rPr>
        <w:t xml:space="preserve"> </w:t>
      </w:r>
      <w:r>
        <w:rPr>
          <w:rFonts w:ascii="Times New Roman" w:hAnsi="Times New Roman"/>
          <w:color w:val="000000"/>
          <w:sz w:val="24"/>
        </w:rPr>
        <w:t>to develop the Product for the treatment of metastatic breast cancer.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shall use Commercially Reasonable Efforts to obtain Regulatory Approval, including [***], for the Product in Europe.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Research Plan; Progress Reports.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Licensee shall develop a research plan detailing the work it will perform and associated timelines to Develop Products and to obtain Regulatory Approval and sell Products throughout the Territory (the “</w:t>
      </w:r>
      <w:r>
        <w:rPr>
          <w:rFonts w:ascii="Times New Roman" w:hAnsi="Times New Roman"/>
          <w:color w:val="000000"/>
          <w:sz w:val="24"/>
          <w:u w:val="single"/>
        </w:rPr>
        <w:t>Research Plan</w:t>
      </w:r>
      <w:r>
        <w:rPr>
          <w:color w:val="000000"/>
        </w:rPr>
        <w:t>”</w:t>
      </w:r>
      <w:r>
        <w:rPr>
          <w:rFonts w:ascii="Times New Roman" w:hAnsi="Times New Roman"/>
          <w:color w:val="000000"/>
          <w:sz w:val="24"/>
        </w:rPr>
        <w:t>). Licensee will provide a copy of the current Research Plan to Ligand within [***] and any updates on [***] basis.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 Licensee shall submit a written report to Ligand covering [***]. Each report will describe: [***]. Licensee shall also provide to Ligand copies of any similar progress reports received from its Sublicensees, within [***]. In addition, upon the reasonable request of Ligand but no more frequently than [***], Licensee and Ligand shall meet in-person at a mutually agreeable location to discuss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240" w:after="283"/>
        <w:jc w:val="both"/>
        <w:rPr/>
      </w:pPr>
      <w:r>
        <w:rPr>
          <w:rFonts w:ascii="Times New Roman" w:hAnsi="Times New Roman"/>
          <w:b/>
          <w:color w:val="000000"/>
          <w:sz w:val="24"/>
        </w:rPr>
        <w:t>Development.</w:t>
      </w:r>
      <w:r>
        <w:rPr>
          <w:color w:val="000000"/>
        </w:rPr>
        <w:t xml:space="preserve"> </w:t>
      </w:r>
      <w:r>
        <w:rPr>
          <w:rFonts w:ascii="Times New Roman" w:hAnsi="Times New Roman"/>
          <w:color w:val="000000"/>
          <w:sz w:val="24"/>
        </w:rPr>
        <w:t>Licensee shall be solely responsible for the Development of all Products in the Field in the Territory. Licensee shall bear one hundred percent (100%) of all costs and expenses associated with the Development of Products.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240" w:after="283"/>
        <w:jc w:val="both"/>
        <w:rPr/>
      </w:pPr>
      <w:r>
        <w:rPr>
          <w:rFonts w:ascii="Times New Roman" w:hAnsi="Times New Roman"/>
          <w:b/>
          <w:color w:val="000000"/>
          <w:sz w:val="24"/>
        </w:rPr>
        <w:t>Regulatory Responsibilities.</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shall bear one hundred percent (100%) of all costs and expenses associated with regulatory activities related to the Products in the Field in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rPr>
        <w:t xml:space="preserve">Ligand has the right to request copies of [***] and significant correspondence to and from all Regulatory Authorities related to [***];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 Each Party shall provide the other Party with reasonable cooperation and assistance in connection with regulatory activities for Lasofoxifene, including [***].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shall be responsible for ensuring, at its sole expense, that the Development and commercialization of all Products in the applicable jurisdiction within the Territory are in compliance with applicable Laws in all material respects, including all rules and regulations promulgated by applicable Regulatory Authorities. Specifically and without limiting the foregoing, Licensee shall file all compliance filings, certificates and safety reporting for the Products at its sole expense in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shall be responsible for taking all actions related to adverse event reporting and other regulatory obligations that are legally required of the holder of a Regulatory Approval application, license, registration or authorization in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240" w:after="283"/>
        <w:jc w:val="both"/>
        <w:rPr/>
      </w:pPr>
      <w:r>
        <w:rPr>
          <w:rFonts w:ascii="Times New Roman" w:hAnsi="Times New Roman"/>
          <w:b/>
          <w:color w:val="000000"/>
          <w:sz w:val="24"/>
        </w:rPr>
        <w:t>Commercialization Plan</w:t>
      </w:r>
      <w:r>
        <w:rPr>
          <w:rFonts w:ascii="Times New Roman" w:hAnsi="Times New Roman"/>
          <w:color w:val="000000"/>
          <w:sz w:val="24"/>
        </w:rPr>
        <w:t>. Commencing [***], Licensee shall commence preparing a Commercialization Plan (“</w:t>
      </w:r>
      <w:r>
        <w:rPr>
          <w:rFonts w:ascii="Times New Roman" w:hAnsi="Times New Roman"/>
          <w:color w:val="000000"/>
          <w:sz w:val="24"/>
          <w:u w:val="single"/>
        </w:rPr>
        <w:t>Commercialization Plan</w:t>
      </w:r>
      <w:r>
        <w:rPr>
          <w:color w:val="000000"/>
        </w:rPr>
        <w:t>”</w:t>
      </w:r>
      <w:r>
        <w:rPr>
          <w:rFonts w:ascii="Times New Roman" w:hAnsi="Times New Roman"/>
          <w:color w:val="000000"/>
          <w:sz w:val="24"/>
        </w:rPr>
        <w:t xml:space="preserve">) for such Product. No later than [***], Licensee shall submit such Commercialization Plan to Ligand for review. After the launch of such Product, on [***] basis, Licensee shall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240" w:after="283"/>
        <w:jc w:val="both"/>
        <w:rPr/>
      </w:pPr>
      <w:r>
        <w:rPr>
          <w:rFonts w:ascii="Times New Roman" w:hAnsi="Times New Roman"/>
          <w:b/>
          <w:color w:val="000000"/>
          <w:sz w:val="24"/>
        </w:rPr>
        <w:t>Commercialization.</w:t>
      </w:r>
      <w:r>
        <w:rPr>
          <w:color w:val="000000"/>
        </w:rPr>
        <w:t xml:space="preserve"> </w:t>
      </w:r>
      <w:r>
        <w:rPr>
          <w:rFonts w:ascii="Times New Roman" w:hAnsi="Times New Roman"/>
          <w:color w:val="000000"/>
          <w:sz w:val="24"/>
        </w:rPr>
        <w:t>Licensee shall be solely responsible for the commercialization of all Products in the Field in the Territory. Licensee shall bear one hundred percent (100%) of all costs and expenses associated with commercialization of all Products in the Field in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4.7</w:t>
      </w:r>
    </w:p>
    <w:p>
      <w:pPr>
        <w:pStyle w:val="TextBody"/>
        <w:bidi w:val="0"/>
        <w:spacing w:before="240" w:after="283"/>
        <w:jc w:val="both"/>
        <w:rPr/>
      </w:pPr>
      <w:r>
        <w:rPr>
          <w:rFonts w:ascii="Times New Roman" w:hAnsi="Times New Roman"/>
          <w:b/>
          <w:color w:val="000000"/>
          <w:sz w:val="24"/>
        </w:rPr>
        <w:t xml:space="preserve">Transfer; Rights of Reference. </w:t>
      </w:r>
      <w:r>
        <w:rPr>
          <w:rFonts w:ascii="Times New Roman" w:hAnsi="Times New Roman"/>
          <w:color w:val="000000"/>
          <w:sz w:val="24"/>
        </w:rPr>
        <w:t xml:space="preserve">The Parties hereby acknowledge and agree that (a) pursuant to the Original Agreement, Ligand transferred, on behalf of itself and its Affiliates, to Sermonix the INDs and NDAs for the Product set forth on </w:t>
      </w:r>
      <w:r>
        <w:rPr>
          <w:rFonts w:ascii="Times New Roman" w:hAnsi="Times New Roman"/>
          <w:color w:val="000000"/>
          <w:sz w:val="24"/>
          <w:u w:val="single"/>
        </w:rPr>
        <w:t>Exhibit C</w:t>
      </w:r>
      <w:r>
        <w:rPr>
          <w:color w:val="000000"/>
        </w:rPr>
        <w:t xml:space="preserve"> </w:t>
      </w:r>
      <w:r>
        <w:rPr>
          <w:rFonts w:ascii="Times New Roman" w:hAnsi="Times New Roman"/>
          <w:color w:val="000000"/>
          <w:sz w:val="24"/>
        </w:rPr>
        <w:t>and (b) pursuant to the Sermonix-Athira License, Sermonix has or will transfer to Licensee such INDs and NDAs. Ligand, its Affiliates and its sublicensees shall have a right of reference to the Regulatory Documentation for Lasofoxifene controlled by Licensee, to rely upon, and otherwise use, an investigation for the purpose of obtaining approval of an application for a product in the Retained Field, including the ability to make available the underlying raw data in its possession in documented or electronic form from the investigation for FDA audit, if necessary. Licensee, its Affiliates and its sublicensees shall have a right of reference to the Regulatory Documentation for Lasofoxifene controlled by Ligand, its Affiliates and/or its sublicensees, to rely upon, and otherwise use, an investigation for the purpose of obtaining approval of an application for a Product in the Field in the Territory, including the ability to make available the underlying raw data in its possession in documented or electronic form from the investigation for FDA audit, if necessary.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5</w:t>
      </w:r>
    </w:p>
    <w:p>
      <w:pPr>
        <w:pStyle w:val="TextBody"/>
        <w:bidi w:val="0"/>
        <w:spacing w:before="240" w:after="283"/>
        <w:jc w:val="center"/>
        <w:rPr/>
      </w:pPr>
      <w:r>
        <w:rPr>
          <w:rFonts w:ascii="Times New Roman" w:hAnsi="Times New Roman"/>
          <w:b/>
          <w:caps/>
          <w:color w:val="000000"/>
          <w:sz w:val="24"/>
          <w:u w:val="single"/>
        </w:rPr>
        <w:br/>
      </w:r>
      <w:r>
        <w:rPr>
          <w:rFonts w:ascii="Times New Roman" w:hAnsi="Times New Roman"/>
          <w:b/>
          <w:caps/>
          <w:color w:val="000000"/>
          <w:sz w:val="24"/>
        </w:rPr>
        <w:t>INTELLECTUAL PROPERTY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240" w:after="283"/>
        <w:jc w:val="both"/>
        <w:rPr/>
      </w:pPr>
      <w:r>
        <w:rPr>
          <w:rFonts w:ascii="Times New Roman" w:hAnsi="Times New Roman"/>
          <w:b/>
          <w:color w:val="000000"/>
          <w:sz w:val="24"/>
        </w:rPr>
        <w:t>Patent Maintenance and Prosecution.</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 xml:space="preserve">Ligand shall, [***] Prosecute the Licensed Patents; </w:t>
      </w:r>
      <w:r>
        <w:rPr>
          <w:rFonts w:ascii="Times New Roman" w:hAnsi="Times New Roman"/>
          <w:i/>
          <w:color w:val="000000"/>
          <w:sz w:val="24"/>
        </w:rPr>
        <w:t>provided, however</w:t>
      </w:r>
      <w:r>
        <w:rPr>
          <w:rFonts w:ascii="Times New Roman" w:hAnsi="Times New Roman"/>
          <w:color w:val="000000"/>
          <w:sz w:val="24"/>
        </w:rPr>
        <w:t xml:space="preserve">, (1) subject to clause 3 below, in the event that [***] in any country [***], then Licensee and its Sublicensees shall have the right, [***], to Prosecute the Licensed Patents in such country; (2) subject to clause 3 below, Licensee shall have the right to Prosecute the Licensed Patents in the event [***]; and (3) [***]. The Prosecuting Party shall make available to the Non-Prosecuting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Party copies of material correspondence with any patent office regarding the Licensed Patents. The Party that does not possess the right to Prosecute the Licensed Patents as provided above (the “</w:t>
      </w:r>
      <w:r>
        <w:rPr>
          <w:rFonts w:ascii="Times New Roman" w:hAnsi="Times New Roman"/>
          <w:color w:val="000000"/>
          <w:sz w:val="24"/>
          <w:u w:val="single"/>
        </w:rPr>
        <w:t>Non-Prosecuting Party</w:t>
      </w:r>
      <w:r>
        <w:rPr>
          <w:color w:val="000000"/>
        </w:rPr>
        <w:t>”</w:t>
      </w:r>
      <w:r>
        <w:rPr>
          <w:rFonts w:ascii="Times New Roman" w:hAnsi="Times New Roman"/>
          <w:color w:val="000000"/>
          <w:sz w:val="24"/>
        </w:rPr>
        <w:t>) [***], and the Party that does possess the right to Prosecute the Licensed Patents [***]. Solely for the period of time [***], for as long as Ligand is the Prosecuting Party, Licensee shall [***]. In the event that the Prosecuting Party (which for purposes of this Section 5.1(a) shall include all applicable licensors) decides to cease activities relating to Prosecuting any Licensed Patents, the Prosecuting Party shall provide written notice thereof to the Non-Prosecuting Party and, prior to taking action that would result in the abandonment of any such Licensed Patent, the Prosecuting Party shall [***] with the Non-Prosecuting Party, [***] at least [***]. Thereafter, the Non-Prosecuting Party may, but is not required to, undertake, [***], the Prosecution of such Licensed Patent, and the Prosecuting Party shall cooperate. In addition, if Licensee no longer desires a license to one or more Licensed Patents, Licensee shall provide written notice thereof to Licensee and effective [***], such Patent(s) shall no longer be deemed Licensed Patent(s).</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shall, [***], Prosecute any Patents covering Improvements.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240" w:after="283"/>
        <w:jc w:val="both"/>
        <w:rPr/>
      </w:pPr>
      <w:r>
        <w:rPr>
          <w:rFonts w:ascii="Times New Roman" w:hAnsi="Times New Roman"/>
          <w:b/>
          <w:color w:val="000000"/>
          <w:sz w:val="24"/>
        </w:rPr>
        <w:t>Licensed Patents and Licensed Know-How Enforcement and Defense.</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u w:val="single"/>
        </w:rPr>
        <w:t>Notification</w:t>
      </w:r>
      <w:r>
        <w:rPr>
          <w:rFonts w:ascii="Times New Roman" w:hAnsi="Times New Roman"/>
          <w:color w:val="000000"/>
          <w:sz w:val="24"/>
        </w:rPr>
        <w:t>. Each Party shall notify the other Party of any infringement of any of the Licensed Patents or misappropriation of any of the Licensed Know-How by a Third Party in the Field that becomes known to such Party, and of any claim by a Third Party that the activities of a Party relating to a Product infringe Patent rights or misappropriate other Intellectual Property Rights of such Third Party.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Licensed Patents</w:t>
      </w:r>
      <w:r>
        <w:rPr>
          <w:rFonts w:ascii="Times New Roman" w:hAnsi="Times New Roman"/>
          <w:color w:val="000000"/>
          <w:sz w:val="24"/>
        </w:rPr>
        <w:t>. [***], as between the Parties, Licensee (which for purposes of this Section 5.2(b) shall include all Sublicensees) shall have the first right, but not an obligation, to initiate, maintain and control, [***], legal action against any infringement of the Licensed Patents by a Third Party Product in the Field in the Territory. In the event that Licensee initiates legal action against infringement of the Licensed Patents by a Third Party, Licensee shall notify Ligand in writing. In order to establish standing, Ligand, upon request of Licensee, agrees to [***] commence or to join in any such litigation, [***], and in any event to cooperate with Licensee in such litigation [***]. If Licensee does not take steps to defend or enforce the Licensed Patents, Ligand shall have the right, but not an obligation, to initiate, maintain and control, [***], legal action against any infringement of the Licensed Patents by a Third Party Product in the Field in the Territory. Any recovery received by a Party from legal action initiated pursuant to this Section 5.2, whether by judgment, award, decree or settlement, shall be [***]. For the avoidance of doubt, as between the Parties, Ligand shall retain the sole right, but not an obligation, to initiate, maintain and control legal action against any infringement of the Licensed Patents by a Third Party in the Retained Field in the Territory or in any field outside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240" w:after="283"/>
        <w:jc w:val="both"/>
        <w:rPr/>
      </w:pPr>
      <w:r>
        <w:rPr>
          <w:rFonts w:ascii="Times New Roman" w:hAnsi="Times New Roman"/>
          <w:b/>
          <w:color w:val="000000"/>
          <w:sz w:val="24"/>
        </w:rPr>
        <w:t>Cooperation.</w:t>
      </w:r>
      <w:r>
        <w:rPr>
          <w:color w:val="000000"/>
        </w:rPr>
        <w:t xml:space="preserve"> </w:t>
      </w:r>
      <w:r>
        <w:rPr>
          <w:rFonts w:ascii="Times New Roman" w:hAnsi="Times New Roman"/>
          <w:color w:val="000000"/>
          <w:sz w:val="24"/>
        </w:rPr>
        <w:t xml:space="preserve">In any suit, proceeding or dispute involving the infringement of any of the Licensed Patents in the Field or misappropriation of any of the Licensed Know-How in the Field, the Parties shall provide each other with [***] cooperation, and, upon the request [***] of the Party bringing suit, the other Party shall make available to the Party bringing suit, [***].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6</w:t>
      </w:r>
    </w:p>
    <w:p>
      <w:pPr>
        <w:pStyle w:val="TextBody"/>
        <w:bidi w:val="0"/>
        <w:spacing w:before="240" w:after="283"/>
        <w:jc w:val="center"/>
        <w:rPr/>
      </w:pPr>
      <w:r>
        <w:rPr>
          <w:rFonts w:ascii="Times New Roman" w:hAnsi="Times New Roman"/>
          <w:b/>
          <w:caps/>
          <w:color w:val="000000"/>
          <w:sz w:val="24"/>
          <w:u w:val="single"/>
        </w:rPr>
        <w:br/>
      </w:r>
      <w:r>
        <w:rPr>
          <w:rFonts w:ascii="Times New Roman" w:hAnsi="Times New Roman"/>
          <w:b/>
          <w:caps/>
          <w:color w:val="000000"/>
          <w:sz w:val="24"/>
        </w:rPr>
        <w:t xml:space="preserve">CONFIDENTIALITY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240" w:after="283"/>
        <w:jc w:val="both"/>
        <w:rPr/>
      </w:pPr>
      <w:r>
        <w:rPr>
          <w:rFonts w:ascii="Times New Roman" w:hAnsi="Times New Roman"/>
          <w:b/>
          <w:color w:val="000000"/>
          <w:sz w:val="24"/>
        </w:rPr>
        <w:t>Confidentiality Obligations.</w:t>
      </w:r>
      <w:r>
        <w:rPr>
          <w:color w:val="000000"/>
        </w:rPr>
        <w:t xml:space="preserve"> </w:t>
      </w:r>
      <w:r>
        <w:rPr>
          <w:rFonts w:ascii="Times New Roman" w:hAnsi="Times New Roman"/>
          <w:color w:val="000000"/>
          <w:sz w:val="24"/>
        </w:rPr>
        <w:t xml:space="preserve">Each Party agrees that, during the Term and for [***] thereafter, all Confidential Information of the other Party shall be maintained in strict confidence, and shall not be used for any purpose other than the purposes expressly permitted by this Agreement, and, subject to Section 6.2, shall not be disclosed to any Third Party. The foregoing obligations will not apply to any portion of Confidential Information to the extent that it can be established by competent proof that such portion: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was already known to the recipient as evidenced by its written records, other than under an obligation of confidentiality, at the time of disclosure;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was generally available to the public or was otherwise part of the public domain at the time of its disclosure to the recipient;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became generally available to the public or otherwise becomes part of the public domain after its disclosure and other than through any act or omission of the recipient in breach of this Agreement; or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was subsequently lawfully disclosed to the recipient by a Third Party other than in contravention of a confidentiality obligation of such Third Party to the disclosing party.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240" w:after="283"/>
        <w:jc w:val="both"/>
        <w:rPr/>
      </w:pPr>
      <w:r>
        <w:rPr>
          <w:rFonts w:ascii="Times New Roman" w:hAnsi="Times New Roman"/>
          <w:b/>
          <w:color w:val="000000"/>
          <w:sz w:val="24"/>
        </w:rPr>
        <w:t>Permitted Usage</w:t>
      </w:r>
      <w:r>
        <w:rPr>
          <w:rFonts w:ascii="Times New Roman" w:hAnsi="Times New Roman"/>
          <w:color w:val="000000"/>
          <w:sz w:val="24"/>
        </w:rPr>
        <w:t>. Each Party may use and disclose Confidential Information of the other Party, in accordance with this Agreement, as follows: (a) under appropriate confidentiality provisions no less restrictive than those in this Agreement, in connection with the performance of its obligations or exercise of rights granted to or retained by such Party; (b) in connection with the Prosecution or enforcement of Licensed Patents or Improvements, in accordance with this Agreement; or (c) in connection with prosecuting or defending litigation, complying with applicable governmental regulations, filing for, obtaining and maintaining Regulatory Approvals, or as otherwise required by Law, but provided that if a Party is required by Law to make any disclosure of the other Party’s Confidential Information, it will give [***] notice to the other Party of such disclosure requirement, it will disclose only [***], and it will [***] to secure confidential treatment of such Confidential Information required to be disclosed.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240" w:after="283"/>
        <w:jc w:val="both"/>
        <w:rPr/>
      </w:pPr>
      <w:r>
        <w:rPr>
          <w:rFonts w:ascii="Times New Roman" w:hAnsi="Times New Roman"/>
          <w:b/>
          <w:color w:val="000000"/>
          <w:sz w:val="24"/>
        </w:rPr>
        <w:t xml:space="preserve">Terms of Agreement. </w:t>
      </w:r>
      <w:r>
        <w:rPr>
          <w:rFonts w:ascii="Times New Roman" w:hAnsi="Times New Roman"/>
          <w:color w:val="000000"/>
          <w:sz w:val="24"/>
        </w:rPr>
        <w:t>The terms of this Agreement shall be Confidential Information of both Parties, and subject to the terms of this Article 6. Notwithstanding the foregoing, [***]. Except as otherwise permitted for disclosures pursuant to this Article 6, the disclosing Party shall [***] to preserve the confidentiality of this Agreement and the terms thereof notwithstanding any required disclosure. A Party will give the other Party written notice of any required disclosure under (ii) above, which notice shall [***]. In the event either Party is required to file this Agreement with the U.S. Securities and Exchange Commission or any comparable non-U.S. Governmental Entity, such Party shall apply for confidential treatment of this Agreement to the fullest extent permitted by applicable Law, shall provide the other Party a copy of the confidential treatment request [***], and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240" w:after="283"/>
        <w:jc w:val="both"/>
        <w:rPr/>
      </w:pPr>
      <w:r>
        <w:rPr>
          <w:rFonts w:ascii="Times New Roman" w:hAnsi="Times New Roman"/>
          <w:b/>
          <w:color w:val="000000"/>
          <w:sz w:val="24"/>
        </w:rPr>
        <w:t>Public Announcements.</w:t>
      </w:r>
      <w:r>
        <w:rPr>
          <w:color w:val="000000"/>
        </w:rPr>
        <w:t xml:space="preserve"> </w:t>
      </w:r>
      <w:r>
        <w:rPr>
          <w:rFonts w:ascii="Times New Roman" w:hAnsi="Times New Roman"/>
          <w:color w:val="000000"/>
          <w:sz w:val="24"/>
        </w:rPr>
        <w:t xml:space="preserve">Upon [***], Ligand shall be permitted to issue a press release which press release may contain, [***]. Neither Party shall make any subsequent public announcement concerning this Agreement or the terms hereof not previously made public without [***]. Notwithstanding the foregoing, any [***] shall not require the prior approval of Licensee.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7</w:t>
      </w:r>
    </w:p>
    <w:p>
      <w:pPr>
        <w:pStyle w:val="TextBody"/>
        <w:bidi w:val="0"/>
        <w:spacing w:before="240" w:after="283"/>
        <w:jc w:val="center"/>
        <w:rPr/>
      </w:pPr>
      <w:r>
        <w:rPr>
          <w:rFonts w:ascii="Times New Roman" w:hAnsi="Times New Roman"/>
          <w:b/>
          <w:caps/>
          <w:color w:val="000000"/>
          <w:sz w:val="24"/>
          <w:u w:val="single"/>
        </w:rPr>
        <w:br/>
      </w:r>
      <w:r>
        <w:rPr>
          <w:rFonts w:ascii="Times New Roman" w:hAnsi="Times New Roman"/>
          <w:b/>
          <w:caps/>
          <w:color w:val="000000"/>
          <w:sz w:val="24"/>
        </w:rPr>
        <w:t xml:space="preserve">Representations, Warranties and Covenants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240" w:after="283"/>
        <w:jc w:val="both"/>
        <w:rPr/>
      </w:pPr>
      <w:r>
        <w:rPr>
          <w:rFonts w:ascii="Times New Roman" w:hAnsi="Times New Roman"/>
          <w:b/>
          <w:color w:val="000000"/>
          <w:sz w:val="24"/>
        </w:rPr>
        <w:t xml:space="preserve">General. </w:t>
      </w:r>
      <w:r>
        <w:rPr>
          <w:rFonts w:ascii="Times New Roman" w:hAnsi="Times New Roman"/>
          <w:color w:val="000000"/>
          <w:sz w:val="24"/>
        </w:rPr>
        <w:t xml:space="preserve">Each Party represents and warrants to the other that: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it is duly organized and validly existing under the Law of the jurisdiction of its incorporation, and has full corporate power and authority to enter into this Agreement and to carry out the provisions hereof;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it is qualified to do business and is in good standing in each jurisdiction in which it conducts business;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it is duly authorized to execute and deliver this Agreement and to perform its obligations hereunder, and the individual executing this Agreement on its behalf has been duly authorized to do so by all requisite corporate action;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this Agreement is legally binding upon it and enforceable in accordance with its terms and the execution, delivery and performance of this Agreement by it does not conflict with any agreement, instrument or understanding, oral or written, to which it is a party or by which it may be bound, nor violate any material Law; and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not aware of any action, suit or inquiry or investigation instituted by any Person which questions or threatens the validity of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Representations and Covenants of Licensee.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has not, directly or indirectly, offered, promised, paid, authorized or given, and will not in the future, offer, promise, pay, authorize or give, money or anything of value, directly or indirectly, to any Government Official (as defined below) or Other Covered Party (as defined below) for the purpose of: (i) influencing any act or decision of the Government Official or Other Covered Party; (ii) inducing the Government Official or Other Covered Party to do or omit to do an act in violation of a lawful duty; (iii) securing any improper advantage; or (iv) inducing the Government Official or Other Covered Party to influence the act or decision of a government or government instrumentality, in order to obtain or retain business, or direct business to, any person or entity, in any way related to this Agreement.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For purposes of this Agreement: (i) “</w:t>
      </w:r>
      <w:r>
        <w:rPr>
          <w:rFonts w:ascii="Times New Roman" w:hAnsi="Times New Roman"/>
          <w:b w:val="false"/>
          <w:color w:val="000000"/>
          <w:sz w:val="24"/>
          <w:u w:val="single"/>
        </w:rPr>
        <w:t>Government Official</w:t>
      </w:r>
      <w:r>
        <w:rPr>
          <w:rFonts w:ascii="Times New Roman" w:hAnsi="Times New Roman"/>
          <w:color w:val="000000"/>
          <w:sz w:val="20"/>
        </w:rPr>
        <w:t xml:space="preserve">” </w:t>
      </w:r>
      <w:r>
        <w:rPr>
          <w:rFonts w:ascii="Times New Roman" w:hAnsi="Times New Roman"/>
          <w:b w:val="false"/>
          <w:color w:val="000000"/>
          <w:sz w:val="24"/>
        </w:rPr>
        <w:t>means any official, officer, employee or representative of: (A) any federal, state, provincial, county or municipal government or any department or agency thereof; (B) any public international organization or any department or agency thereof; or (C) any company or other entity owned or controlled by any government;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(ii) “</w:t>
      </w:r>
      <w:r>
        <w:rPr>
          <w:rFonts w:ascii="Times New Roman" w:hAnsi="Times New Roman"/>
          <w:b w:val="false"/>
          <w:color w:val="000000"/>
          <w:sz w:val="24"/>
          <w:u w:val="single"/>
        </w:rPr>
        <w:t>Other Covered Party</w:t>
      </w:r>
      <w:r>
        <w:rPr>
          <w:rFonts w:ascii="Times New Roman" w:hAnsi="Times New Roman"/>
          <w:color w:val="000000"/>
          <w:sz w:val="20"/>
        </w:rPr>
        <w:t xml:space="preserve">” </w:t>
      </w:r>
      <w:r>
        <w:rPr>
          <w:rFonts w:ascii="Times New Roman" w:hAnsi="Times New Roman"/>
          <w:b w:val="false"/>
          <w:color w:val="000000"/>
          <w:sz w:val="24"/>
        </w:rPr>
        <w:t>means any political party or party official, or any candidate for political office.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Anti-Corruption Compliance</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In performing under this Agreement, Licensee and its Affiliates agree to comply with all applicable anti-corruption laws, including the Foreign Corrupt Practices Act of 1977, as amended (“</w:t>
      </w:r>
      <w:r>
        <w:rPr>
          <w:rFonts w:ascii="Times New Roman" w:hAnsi="Times New Roman"/>
          <w:color w:val="000000"/>
          <w:sz w:val="24"/>
          <w:u w:val="single"/>
        </w:rPr>
        <w:t>FCPA</w:t>
      </w:r>
      <w:r>
        <w:rPr>
          <w:color w:val="000000"/>
        </w:rPr>
        <w:t>”</w:t>
      </w:r>
      <w:r>
        <w:rPr>
          <w:rFonts w:ascii="Times New Roman" w:hAnsi="Times New Roman"/>
          <w:color w:val="000000"/>
          <w:sz w:val="24"/>
        </w:rPr>
        <w:t xml:space="preserve">) and all laws enacted to implement the OECD Convention on Combating Bribery of Foreign Officials in International Business Transactions.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is not aware of any Government Official or Other Covered Party having any financial interest in the subject matter of this Agreement or in any way personally benefiting, directly or indirectly, from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political contributions or charitable donations shall be given, offered, promised or paid at the request of any Government Official or Other Covered Party that is in any way related to this Agreement or any related activity, without Ligand's prior written approval.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Licensee violates the FCPA or any applicable anti-corruption law or breaches any provision in this Section, Ligand shall have the right to unilaterally terminate this Agreement. In addition, Licensee shall defend, indemnify and hold harmless Ligand from and against any and all costs, damages, losses, liabilities, expenses, judgments, fines, settlements and any other amounts of any nature, including reasonable attorneys' fees arising from any improper payment made in violation of the FCPA, any applicable anti-corruption laws or this Section, directly or indirectly, by, on behalf of or with the knowledge of the Licensee, in relation to this Agreement.</w:t>
      </w:r>
    </w:p>
    <w:p>
      <w:pPr>
        <w:pStyle w:val="Heading2"/>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7.3</w:t>
      </w:r>
    </w:p>
    <w:p>
      <w:pPr>
        <w:pStyle w:val="TextBody"/>
        <w:bidi w:val="0"/>
        <w:jc w:val="both"/>
        <w:rPr/>
      </w:pPr>
      <w:r>
        <w:rPr>
          <w:rFonts w:ascii="Times New Roman" w:hAnsi="Times New Roman"/>
          <w:b/>
          <w:color w:val="000000"/>
          <w:sz w:val="24"/>
        </w:rPr>
        <w:t>Representations of Ligand</w:t>
      </w:r>
      <w:r>
        <w:rPr>
          <w:rFonts w:ascii="Times New Roman" w:hAnsi="Times New Roman"/>
          <w:color w:val="000000"/>
          <w:sz w:val="24"/>
        </w:rPr>
        <w:t>. Ligand hereby represents and warrants to Licensee that:</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except for the Licensed Technology [***] expressly disclosed in </w:t>
      </w:r>
      <w:r>
        <w:rPr>
          <w:rFonts w:ascii="Times New Roman" w:hAnsi="Times New Roman"/>
          <w:color w:val="000000"/>
          <w:sz w:val="24"/>
          <w:u w:val="single"/>
        </w:rPr>
        <w:t>Schedule 7.3(a)</w:t>
      </w:r>
      <w:r>
        <w:rPr>
          <w:rFonts w:ascii="Times New Roman" w:hAnsi="Times New Roman"/>
          <w:color w:val="000000"/>
          <w:sz w:val="24"/>
        </w:rPr>
        <w:t>, [***] Licensed Technology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has and will have the full right, power and authority to grant all of the right, title and interest in the licenses and other rights granted or to be granted to Licensee, Licensee’s Affiliates or Licensee’s Sublicensees under this Agreement (provided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there are no adverse actions, suits, or claims pending or to [***], threatened against Ligand in any court or by or before any Governmental Entity with respect to Lasofoxifene or the Licensed Technology and, to [***], there are no Third Party Patents that would reasonably be expected to give rise to such actions, suits or claims. No Third Party has challenged the ownership, scope, duration, validity enforceability, priority or right to use the Licensed Technology;</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Ligand has not initiated or been involved in any proceedings or claims in which it alleges that any Third Party is or was infringing or misappropriating the Licensed Technology, nor have any proceedings been threatened by Ligand, nor to [***] is there any valid basis for any such proceeding;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 and notwithstanding 35 USC §271(e)(1) or any comparable Laws, the commercialization of Lasofoxifene does not infringe or misappropriate any Patent rights, know-how or other Intellectual Property Rights of any Third Party;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execution, delivery and performance by Ligand of this Agreement and its compliance with the terms and provisions hereof does not and will not violate or result, in any material respect, in a breach of or default under any binding obligation or agreement of Ligand existing as of the Effective Date;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240" w:after="283"/>
        <w:jc w:val="both"/>
        <w:rPr/>
      </w:pPr>
      <w:r>
        <w:rPr>
          <w:rFonts w:ascii="Times New Roman" w:hAnsi="Times New Roman"/>
          <w:b/>
          <w:color w:val="000000"/>
          <w:sz w:val="24"/>
        </w:rPr>
        <w:t>Covenants of Ligand.</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Ligand covenants that it will not, during the Term, undertake any obligation, or grant any right, license, interest or lien, that conflicts with its obligations, or the rights and licenses granted to Licensee, under the terms of this Agreement, or impairs the rights granted by Ligand to Licensee under the terms of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Ligand has not, directly or indirectly, offered, promised, paid, authorized or given, and will not in the future, offer, promise, pay, authorize or give, money or anything of value, directly or indirectly, to any Government Official or Other Covered Party for the purpose of: (i) influencing any act or decision of the Government Official or Other Covered Party; (ii) inducing the Government Official or Other Covered Party to do or omit to do an act in violation of a lawful duty; (iii) securing any improper advantage; or (iv) inducing the Government Official or Other Covered Party to influence the act or decision of a government or government instrumentality, in order to obtain or retain business, or direct business to, any person or entity, in any way related to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pPr>
      <w:r>
        <w:rPr>
          <w:rFonts w:ascii="Times New Roman" w:hAnsi="Times New Roman"/>
          <w:color w:val="000000"/>
          <w:sz w:val="24"/>
          <w:u w:val="single"/>
        </w:rPr>
        <w:t>Anti-Corruption Compliance</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performing under this Agreement, Ligand and its Affiliates agree to comply with all applicable anti-corruption laws, including the FCPA and all laws enacted to implement the OECD Convention on Combating Bribery of Foreign Officials in International Business Transactions.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Ligand is not aware of any Government Official or Other Covered Party having any financial interest in the subject matter of this Agreement or in any way personally benefiting, directly or indirectly, from this Agreement.</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political contributions or charitable donations shall be given, offered, promised or paid at the request of any Government Official or Other Covered Party that is in any way related to this Agreement or any related activity, without Licensee's prior written approval.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Ligand violates the FCPA or any applicable anti-corruption law or breaches any provision in this Section, Licensee shall have the right to unilaterally terminate this Agreement. In addition, Ligand shall defend, indemnify and hold harmless Licensee from and against any and all costs, damages, losses, liabilities, expenses, judgments, fines, settlements and any other amounts of any nature, including reasonable attorneys' fees arising from any improper payment made in violation of the FCPA, any applicable anti-corruption laws or this Section, directly or indirectly, by, on behalf of or with the knowledge of the Ligand, in relation to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240" w:after="283"/>
        <w:jc w:val="both"/>
        <w:rPr/>
      </w:pPr>
      <w:r>
        <w:rPr>
          <w:rFonts w:ascii="Times New Roman" w:hAnsi="Times New Roman"/>
          <w:b/>
          <w:color w:val="000000"/>
          <w:sz w:val="24"/>
        </w:rPr>
        <w:t>Disclaimer.</w:t>
      </w:r>
      <w:r>
        <w:rPr>
          <w:color w:val="000000"/>
        </w:rPr>
        <w:t xml:space="preserve"> </w:t>
      </w:r>
      <w:r>
        <w:rPr>
          <w:rFonts w:ascii="Times New Roman" w:hAnsi="Times New Roman"/>
          <w:color w:val="000000"/>
          <w:sz w:val="24"/>
        </w:rPr>
        <w:t xml:space="preserve">EXCEPT AS PROVIDED IN THIS ARTICLE 7, NEITHER PARTY MAKES ANY REPRESENTATION OR WARRANTY (EXPRESS, IMPLIED, STATUTORY OR OTHERWISE) WITH RESPECT TO THE SUBJECT MATTER OF THIS AGREEMENT, AND EACH PARTY SPECIFICALLY DISCLAIMS ANY AND ALL IMPLIED WARRANTIES OR CONDITIONS OF MERCHANTABILITY AND FITNESS FOR A PARTICULAR PURPOSE, AND ALL WARRANTIES AND CONDITIONS OF THE VALIDITY OF THE LICENSED PATENTS OR NONINFRINGEMENT OF THIRD PARTY INTELLECTUAL PROPERTY RIGHTS. </w:t>
      </w:r>
      <w:r>
        <w:rPr>
          <w:rFonts w:ascii="Times New Roman" w:hAnsi="Times New Roman"/>
          <w:caps/>
          <w:color w:val="000000"/>
          <w:sz w:val="24"/>
        </w:rPr>
        <w:t>This SECTION 7.5 shall not be construed to limit either Party’s obligations under ARTICLE 8</w:t>
      </w:r>
      <w:r>
        <w:rPr>
          <w:rFonts w:ascii="Times New Roman" w:hAnsi="Times New Roman"/>
          <w:color w:val="000000"/>
          <w:sz w:val="24"/>
        </w:rPr>
        <w:t>.</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8</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br/>
        <w:t>INDEMNIFICATION; INSURANCE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u w:val="single"/>
        </w:rPr>
        <w:t>Indemnification by Licensee</w:t>
      </w:r>
      <w:r>
        <w:rPr>
          <w:rFonts w:ascii="Times New Roman" w:hAnsi="Times New Roman"/>
          <w:color w:val="000000"/>
          <w:sz w:val="24"/>
        </w:rPr>
        <w:t>. Licensee shall indemnify, hold harmless, and defend Ligand, its Affiliates, and their respective equity holders, partners (general and/or limited), managers, directors, officers, employees and agents (“</w:t>
      </w:r>
      <w:r>
        <w:rPr>
          <w:rFonts w:ascii="Times New Roman" w:hAnsi="Times New Roman"/>
          <w:color w:val="000000"/>
          <w:sz w:val="24"/>
          <w:u w:val="single"/>
        </w:rPr>
        <w:t>Ligand Indemnitees</w:t>
      </w:r>
      <w:r>
        <w:rPr>
          <w:color w:val="000000"/>
        </w:rPr>
        <w:t>”</w:t>
      </w:r>
      <w:r>
        <w:rPr>
          <w:rFonts w:ascii="Times New Roman" w:hAnsi="Times New Roman"/>
          <w:color w:val="000000"/>
          <w:sz w:val="24"/>
        </w:rPr>
        <w:t>) from and against any and all Third Party claims, suits, losses, liabilities, damages, costs, fees and expenses (including reasonable attorneys’ fees) (collectively, “</w:t>
      </w:r>
      <w:r>
        <w:rPr>
          <w:rFonts w:ascii="Times New Roman" w:hAnsi="Times New Roman"/>
          <w:color w:val="000000"/>
          <w:sz w:val="24"/>
          <w:u w:val="single"/>
        </w:rPr>
        <w:t>Losses</w:t>
      </w:r>
      <w:r>
        <w:rPr>
          <w:color w:val="000000"/>
        </w:rPr>
        <w:t>”</w:t>
      </w:r>
      <w:r>
        <w:rPr>
          <w:rFonts w:ascii="Times New Roman" w:hAnsi="Times New Roman"/>
          <w:color w:val="000000"/>
          <w:sz w:val="24"/>
        </w:rPr>
        <w:t>) finally awarded to a Third Party by a court of competent jurisdiction or agreed to in a settlement approved by Licensee that result from any claim made or brought against a Ligand Indemnitee by or on behalf of such Third Party, and subject to Section 8.3, any direct out-of-pocket costs and expenses (including reasonable attorneys’ fees) (“</w:t>
      </w:r>
      <w:r>
        <w:rPr>
          <w:rFonts w:ascii="Times New Roman" w:hAnsi="Times New Roman"/>
          <w:color w:val="000000"/>
          <w:sz w:val="24"/>
          <w:u w:val="single"/>
        </w:rPr>
        <w:t>Litigation Costs</w:t>
      </w:r>
      <w:r>
        <w:rPr>
          <w:color w:val="000000"/>
        </w:rPr>
        <w:t>”</w:t>
      </w:r>
      <w:r>
        <w:rPr>
          <w:rFonts w:ascii="Times New Roman" w:hAnsi="Times New Roman"/>
          <w:color w:val="000000"/>
          <w:sz w:val="24"/>
        </w:rPr>
        <w:t xml:space="preserve">) incurred by a Ligand Indemnitee while investigating or conducting the defense of such Third Party claim, in any such case, solely to the extent such claim is directly based on or directly arises out of (a) any material breach of, or inaccuracy in, any representation or warranty made by Licensee in this Agreement, or any breach or violation of any covenant or agreement of Licensee or any of its Affiliates or Sublicensees in or pursuant to this Agreement, (b) the negligence or willful misconduct by or of Licensee or its Affiliates, and their respective directors, officers, employees and agents, (c) the Development, manufacturing and/or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commercialization of a Product by Licensee or its Affiliates or Sublicensees (including product liability), and/or (d) Licensee’s contractual agreements with Third Parties during the Term. Furthermore, Licensee shall have no obligation to indemnify the Ligand Indemnitees to the extent that the Losses arise out of or result from, directly or indirectly, any material breach of, or inaccuracy in, any representation or warranty made by Ligand in this Agreement, or any breach or violation of any covenant or agreement of Ligand in or pursuant to this Agreement, or the negligence or willful misconduct by or of any of the Ligand Indemnitees, or the Development, manufacturing and/or commercialization of Lasofoxifene by Ligand at any time.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Claimed Infringement of Third Party Rights</w:t>
      </w:r>
      <w:r>
        <w:rPr>
          <w:rFonts w:ascii="Times New Roman" w:hAnsi="Times New Roman"/>
          <w:color w:val="000000"/>
          <w:sz w:val="24"/>
        </w:rPr>
        <w:t>. In the event that a Third Party at any time provides written notice of a claim to, or brings an action, suit or proceeding against, any Party, or any of such Party’s respective Affiliates or sublicensees, claiming infringement of its Patent rights or unauthorized use or misappropriation of its Know-How, based upon an assertion or claim arising out of the Development, manufacture or commercialization of a Product in the Territory (“</w:t>
      </w:r>
      <w:r>
        <w:rPr>
          <w:rFonts w:ascii="Times New Roman" w:hAnsi="Times New Roman"/>
          <w:color w:val="000000"/>
          <w:sz w:val="24"/>
          <w:u w:val="single"/>
        </w:rPr>
        <w:t>Infringement Claim</w:t>
      </w:r>
      <w:r>
        <w:rPr>
          <w:color w:val="000000"/>
        </w:rPr>
        <w:t>”</w:t>
      </w:r>
      <w:r>
        <w:rPr>
          <w:rFonts w:ascii="Times New Roman" w:hAnsi="Times New Roman"/>
          <w:color w:val="000000"/>
          <w:sz w:val="24"/>
        </w:rPr>
        <w:t>), such Party shall promptly notify the other Party of the Infringement Claim or the commencement of such action, suit or proceeding, enclosing a copy of the Infringement Claim and all papers served. Each Party agrees to make available to the other Party its advice and counsel regarding the technical merits of any such claim [***] and to offer reasonable assistance to the other Party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pPr>
      <w:r>
        <w:rPr>
          <w:rFonts w:ascii="Times New Roman" w:hAnsi="Times New Roman"/>
          <w:color w:val="000000"/>
          <w:sz w:val="24"/>
          <w:u w:val="single"/>
        </w:rPr>
        <w:t>Obligation to Defend</w:t>
      </w:r>
      <w:r>
        <w:rPr>
          <w:rFonts w:ascii="Times New Roman" w:hAnsi="Times New Roman"/>
          <w:color w:val="000000"/>
          <w:sz w:val="24"/>
        </w:rPr>
        <w:t>. Licensee shall have the obligation to defend all Infringement Claims brought against either Party or any of its Affiliates or sublicensees arising out of the Development, manufacture or commercialization of a Product in the Field in the Territory.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 xml:space="preserve">. Licensee shall have the sole and exclusive right to select counsel to defend any Infringement Claim brought via litigation or other formal dispute resolution procedure; provided [***]. Licensee shall keep Ligand informed, and shall from time to time consult with Ligand regarding the status of any such claims and shall provide Ligand with copies of all material documents filed in, and all material written communications relating to, any suit brought in connection with such claims. Ligand shall also have the right to participate and be represented in any such claim or related suit, at its own expense. Licensee shall not settle any Infringement Claims that would adversely impact any of the Licensed Patents (such as invalidation of or narrowing the scope of any claim of any of the Licensed Patents) or purport to impose any obligations on Ligand, without obtaining the prior written consent of Ligand or its Affiliate, as applicable, [***]. All litigation costs and expenses incurred by Licensee in connection with such Infringement Claim, and all damages payable by Licensee to the Third Party in respect of such Infringement Claims shall be borne by Licensee. </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240" w:after="283"/>
        <w:jc w:val="both"/>
        <w:rPr/>
      </w:pPr>
      <w:r>
        <w:rPr>
          <w:rFonts w:ascii="Times New Roman" w:hAnsi="Times New Roman"/>
          <w:b/>
          <w:color w:val="000000"/>
          <w:sz w:val="24"/>
        </w:rPr>
        <w:t>Indemnification by Ligand</w:t>
      </w:r>
      <w:r>
        <w:rPr>
          <w:rFonts w:ascii="Times New Roman" w:hAnsi="Times New Roman"/>
          <w:color w:val="000000"/>
          <w:sz w:val="24"/>
        </w:rPr>
        <w:t>. Ligand shall indemnify, hold harmless, and defend Licensee, its Affiliates and their respective equity holders, partners (general and/or limited), directors, managers, officers, employees and agents (“</w:t>
      </w:r>
      <w:r>
        <w:rPr>
          <w:rFonts w:ascii="Times New Roman" w:hAnsi="Times New Roman"/>
          <w:color w:val="000000"/>
          <w:sz w:val="24"/>
          <w:u w:val="single"/>
        </w:rPr>
        <w:t>Licensee Indemnitees</w:t>
      </w:r>
      <w:r>
        <w:rPr>
          <w:color w:val="000000"/>
        </w:rPr>
        <w:t>”</w:t>
      </w:r>
      <w:r>
        <w:rPr>
          <w:rFonts w:ascii="Times New Roman" w:hAnsi="Times New Roman"/>
          <w:color w:val="000000"/>
          <w:sz w:val="24"/>
        </w:rPr>
        <w:t>) from and against any and all Losses finally awarded to a Third Party by a court of competent jurisdiction or agreed to in a settlement approved by Ligand that result from any claim made or bought against a Licensee Indemnitee by or on behalf of such Third Party, and subject to Section 8.3, any Litigation Costs incurred by a Licensee Indemnitee while investigating or conducting the defense of such Third Party claim, in any such case, solely to the extent such claim is directly based on or directly arises out of (a) the material breach by Ligand of any representation, warranty or covenant contained in this Agreement; (b) the commercialization of Lasofoxifene by Ligand, its Affiliates or its sublicensees outside the Field, and/or (c) Ligand’s contractual agreements with Third Parties; provided, however, that such indemnification right shall not apply to any Losses or litigation costs (i) to the extent directly attributable to the negligence, reckless misconduct, or intentional misconduct of a Licensee Indemnitee, (ii) for which Licensee is obligated to indemnify Ligand under Section 8.1(a), or (iii) resulting from any Third Party claim arising out of such Third Party’s contractual agreement(s) with a Licensee Indemnitee. Furthermore, Ligand shall have no obligation to indemnify the Licensee Indemnitees to the extent that the Losses arise out of or result from, directly or indirectly, any material breach of, or inaccuracy in, any representation or warranty made by Licensee in this Agreement, or any breach or violation of any covenant or agreement of Licensee in or pursuant to this Agreement, or the negligence or willful misconduct by or of any of the Licensee Indemnitees.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240" w:after="283"/>
        <w:jc w:val="both"/>
        <w:rPr/>
      </w:pPr>
      <w:r>
        <w:rPr>
          <w:rFonts w:ascii="Times New Roman" w:hAnsi="Times New Roman"/>
          <w:b/>
          <w:color w:val="000000"/>
          <w:sz w:val="24"/>
        </w:rPr>
        <w:t>Procedure.</w:t>
      </w:r>
      <w:r>
        <w:rPr>
          <w:color w:val="000000"/>
        </w:rPr>
        <w:t xml:space="preserve"> </w:t>
      </w:r>
      <w:r>
        <w:rPr>
          <w:rFonts w:ascii="Times New Roman" w:hAnsi="Times New Roman"/>
          <w:color w:val="000000"/>
          <w:sz w:val="24"/>
        </w:rPr>
        <w:t>In the event of any such claim against any Licensee Indemnitee or Ligand Indemnitee (individually, an “</w:t>
      </w:r>
      <w:r>
        <w:rPr>
          <w:rFonts w:ascii="Times New Roman" w:hAnsi="Times New Roman"/>
          <w:color w:val="000000"/>
          <w:sz w:val="24"/>
          <w:u w:val="single"/>
        </w:rPr>
        <w:t>Indemnitee</w:t>
      </w:r>
      <w:r>
        <w:rPr>
          <w:color w:val="000000"/>
        </w:rPr>
        <w:t>”</w:t>
      </w:r>
      <w:r>
        <w:rPr>
          <w:rFonts w:ascii="Times New Roman" w:hAnsi="Times New Roman"/>
          <w:color w:val="000000"/>
          <w:sz w:val="24"/>
        </w:rPr>
        <w:t>), the indemnified Party shall promptly notify the other Party in writing of the claim and the indemnifying Party shall manage and control, at its sole expense, the defense of the claim and its settlement; provided that the failure to so notify promptly shall not relieve the indemnifying Party of its obligations under this Article 8 except to the extent of the actual prejudice suffered by such Party as a result of such failure; and further provided that the indemnifying Party shall not have the right to assume the defense of such claim if such claim relates to an Infringement Claim. The Indemnitee shall cooperate with the indemnifying Party and may, at its option and expense, be represented in and participate in any such action or proceeding. The indemnifying Party shall not be liable for any settlements, litigation costs or expenses incurred by any Indemnitee without the indemnifying Party’s written authorization. [***].</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Insurance.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rPr>
        <w:t>Licensee shall [***] to name and cause Ligand and the Ligand Indemnitees to be named as “</w:t>
      </w:r>
      <w:r>
        <w:rPr>
          <w:rFonts w:ascii="Times New Roman" w:hAnsi="Times New Roman"/>
          <w:color w:val="000000"/>
          <w:sz w:val="24"/>
          <w:u w:val="single"/>
        </w:rPr>
        <w:t>additional insureds</w:t>
      </w:r>
      <w:r>
        <w:rPr>
          <w:color w:val="000000"/>
        </w:rPr>
        <w:t xml:space="preserve">” </w:t>
      </w:r>
      <w:r>
        <w:rPr>
          <w:rFonts w:ascii="Times New Roman" w:hAnsi="Times New Roman"/>
          <w:color w:val="000000"/>
          <w:sz w:val="24"/>
        </w:rPr>
        <w:t>on any commercial general liability and product liability insurance policies maintained by Licensee, its Affiliates and Sublicensees applicable to the Products.</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Licensee (or an Affiliate or Sublicensee, as applicable) shall, at its sole expense, procure and maintain commercial general liability insurance with reputable insurers in usual and customary amounts based on the stage of development for the Products. If Licensee elects to self-insure all or part of the limits described above, such self-insurance program must be acceptable to Ligand [***]. The maintenance of such insurance policies shall not in any way limit Licensee’s liability with respect to indemnification under this Agreement.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Licensee (or an Affiliate or Sublicensee, as applicable) shall maintain such commercial general liability insurance beyond the termination of this Agreement during (a) the period that any Product is being commercially distributed or sold by or on behalf of Licensee, its Affiliates or a Sublicensee; and (b) a reasonable period after the period referred to in sub-clause (a) above, which in no event shall be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9</w:t>
      </w:r>
    </w:p>
    <w:p>
      <w:pPr>
        <w:pStyle w:val="TextBody"/>
        <w:bidi w:val="0"/>
        <w:spacing w:before="240" w:after="283"/>
        <w:jc w:val="center"/>
        <w:rPr/>
      </w:pPr>
      <w:r>
        <w:rPr>
          <w:rFonts w:ascii="Times New Roman" w:hAnsi="Times New Roman"/>
          <w:b/>
          <w:color w:val="000000"/>
          <w:sz w:val="24"/>
        </w:rPr>
        <w:br/>
        <w:t>LIMITATION OF LIABILIT</w:t>
      </w:r>
      <w:r>
        <w:rPr>
          <w:rFonts w:ascii="Times New Roman" w:hAnsi="Times New Roman"/>
          <w:color w:val="000000"/>
          <w:sz w:val="24"/>
        </w:rPr>
        <w: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EXCEPT FOR ANY LIABILITY THAT IS THE CONSEQUENCE OF WILLFUL MISCONDUCT OF A PARTY, IN NO EVENT SHALL EITHER PARTY BE LIABLE TO THE OTHER PARTY FOR ANY SPECIAL, CONSEQUENTIAL, EXEMPLARY OR INCIDENTAL DAMAGES (INCLUDING LOST OR ANTICIPATED REVENUES OR PROFITS RELATING TO THE SAME), HOWEVER CAUSED AND ON ANY THEORY OF LIABILITY ARISING OUT OF THIS AGREEMENT, WHETHER SUCH CLAIM IS BASED ON CONTRACT, TORT (INCLUDING NEGLIGENCE) OR OTHERWISE, AND WHETHER OR NOT SUCH PARTY HAS BEEN ADVISED OF THE POSSIBILITY OF SUCH DAMAGE. THESE LIMITATIONS SHALL APPLY NOTWITHSTANDING ANY FAILURE OF ESSENTIAL PURPOSE OF ANY LIMITED REMEDY PROVIDED HEREIN. THIS ARTICLE 9 SHALL NOT BE CONSTRUED TO LIMIT EITHER PARTY’S OBLIGATIONS UNDER ARTICLE 8. </w:t>
      </w:r>
    </w:p>
    <w:p>
      <w:pPr>
        <w:pStyle w:val="TextBody"/>
        <w:bidi w:val="0"/>
        <w:jc w:val="center"/>
        <w:rPr>
          <w:rFonts w:ascii="Times New Roman" w:hAnsi="Times New Roman"/>
          <w:b/>
          <w:color w:val="000000"/>
          <w:sz w:val="24"/>
        </w:rPr>
      </w:pPr>
      <w:r>
        <w:rPr>
          <w:rFonts w:ascii="Times New Roman" w:hAnsi="Times New Roman"/>
          <w:b/>
          <w:color w:val="000000"/>
          <w:sz w:val="24"/>
        </w:rPr>
        <w:t>ARTICLE 10</w:t>
      </w:r>
    </w:p>
    <w:p>
      <w:pPr>
        <w:pStyle w:val="TextBody"/>
        <w:bidi w:val="0"/>
        <w:jc w:val="center"/>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240" w:after="283"/>
        <w:jc w:val="both"/>
        <w:rPr/>
      </w:pPr>
      <w:r>
        <w:rPr>
          <w:rFonts w:ascii="Times New Roman" w:hAnsi="Times New Roman"/>
          <w:b/>
          <w:color w:val="000000"/>
          <w:sz w:val="24"/>
        </w:rPr>
        <w:t>Term.</w:t>
      </w:r>
      <w:r>
        <w:rPr>
          <w:color w:val="000000"/>
        </w:rPr>
        <w:t xml:space="preserve"> </w:t>
      </w:r>
      <w:r>
        <w:rPr>
          <w:rFonts w:ascii="Times New Roman" w:hAnsi="Times New Roman"/>
          <w:color w:val="000000"/>
          <w:sz w:val="24"/>
        </w:rPr>
        <w:t>This Agreement shall commence on the Effective Date and on a country-by-country basis, shall be in full force and effect until terminated by either Party pursuant to this Article 10</w:t>
      </w:r>
      <w:r>
        <w:rPr>
          <w:rFonts w:ascii="Times New Roman" w:hAnsi="Times New Roman"/>
          <w:color w:val="181818"/>
          <w:sz w:val="24"/>
        </w:rPr>
        <w:t>, for so long as Licensee (or an Affiliate or Sublicensee) is developing, making, using or selling a Product in the Territory</w:t>
      </w:r>
      <w:r>
        <w:rPr>
          <w:color w:val="000000"/>
        </w:rPr>
        <w:t xml:space="preserve"> </w:t>
      </w:r>
      <w:r>
        <w:rPr>
          <w:rFonts w:ascii="Times New Roman" w:hAnsi="Times New Roman"/>
          <w:color w:val="000000"/>
          <w:sz w:val="24"/>
        </w:rPr>
        <w:t>(the “</w:t>
      </w:r>
      <w:r>
        <w:rPr>
          <w:rFonts w:ascii="Times New Roman" w:hAnsi="Times New Roman"/>
          <w:color w:val="000000"/>
          <w:sz w:val="24"/>
          <w:u w:val="single"/>
        </w:rPr>
        <w:t>Term</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Termination.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pStyle w:val="TextBody"/>
        <w:bidi w:val="0"/>
        <w:spacing w:before="240" w:after="283"/>
        <w:jc w:val="both"/>
        <w:rPr/>
      </w:pPr>
      <w:r>
        <w:rPr>
          <w:rFonts w:ascii="Times New Roman" w:hAnsi="Times New Roman"/>
          <w:color w:val="000000"/>
          <w:sz w:val="24"/>
          <w:u w:val="single"/>
        </w:rPr>
        <w:t>Termination by Licensee for Clinical Failure</w:t>
      </w:r>
      <w:r>
        <w:rPr>
          <w:rFonts w:ascii="Times New Roman" w:hAnsi="Times New Roman"/>
          <w:color w:val="000000"/>
          <w:sz w:val="24"/>
        </w:rPr>
        <w:t>. Licensee may terminate this Agreement in its entirety or on a Product-by- Product or country-by-country basis by providing written notice to Ligand if, prior to Regulatory Approval, Licensee determines [***] that there are material concerns regarding (i) the safety of any Product or (ii) the failure to substantially achieve any of the primary efficacy endpoints of any clinical trial involving any Product, provided that [***].</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For Material Breach</w:t>
      </w:r>
      <w:r>
        <w:rPr>
          <w:rFonts w:ascii="Times New Roman" w:hAnsi="Times New Roman"/>
          <w:color w:val="000000"/>
          <w:sz w:val="24"/>
        </w:rPr>
        <w:t>. If either Party shall at any time breach any material term, condition or agreement herein, and shall fail to have cured any such default or breach within [***] (the “Cure Period”), or if the default or breach is not capable of being cured during the Cure Period, failed to have initiated and actively pursued remedy of such default or breach during the Cure Period, in each case after receipt of written notice thereof by the other Party, then the other Party may, at its option, terminate this Agreement and revoke any rights and licenses herein; provided, [***]. Any termination of this Agreement under this Section 10.2 shall not, however, prejudice the right of the Party who terminates this Agreement to recover any payment due at the time of such cancellation.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pPr>
      <w:r>
        <w:rPr>
          <w:rFonts w:ascii="Times New Roman" w:hAnsi="Times New Roman"/>
          <w:color w:val="000000"/>
          <w:sz w:val="24"/>
          <w:u w:val="single"/>
        </w:rPr>
        <w:t>For Bankruptcy</w:t>
      </w:r>
      <w:r>
        <w:rPr>
          <w:rFonts w:ascii="Times New Roman" w:hAnsi="Times New Roman"/>
          <w:color w:val="000000"/>
          <w:sz w:val="24"/>
        </w:rPr>
        <w:t xml:space="preserve">. Ligand may terminate this Agreement upon the occurrence of one or more of the following: (i) immediately upon written notice to Licensee in the event Licensee is insolvent or [***]; or (ii)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w:t>
      </w:r>
    </w:p>
    <w:p>
      <w:pPr>
        <w:pStyle w:val="TextBody"/>
        <w:bidi w:val="0"/>
        <w:spacing w:before="240" w:after="283"/>
        <w:jc w:val="both"/>
        <w:rPr/>
      </w:pPr>
      <w:r>
        <w:rPr>
          <w:rFonts w:ascii="Times New Roman" w:hAnsi="Times New Roman"/>
          <w:color w:val="000000"/>
          <w:sz w:val="24"/>
          <w:u w:val="single"/>
        </w:rPr>
        <w:t>For Challenge</w:t>
      </w:r>
      <w:r>
        <w:rPr>
          <w:rFonts w:ascii="Times New Roman" w:hAnsi="Times New Roman"/>
          <w:color w:val="000000"/>
          <w:sz w:val="24"/>
        </w:rPr>
        <w:t>. If Licensee, its Affiliates or a Sublicensee institutes a Challenge, Ligand may, at its option, terminate this Agreement and revoke any rights and licenses herein with [***] prior written notice.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240" w:after="283"/>
        <w:jc w:val="both"/>
        <w:rPr/>
      </w:pPr>
      <w:r>
        <w:rPr>
          <w:rFonts w:ascii="Times New Roman" w:hAnsi="Times New Roman"/>
          <w:b/>
          <w:color w:val="000000"/>
          <w:sz w:val="24"/>
        </w:rPr>
        <w:t>Effect of Termination</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Rights and Obligations Upon Termination</w:t>
      </w:r>
      <w:r>
        <w:rPr>
          <w:rFonts w:ascii="Times New Roman" w:hAnsi="Times New Roman"/>
          <w:color w:val="000000"/>
          <w:sz w:val="24"/>
        </w:rPr>
        <w:t xml:space="preserve">. </w:t>
      </w:r>
      <w:bookmarkStart w:id="64" w:name="ole_link28"/>
      <w:bookmarkEnd w:id="64"/>
      <w:r>
        <w:rPr>
          <w:rFonts w:ascii="Times New Roman" w:hAnsi="Times New Roman"/>
          <w:color w:val="000000"/>
          <w:sz w:val="24"/>
        </w:rPr>
        <w:t xml:space="preserve">As of the effective date of a termination of this Agreement for any reason: (i) this Agreement and all rights and licenses granted to Licensee under Section 2.1 shall terminate and all rights in the Licensed Technology shall revert to Ligand; (ii) Licensee shall return to Ligand the Licensed Know-How; (iii) to transfer to Ligand copies of all Development data generated by or on behalf of Licensee in connection with a Product (including reports of clinical studies and all other documentation containing or embodying any preclinical, clinical and manufacturing data); (iv) transfer ownership to Ligand of all Regulatory Approval applications and Regulatory Approvals, including any IND and/or NDA, for a Product in the Territory, not then owned by, and otherwise transferred to, Ligand; (v) transfer (1) ownership to Ligand of any (a) [***] and (b) trademarks owned by Licensee and/or its Affiliates, but in each case (a)-(b) solely if utilized exclusively in connection with a Product and not in connection with Licensee’s and/or its Affiliates’ other products or services, (vi) [***] notify all applicable Regulatory Authorities of such transfer; (vii) [***] execute and deliver any and all documents necessary to effectuate such transfer and otherwise reasonably assist Ligand in effectuating such transfer; and (viii) each Party shall return to the other Party and cease using all Confidential Information of the other; </w:t>
      </w:r>
      <w:r>
        <w:rPr>
          <w:rFonts w:ascii="Times New Roman" w:hAnsi="Times New Roman"/>
          <w:i/>
          <w:color w:val="000000"/>
          <w:sz w:val="24"/>
        </w:rPr>
        <w:t>provided,</w:t>
      </w:r>
      <w:r>
        <w:rPr>
          <w:color w:val="000000"/>
        </w:rPr>
        <w:t xml:space="preserve"> </w:t>
      </w:r>
      <w:r>
        <w:rPr>
          <w:rFonts w:ascii="Times New Roman" w:hAnsi="Times New Roman"/>
          <w:i/>
          <w:color w:val="000000"/>
          <w:sz w:val="24"/>
        </w:rPr>
        <w:t>however,</w:t>
      </w:r>
      <w:r>
        <w:rPr>
          <w:color w:val="000000"/>
        </w:rPr>
        <w:t xml:space="preserve"> </w:t>
      </w:r>
      <w:r>
        <w:rPr>
          <w:rFonts w:ascii="Times New Roman" w:hAnsi="Times New Roman"/>
          <w:color w:val="000000"/>
          <w:sz w:val="24"/>
        </w:rPr>
        <w:t>each Party may retain one (1) copy of such Confidential Information for archival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40" w:after="283"/>
        <w:jc w:val="both"/>
        <w:rPr/>
      </w:pPr>
      <w:r>
        <w:rPr>
          <w:rFonts w:ascii="Times New Roman" w:hAnsi="Times New Roman"/>
          <w:color w:val="000000"/>
          <w:sz w:val="24"/>
          <w:u w:val="single"/>
        </w:rPr>
        <w:t>Accrued Rights</w:t>
      </w:r>
      <w:r>
        <w:rPr>
          <w:rFonts w:ascii="Times New Roman" w:hAnsi="Times New Roman"/>
          <w:color w:val="000000"/>
          <w:sz w:val="24"/>
        </w:rPr>
        <w:t>. Termination of this Agreement for any reason will be without prejudice to any rights that will have accrued to the benefit of a Party prior to such termination. Such termination will not relieve a Party from accrued payment obligations or from obligations which are expressly indicated to survive termination of this Agreement.</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w:t>
      </w:r>
    </w:p>
    <w:p>
      <w:pPr>
        <w:pStyle w:val="TextBody"/>
        <w:bidi w:val="0"/>
        <w:spacing w:before="240" w:after="283"/>
        <w:jc w:val="both"/>
        <w:rPr/>
      </w:pPr>
      <w:r>
        <w:rPr>
          <w:rFonts w:ascii="Times New Roman" w:hAnsi="Times New Roman"/>
          <w:color w:val="000000"/>
          <w:sz w:val="24"/>
          <w:u w:val="single"/>
        </w:rPr>
        <w:t>Survival</w:t>
      </w:r>
      <w:r>
        <w:rPr>
          <w:rFonts w:ascii="Times New Roman" w:hAnsi="Times New Roman"/>
          <w:color w:val="000000"/>
          <w:sz w:val="24"/>
        </w:rPr>
        <w:t>. All rights and obligations of the Parties which by intent or meaning have validity beyond or by their nature apply or are to be performed or exercised after the termination of this Agreement shall survive the termination of this Agreement for the period so specified, if any, or for perpetuity.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ARTICLE 11</w:t>
      </w:r>
    </w:p>
    <w:p>
      <w:pPr>
        <w:pStyle w:val="TextBody"/>
        <w:bidi w:val="0"/>
        <w:spacing w:before="240" w:after="283"/>
        <w:jc w:val="center"/>
        <w:rPr/>
      </w:pPr>
      <w:r>
        <w:rPr>
          <w:rFonts w:ascii="Times New Roman" w:hAnsi="Times New Roman"/>
          <w:color w:val="000000"/>
          <w:sz w:val="24"/>
        </w:rPr>
        <w:br/>
      </w:r>
      <w:r>
        <w:rPr>
          <w:rFonts w:ascii="Times New Roman" w:hAnsi="Times New Roman"/>
          <w:b/>
          <w:color w:val="000000"/>
          <w:sz w:val="24"/>
        </w:rPr>
        <w:t>GENERAL PROVISIONS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240" w:after="283"/>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The Parties acknowledge that this Agreement, together with the exhibits and schedules attached hereto, sets forth the entire agreement and understanding of the Parties as to the subject matter hereof, and supersedes all prior and contemporaneous discussions, agreements and writings in respect hereto.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240" w:after="283"/>
        <w:jc w:val="both"/>
        <w:rPr/>
      </w:pPr>
      <w:r>
        <w:rPr>
          <w:rFonts w:ascii="Times New Roman" w:hAnsi="Times New Roman"/>
          <w:b/>
          <w:color w:val="000000"/>
          <w:sz w:val="24"/>
        </w:rPr>
        <w:t>Modification; Waiver.</w:t>
      </w:r>
      <w:r>
        <w:rPr>
          <w:color w:val="000000"/>
        </w:rPr>
        <w:t xml:space="preserve"> </w:t>
      </w:r>
      <w:r>
        <w:rPr>
          <w:rFonts w:ascii="Times New Roman" w:hAnsi="Times New Roman"/>
          <w:color w:val="000000"/>
          <w:sz w:val="24"/>
        </w:rPr>
        <w:t xml:space="preserve">No waiver, modification, amendment or alteration of any provision of this Agreement will be valid or effective unless made in writing and signed by each of the Parties. The failure of a Party to enforce any rights or provisions of the Agreement shall not be construed to be a waiver of such rights or provisions, or a waiver by such Party to thereafter enforce such rights or provisions or any other rights or provisions hereunder.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240" w:after="283"/>
        <w:jc w:val="both"/>
        <w:rPr/>
      </w:pPr>
      <w:r>
        <w:rPr>
          <w:rFonts w:ascii="Times New Roman" w:hAnsi="Times New Roman"/>
          <w:b/>
          <w:color w:val="000000"/>
          <w:sz w:val="24"/>
        </w:rPr>
        <w:t>Further Assurances.</w:t>
      </w:r>
      <w:r>
        <w:rPr>
          <w:color w:val="000000"/>
        </w:rPr>
        <w:t xml:space="preserve"> </w:t>
      </w:r>
      <w:r>
        <w:rPr>
          <w:rFonts w:ascii="Times New Roman" w:hAnsi="Times New Roman"/>
          <w:color w:val="000000"/>
          <w:sz w:val="24"/>
        </w:rPr>
        <w:t>Each Party agrees to execute, acknowledge, and deliver such further instruments and to do all such other acts as may be necessary or appropriate in order to carry out the express provisions of this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240" w:after="283"/>
        <w:jc w:val="both"/>
        <w:rPr/>
      </w:pPr>
      <w:r>
        <w:rPr>
          <w:rFonts w:ascii="Times New Roman" w:hAnsi="Times New Roman"/>
          <w:b/>
          <w:color w:val="000000"/>
          <w:sz w:val="24"/>
        </w:rPr>
        <w:t>Force Majeure.</w:t>
      </w:r>
      <w:r>
        <w:rPr>
          <w:color w:val="000000"/>
        </w:rPr>
        <w:t xml:space="preserve"> </w:t>
      </w:r>
      <w:r>
        <w:rPr>
          <w:rFonts w:ascii="Times New Roman" w:hAnsi="Times New Roman"/>
          <w:color w:val="000000"/>
          <w:sz w:val="24"/>
        </w:rPr>
        <w:t xml:space="preserve">Neither Party shall be held responsible for any delay or failure in performance hereunder caused by strikes, embargoes, unexpected government requirements, civil or military authorities, acts of God, earthquake, or by the public enemy or other causes reasonably beyond such Party’s control and without such Party’s fault or negligence;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affected Party notifies the unaffected Party [***], and resumes performance hereunder [***] following cessation of such force majeure event.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240" w:after="283"/>
        <w:jc w:val="both"/>
        <w:rPr/>
      </w:pPr>
      <w:r>
        <w:rPr>
          <w:rFonts w:ascii="Times New Roman" w:hAnsi="Times New Roman"/>
          <w:b/>
          <w:color w:val="000000"/>
          <w:sz w:val="24"/>
        </w:rPr>
        <w:t>Assignments.</w:t>
      </w:r>
      <w:r>
        <w:rPr>
          <w:color w:val="000000"/>
        </w:rPr>
        <w:t xml:space="preserve"> </w:t>
      </w:r>
      <w:r>
        <w:rPr>
          <w:rFonts w:ascii="Times New Roman" w:hAnsi="Times New Roman"/>
          <w:color w:val="000000"/>
          <w:sz w:val="24"/>
        </w:rPr>
        <w:t xml:space="preserve">Neither this Agreement nor any interest hereunder may be assigned, nor any other obligation delegated, by a Party without the prior written consent of the other Party. Notwithstanding the foregoing, (a) [***]; (b) either Party shall have the right to assign this Agreement without consent of the other Party to an Affiliate of the assigning Party or to any successor in interest to the assigning Party by operation of law, merger, consolidation, or other business reorganization or the sale of all or substantially all of its assets relating to the subject matter of this Agreement in a manner such that the assigning Party will remain liable and responsible for the performance and observance of all of its duties and obligations hereunder; and (c) and Licensee shall have the right to assign this Agreement to Sermonix without the consent of Ligand in the event that the Sermonix-Athira Agreement is terminated for any reason, provided that [***]. This Agreement shall be binding upon successors and permitted assigns of the Parties. Any assignment not in accordance with this Section 11.5 will be null and void.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240" w:after="283"/>
        <w:jc w:val="both"/>
        <w:rPr/>
      </w:pPr>
      <w:r>
        <w:rPr>
          <w:rFonts w:ascii="Times New Roman" w:hAnsi="Times New Roman"/>
          <w:b/>
          <w:color w:val="000000"/>
          <w:sz w:val="24"/>
        </w:rPr>
        <w:t>Performance by Affiliates.</w:t>
      </w:r>
      <w:r>
        <w:rPr>
          <w:color w:val="000000"/>
        </w:rPr>
        <w:t xml:space="preserve"> </w:t>
      </w:r>
      <w:r>
        <w:rPr>
          <w:rFonts w:ascii="Times New Roman" w:hAnsi="Times New Roman"/>
          <w:color w:val="000000"/>
          <w:sz w:val="24"/>
        </w:rPr>
        <w:t xml:space="preserve">The Parties recognize that each may perform some or all of its obligations under this Agreement through its Affiliates or may exercise some or all of its rights under this Agreement through its Affiliates;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each Party shall remain </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responsible and be the guarantor of the performance by its Affiliates and shall cause its Affiliates to comply with the provisions of this Agreement in connection with such performance. In particular and without limitation, all Affiliates of a Party that receive Confidential Information of the other Party pursuant to this Agreement shall be governed and bound by all obligations set forth in Article 6. Each Party will prohibit all of its Affiliates from taking any action that such Party is prohibited from taking under this Agreement as if such Affiliates were parties to this Agreement.</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240" w:after="283"/>
        <w:jc w:val="both"/>
        <w:rPr/>
      </w:pPr>
      <w:r>
        <w:rPr>
          <w:rFonts w:ascii="Times New Roman" w:hAnsi="Times New Roman"/>
          <w:b/>
          <w:color w:val="000000"/>
          <w:sz w:val="24"/>
        </w:rPr>
        <w:t>Relationship of the Parties.</w:t>
      </w:r>
      <w:r>
        <w:rPr>
          <w:color w:val="000000"/>
        </w:rPr>
        <w:t xml:space="preserve"> </w:t>
      </w:r>
      <w:r>
        <w:rPr>
          <w:rFonts w:ascii="Times New Roman" w:hAnsi="Times New Roman"/>
          <w:color w:val="000000"/>
          <w:sz w:val="24"/>
        </w:rPr>
        <w:t>The Parties shall perform their obligations under this Agreement as independent contractors and nothing in this Agreement is intended or will be deemed to constitute a partnership, agency or employer-employee relationship between the Parties. Neither Party will have any right, power or authority to assume, create, or incur any expense, liability, or obligation, express or implied, on behalf of the other.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rPr>
        <w:t>No Use of Names.</w:t>
      </w:r>
      <w:r>
        <w:rPr>
          <w:color w:val="000000"/>
        </w:rPr>
        <w:t xml:space="preserve"> </w:t>
      </w:r>
      <w:r>
        <w:rPr>
          <w:rFonts w:ascii="Times New Roman" w:hAnsi="Times New Roman"/>
          <w:color w:val="000000"/>
          <w:sz w:val="24"/>
        </w:rPr>
        <w:t>Except as otherwise required under applicable Law, or as otherwise permitted under Section 6.4, neither Party will use the name of the other Party in its advertising, press releases or promotional materials without the prior written consent of such other Party.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240" w:after="283"/>
        <w:jc w:val="both"/>
        <w:rPr/>
      </w:pPr>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request, delivery, approval or consent required or permitted to be given under this Agreement will be in writing and will be deemed to have been sufficiently given if delivered in person (in which case, it will be effective [***]), transmitted by facsimile, if facsimile number is provided below (receipt verified; in which case, it will be effective [***]) or by express courier service (signature required; in which case, it will be effective [***]), to the Party to which it is directed at its address or facsimile number shown below or such other address or facsimile number as such Party will have last given by notice to the other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to Ligand: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br/>
        <w:t>[***]</w:t>
      </w:r>
    </w:p>
    <w:p>
      <w:pPr>
        <w:pStyle w:val="TextBody"/>
        <w:bidi w:val="0"/>
        <w:jc w:val="both"/>
        <w:rPr>
          <w:rFonts w:ascii="Times New Roman" w:hAnsi="Times New Roman"/>
          <w:color w:val="000000"/>
          <w:sz w:val="24"/>
        </w:rPr>
      </w:pPr>
      <w:r>
        <w:rPr>
          <w:rFonts w:ascii="Times New Roman" w:hAnsi="Times New Roman"/>
          <w:color w:val="000000"/>
          <w:sz w:val="24"/>
        </w:rPr>
        <w:t>Attention: [***]</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 (which shall not constitute notice hereunder):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Attn: [***]</w:t>
      </w:r>
    </w:p>
    <w:p>
      <w:pPr>
        <w:pStyle w:val="TextBody"/>
        <w:bidi w:val="0"/>
        <w:jc w:val="both"/>
        <w:rPr>
          <w:rFonts w:ascii="Times New Roman" w:hAnsi="Times New Roman"/>
          <w:color w:val="000000"/>
          <w:sz w:val="24"/>
        </w:rPr>
      </w:pPr>
      <w:r>
        <w:rPr>
          <w:rFonts w:ascii="Times New Roman" w:hAnsi="Times New Roman"/>
          <w:color w:val="000000"/>
          <w:sz w:val="24"/>
        </w:rPr>
        <w:t>Email: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If to Licensee: [***] </w:t>
        <w:b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Attention: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 (which shall not constitute notice hereunder):</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Attention: [***]</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to Sermonix (pursuant</w:t>
      </w:r>
    </w:p>
    <w:p>
      <w:pPr>
        <w:pStyle w:val="TextBody"/>
        <w:bidi w:val="0"/>
        <w:jc w:val="both"/>
        <w:rPr>
          <w:rFonts w:ascii="Times New Roman" w:hAnsi="Times New Roman"/>
          <w:color w:val="000000"/>
          <w:sz w:val="24"/>
        </w:rPr>
      </w:pPr>
      <w:r>
        <w:rPr>
          <w:rFonts w:ascii="Times New Roman" w:hAnsi="Times New Roman"/>
          <w:color w:val="000000"/>
          <w:sz w:val="24"/>
        </w:rPr>
        <w:t xml:space="preserve">to Section 10.2(b)): [***] </w:t>
        <w:b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Attention: [***]</w:t>
      </w:r>
    </w:p>
    <w:p>
      <w:pPr>
        <w:pStyle w:val="TextBody"/>
        <w:bidi w:val="0"/>
        <w:jc w:val="both"/>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With a copy to (which shall not constitute notice hereunder):</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Attn: [***]</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240" w:after="283"/>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The rights and obligations of the Parties under this Agreement shall be governed, and shall be interpreted, construed, and enforced, in all respects by</w:t>
      </w:r>
      <w:r>
        <w:rPr>
          <w:color w:val="000000"/>
        </w:rPr>
        <w:t xml:space="preserve"> </w:t>
      </w:r>
      <w:r>
        <w:rPr>
          <w:rFonts w:ascii="Times New Roman" w:hAnsi="Times New Roman"/>
          <w:color w:val="000000"/>
          <w:sz w:val="24"/>
        </w:rPr>
        <w:t xml:space="preserve">the Law of the State of California, without giving effect to any conflict of Law rule that would result in the application of the Law of any jurisdiction other than the internal Law of the State of California to the rights and duties of the Parties.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240" w:after="283"/>
        <w:jc w:val="both"/>
        <w:rPr/>
      </w:pPr>
      <w:r>
        <w:rPr>
          <w:rFonts w:ascii="Times New Roman" w:hAnsi="Times New Roman"/>
          <w:b/>
          <w:color w:val="000000"/>
          <w:sz w:val="24"/>
        </w:rPr>
        <w:t>Dispute Resolution.</w:t>
      </w:r>
      <w:r>
        <w:rPr>
          <w:color w:val="000000"/>
        </w:rPr>
        <w:t xml:space="preserve"> </w:t>
      </w:r>
      <w:r>
        <w:rPr>
          <w:rFonts w:ascii="Times New Roman" w:hAnsi="Times New Roman"/>
          <w:color w:val="000000"/>
          <w:sz w:val="24"/>
        </w:rPr>
        <w:t xml:space="preserve">With respect to any disputes between the Parties concerning this Agreement, the dispute shall be submitted to escalating levels of Licensee and Ligand senior management for review. If the dispute cannot be resolved despite such escalation, then the matter may be referred by either Party to the Executive Officers to be resolved by negotiation [***]. Such resolution, if any, by the Executive Officers shall be final and binding on the Parties. If the Executive Officers are unable to resolve such dispute within such [***] period, each Party will be free to pursue all rights available to it under law or equity,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it has complied with this Section 11.11. Notwithstanding the foregoing, either Party may seek emergency or temporary injunctive relief in any court of competent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11.12</w:t>
      </w:r>
    </w:p>
    <w:p>
      <w:pPr>
        <w:pStyle w:val="TextBody"/>
        <w:bidi w:val="0"/>
        <w:spacing w:before="240" w:after="283"/>
        <w:jc w:val="both"/>
        <w:rPr/>
      </w:pPr>
      <w:r>
        <w:rPr>
          <w:rFonts w:ascii="Times New Roman" w:hAnsi="Times New Roman"/>
          <w:b/>
          <w:color w:val="000000"/>
          <w:sz w:val="24"/>
        </w:rPr>
        <w:t>Headings.</w:t>
      </w:r>
      <w:r>
        <w:rPr>
          <w:color w:val="000000"/>
        </w:rPr>
        <w:t xml:space="preserve"> </w:t>
      </w:r>
      <w:r>
        <w:rPr>
          <w:rFonts w:ascii="Times New Roman" w:hAnsi="Times New Roman"/>
          <w:color w:val="000000"/>
          <w:sz w:val="24"/>
        </w:rPr>
        <w:t>The article, section and subsection headings contained herein are for the purposes of convenience only and are not intended to define or limit the contents of the articles, sections or subsections to which such headings apply.</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240" w:after="283"/>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When possible, each provision of this Agreement will be interpreted in such manner as to be effective and valid under Law, but, if any provision of this Agreement is held to be prohibited by or invalid under Law, such provision will be ineffective but only to the extent of such prohibition or invalidity, without invalidating the remainder of such provision or of this Agreement. The Parties will make a good faith effort to replace the invalid or unenforceable provision with a valid one which in its economic effect is most consistent with the invalid or unenforceable provision.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240" w:after="283"/>
        <w:jc w:val="both"/>
        <w:rPr/>
      </w:pPr>
      <w:r>
        <w:rPr>
          <w:rFonts w:ascii="Times New Roman" w:hAnsi="Times New Roman"/>
          <w:b/>
          <w:color w:val="000000"/>
          <w:sz w:val="24"/>
        </w:rPr>
        <w:t xml:space="preserve">Counterparts. </w:t>
      </w:r>
      <w:r>
        <w:rPr>
          <w:rFonts w:ascii="Times New Roman" w:hAnsi="Times New Roman"/>
          <w:color w:val="000000"/>
          <w:sz w:val="24"/>
        </w:rPr>
        <w:t>This Agreement may be executed in counterparts (including by facsimile or electronic signature), each of which shall be deemed an original and all of which together shall constitute one instrument.</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0" w:after="360"/>
        <w:jc w:val="both"/>
        <w:rPr>
          <w:rFonts w:ascii="Times New Roman" w:hAnsi="Times New Roman"/>
          <w:color w:val="000000"/>
          <w:sz w:val="24"/>
        </w:rPr>
      </w:pPr>
      <w:r>
        <w:rPr>
          <w:rFonts w:ascii="Times New Roman" w:hAnsi="Times New Roman"/>
          <w:color w:val="000000"/>
          <w:sz w:val="24"/>
        </w:rPr>
        <w:t>IN WITNESS WHEREOF, the Parties have executed this Agreement in duplicate originals by their duly authorized representatives as of the Effective Date.</w:t>
      </w:r>
    </w:p>
    <w:p>
      <w:pPr>
        <w:pStyle w:val="TextBody"/>
        <w:bidi w:val="0"/>
        <w:jc w:val="left"/>
        <w:rPr>
          <w:rFonts w:ascii="Times New Roman" w:hAnsi="Times New Roman"/>
          <w:b/>
          <w:color w:val="000000"/>
          <w:sz w:val="24"/>
        </w:rPr>
      </w:pPr>
      <w:r>
        <w:rPr>
          <w:rFonts w:ascii="Times New Roman" w:hAnsi="Times New Roman"/>
          <w:b/>
          <w:color w:val="000000"/>
          <w:sz w:val="24"/>
        </w:rPr>
        <w:t>LIGAND PHARMACEUTICALS ATHIRA PHARMA, INC.</w:t>
        <w:br/>
        <w:t xml:space="preserve">INCORPORATED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(“Ligand”) (“Licensee”)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By: By: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Name: Name: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Title: Title: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of License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Geographical Asia</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Lasofoxifene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Chemical Structure of Lasofoxifene Tartrate</w:t>
      </w:r>
    </w:p>
    <w:p>
      <w:pPr>
        <w:pStyle w:val="TextBody"/>
        <w:bidi w:val="0"/>
        <w:spacing w:before="240" w:after="283"/>
        <w:jc w:val="left"/>
        <w:rPr/>
      </w:pPr>
      <w:r>
        <w:rPr/>
        <w:t> </w:t>
      </w:r>
    </w:p>
    <w:p>
      <w:pPr>
        <w:pStyle w:val="TextBody"/>
        <w:bidi w:val="0"/>
        <w:spacing w:before="240" w:after="283"/>
        <w:jc w:val="left"/>
        <w:rPr/>
      </w:pPr>
      <w:r>
        <w:rPr/>
        <w:drawing>
          <wp:inline distT="0" distB="0" distL="0" distR="0">
            <wp:extent cx="5295900" cy="3657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55"/>
                    <a:stretch>
                      <a:fillRect/>
                    </a:stretch>
                  </pic:blipFill>
                  <pic:spPr bwMode="auto">
                    <a:xfrm>
                      <a:off x="0" y="0"/>
                      <a:ext cx="5295900" cy="3657600"/>
                    </a:xfrm>
                    <a:prstGeom prst="rect">
                      <a:avLst/>
                    </a:prstGeom>
                  </pic:spPr>
                </pic:pic>
              </a:graphicData>
            </a:graphic>
          </wp:inline>
        </w:drawing>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 C</w:t>
      </w:r>
    </w:p>
    <w:p>
      <w:pPr>
        <w:pStyle w:val="TextBody"/>
        <w:bidi w:val="0"/>
        <w:spacing w:before="120" w:after="283"/>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INDs and NDAs</w:t>
      </w:r>
    </w:p>
    <w:p>
      <w:pPr>
        <w:pStyle w:val="TextBody"/>
        <w:bidi w:val="0"/>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Schedule 1.30</w:t>
      </w:r>
    </w:p>
    <w:p>
      <w:pPr>
        <w:pStyle w:val="TextBody"/>
        <w:bidi w:val="0"/>
        <w:spacing w:before="94" w:after="283"/>
        <w:jc w:val="center"/>
        <w:rPr>
          <w:rFonts w:ascii="Times New Roman" w:hAnsi="Times New Roman"/>
          <w:color w:val="494949"/>
          <w:sz w:val="24"/>
          <w:u w:val="single"/>
        </w:rPr>
      </w:pPr>
      <w:r>
        <w:rPr>
          <w:rFonts w:ascii="Times New Roman" w:hAnsi="Times New Roman"/>
          <w:color w:val="494949"/>
          <w:sz w:val="24"/>
          <w:u w:val="single"/>
        </w:rPr>
        <w:t>Licensed Patents</w:t>
      </w:r>
    </w:p>
    <w:p>
      <w:pPr>
        <w:pStyle w:val="TextBody"/>
        <w:bidi w:val="0"/>
        <w:spacing w:before="240" w:after="12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120"/>
        <w:jc w:val="left"/>
        <w:rPr/>
      </w:pPr>
      <w:r>
        <w:rPr/>
        <w:t> </w:t>
      </w:r>
    </w:p>
    <w:p>
      <w:pPr>
        <w:pStyle w:val="TextBody"/>
        <w:bidi w:val="0"/>
        <w:jc w:val="left"/>
        <w:rPr>
          <w:rFonts w:ascii="Times New Roman" w:hAnsi="Times New Roman"/>
          <w:color w:val="3B3B3B"/>
          <w:sz w:val="23"/>
        </w:rPr>
      </w:pPr>
      <w:r>
        <w:rPr>
          <w:rFonts w:ascii="Times New Roman" w:hAnsi="Times New Roman"/>
          <w:color w:val="3B3B3B"/>
          <w:sz w:val="23"/>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7.3(a)</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Licensed Technology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120"/>
        <w:jc w:val="left"/>
        <w:rPr/>
      </w:pPr>
      <w:r>
        <w:rPr/>
        <w:t> </w:t>
      </w:r>
    </w:p>
    <w:p>
      <w:pPr>
        <w:pStyle w:val="TextBody"/>
        <w:bidi w:val="0"/>
        <w:jc w:val="left"/>
        <w:rPr>
          <w:rFonts w:ascii="Times New Roman" w:hAnsi="Times New Roman"/>
          <w:color w:val="3B3B3B"/>
          <w:sz w:val="23"/>
        </w:rPr>
      </w:pPr>
      <w:r>
        <w:rPr>
          <w:rFonts w:ascii="Times New Roman" w:hAnsi="Times New Roman"/>
          <w:color w:val="3B3B3B"/>
          <w:sz w:val="23"/>
        </w:rPr>
        <w:t>5</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65" w:name="lona-ex19.htm"/>
      <w:bookmarkStart w:id="66" w:name="kslonaex19"/>
      <w:bookmarkEnd w:id="65"/>
      <w:bookmarkEnd w:id="66"/>
      <w:r>
        <w:rPr>
          <w:rFonts w:ascii="Times New Roman" w:hAnsi="Times New Roman"/>
          <w:b/>
          <w:color w:val="000000"/>
          <w:sz w:val="22"/>
        </w:rPr>
        <w:t>Exhibit 19</w:t>
      </w:r>
      <w:r>
        <w:br w:type="page"/>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LEONABIO, INC.</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INSIDER TRADING POLICY</w:t>
      </w:r>
    </w:p>
    <w:p>
      <w:pPr>
        <w:pStyle w:val="TextBody"/>
        <w:bidi w:val="0"/>
        <w:spacing w:before="0" w:after="120"/>
        <w:jc w:val="center"/>
        <w:rPr>
          <w:rFonts w:ascii="Times New Roman" w:hAnsi="Times New Roman"/>
          <w:color w:val="000000"/>
          <w:sz w:val="22"/>
        </w:rPr>
      </w:pPr>
      <w:r>
        <w:rPr>
          <w:rFonts w:ascii="Times New Roman" w:hAnsi="Times New Roman"/>
          <w:color w:val="000000"/>
          <w:sz w:val="22"/>
        </w:rPr>
        <w:t>(As Amended and Restated on January 9, 2026)</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POLICY OVERVIEW</w:t>
      </w:r>
    </w:p>
    <w:p>
      <w:pPr>
        <w:pStyle w:val="TextBody"/>
        <w:bidi w:val="0"/>
        <w:spacing w:before="0" w:after="120"/>
        <w:jc w:val="both"/>
        <w:rPr>
          <w:rFonts w:ascii="Times New Roman" w:hAnsi="Times New Roman"/>
          <w:sz w:val="20"/>
        </w:rPr>
      </w:pPr>
      <w:r>
        <w:rPr>
          <w:rFonts w:ascii="Times New Roman" w:hAnsi="Times New Roman"/>
          <w:color w:val="000000"/>
          <w:sz w:val="22"/>
        </w:rPr>
        <w:t>LeonaBio, Inc. (together with any subsidiaries, collectively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has adopted this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to help you comply with the federal and state securities laws and regulations that govern trading in securities and to help the Company minimize its own legal and reputational risk.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For purposes of this Policy, the Company’s General Counsel and Chief Compliance Officer serves as the Compliance Officer. The Compliance Officer may designate others, from time to time, to assist with the execution of his or her duties under this Policy.</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Policy STATEMENT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pPr>
      <w:r>
        <w:rPr>
          <w:rFonts w:ascii="Times New Roman" w:hAnsi="Times New Roman"/>
          <w:color w:val="000000"/>
          <w:sz w:val="22"/>
          <w:u w:val="single"/>
        </w:rPr>
        <w:t>No Trading on Material Nonpublic Information</w:t>
      </w:r>
      <w:r>
        <w:rPr>
          <w:rFonts w:ascii="Times New Roman" w:hAnsi="Times New Roman"/>
          <w:color w:val="000000"/>
          <w:sz w:val="22"/>
        </w:rPr>
        <w:t>. It is illegal for anyone to trade in securities on the basis of material nonpublic information. If you are in possession of material nonpublic information about the Company, you are prohibited from:</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using it to transact in securities of the Company;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disclosing it to other directors, officers, employees, consultants, contractors, or advisors whose roles do not require them to have the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disclosing it to anyone outside of the Company, including family, friends, business associates, investors or consulting firms, without prior written authorization from the Compliance Officer; or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using it to express an opinion or make a recommendation about trading in the Company’s securities.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addition, if you learn of material nonpublic information through your service with the Company that could be expected to affect the trading price of the securities of another company, you cannot (x) use that information to trade, directly or indirectly through others, or (y) provide that information to another person in order to trade, in the securities of that other company. Any such action will be deemed a violation of this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pPr>
      <w:r>
        <w:rPr>
          <w:rFonts w:ascii="Times New Roman" w:hAnsi="Times New Roman"/>
          <w:color w:val="000000"/>
          <w:sz w:val="22"/>
          <w:u w:val="single"/>
        </w:rPr>
        <w:t>No Disclosure of Confidential Information</w:t>
      </w:r>
      <w:r>
        <w:rPr>
          <w:rFonts w:ascii="Times New Roman" w:hAnsi="Times New Roman"/>
          <w:color w:val="000000"/>
          <w:sz w:val="22"/>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Compliance Officer. Responding to a request yourself may violate this Policy and, in some circumstances, the law. Please consult the Company’s External Communications Policy for more details.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pPr>
      <w:r>
        <w:rPr>
          <w:rFonts w:ascii="Times New Roman" w:hAnsi="Times New Roman"/>
          <w:color w:val="000000"/>
          <w:sz w:val="22"/>
          <w:u w:val="single"/>
        </w:rPr>
        <w:t>Definition of Material Nonpublic Information</w:t>
      </w:r>
      <w:r>
        <w:rPr>
          <w:rFonts w:ascii="Times New Roman" w:hAnsi="Times New Roman"/>
          <w:color w:val="000000"/>
          <w:sz w:val="22"/>
        </w:rPr>
        <w:t>. “</w:t>
      </w:r>
      <w:r>
        <w:rPr>
          <w:rFonts w:ascii="Times New Roman" w:hAnsi="Times New Roman"/>
          <w:b/>
          <w:color w:val="000000"/>
          <w:sz w:val="22"/>
        </w:rPr>
        <w:t>Material information</w:t>
      </w:r>
      <w:r>
        <w:rPr>
          <w:color w:val="000000"/>
        </w:rPr>
        <w:t xml:space="preserve">” </w:t>
      </w:r>
      <w:r>
        <w:rPr>
          <w:rFonts w:ascii="Times New Roman" w:hAnsi="Times New Roman"/>
          <w:color w:val="000000"/>
          <w:sz w:val="22"/>
        </w:rPr>
        <w:t>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It is not possible to define all categories of “material” information. However, some examples of information that could be regarded as material include, but are not limited 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developments in research and development, relating to the Company’s preclinical studies or clinical trials, including, without limitation, status, results and communications with regulatory agencies, or relating to intellectual property;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results, key metrics, financial condition, earnings pre-announcements, guidance, projections or forecasts, particularly if inconsistent with the Company’s guidance or the expectations of the investment community;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restatements of financial results, or material impairments, write-offs or restructurings;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changes in independent auditors, or notification that the Company may no longer rely on an audit report;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business plans or budgets;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creation of significant financial obligations, or any significant default under or acceleration of any financial obligation;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impending bankruptcy or financial liquidity problems;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pPr>
      <w:r>
        <w:rPr>
          <w:rFonts w:ascii="Times New Roman" w:hAnsi="Times New Roman"/>
          <w:color w:val="000000"/>
          <w:sz w:val="22"/>
        </w:rPr>
        <w:t>significant information relating to the operation of a product or service, such as new products or services, major modifications or performance issues, defects or recalls, significant pricing changes or other announcements of a significant nature;</w:t>
      </w:r>
      <w:r>
        <w:rPr>
          <w:color w:val="00000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legal or regulatory developments, whether positive or negative, actual or threatened, including litigation or resolving litigation;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major personnel changes, such as changes in senior management or employee layoffs;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data breaches or other cybersecurity events;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updates regarding any prior material disclosure that has materially changed;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existence of a special blackout period.</w:t>
      </w:r>
    </w:p>
    <w:p>
      <w:pPr>
        <w:pStyle w:val="TextBody"/>
        <w:bidi w:val="0"/>
        <w:spacing w:before="0" w:after="120"/>
        <w:jc w:val="both"/>
        <w:rPr/>
      </w:pPr>
      <w:r>
        <w:rPr>
          <w:color w:val="000000"/>
        </w:rPr>
        <w:t>“</w:t>
      </w:r>
      <w:r>
        <w:rPr>
          <w:rFonts w:ascii="Times New Roman" w:hAnsi="Times New Roman"/>
          <w:b/>
          <w:color w:val="000000"/>
          <w:sz w:val="22"/>
        </w:rPr>
        <w:t>Material nonpublic information</w:t>
      </w:r>
      <w:r>
        <w:rPr>
          <w:rFonts w:ascii="Times New Roman" w:hAnsi="Times New Roman"/>
          <w:color w:val="000000"/>
          <w:sz w:val="20"/>
        </w:rPr>
        <w:t xml:space="preserve">” </w:t>
      </w:r>
      <w:r>
        <w:rPr>
          <w:rFonts w:ascii="Times New Roman" w:hAnsi="Times New Roman"/>
          <w:color w:val="000000"/>
          <w:sz w:val="22"/>
        </w:rPr>
        <w:t>means material information that is not generally known or made available to the public. Even if information is widely known throughout the Company, it may still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nonpublic. Generally, in order for information to be considered public, it must be made generally available through media outlets or SEC filings.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pStyle w:val="TextBody"/>
        <w:bidi w:val="0"/>
        <w:spacing w:before="0" w:after="120"/>
        <w:jc w:val="both"/>
        <w:rPr>
          <w:rFonts w:ascii="Times New Roman" w:hAnsi="Times New Roman"/>
          <w:sz w:val="20"/>
        </w:rPr>
      </w:pPr>
      <w:r>
        <w:rPr>
          <w:rFonts w:ascii="Times New Roman" w:hAnsi="Times New Roman"/>
          <w:color w:val="000000"/>
          <w:sz w:val="22"/>
        </w:rPr>
        <w:t>As a rule of thumb, if you think something might be material nonpublic information, it probably is. You can always reach out to the Compliance Officer</w:t>
      </w:r>
      <w:r>
        <w:rPr>
          <w:rFonts w:ascii="Times New Roman" w:hAnsi="Times New Roman"/>
          <w:color w:val="000000"/>
          <w:sz w:val="20"/>
        </w:rPr>
        <w:t xml:space="preserve"> </w:t>
      </w:r>
      <w:r>
        <w:rPr>
          <w:rFonts w:ascii="Times New Roman" w:hAnsi="Times New Roman"/>
          <w:color w:val="000000"/>
          <w:sz w:val="22"/>
        </w:rPr>
        <w:t>if you have questions.</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PERSONS COVERED BY THIS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You are responsible for making sure that these other individuals and entities comply with this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4.</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Trading Covered by this Policy</w:t>
      </w:r>
    </w:p>
    <w:p>
      <w:pPr>
        <w:pStyle w:val="TextBody"/>
        <w:bidi w:val="0"/>
        <w:spacing w:before="0" w:after="120"/>
        <w:jc w:val="both"/>
        <w:rPr>
          <w:rFonts w:ascii="Times New Roman" w:hAnsi="Times New Roman"/>
          <w:sz w:val="20"/>
        </w:rPr>
      </w:pPr>
      <w:r>
        <w:rPr>
          <w:rFonts w:ascii="Times New Roman" w:hAnsi="Times New Roman"/>
          <w:color w:val="000000"/>
          <w:sz w:val="22"/>
        </w:rPr>
        <w:t>Except as discussed in Section H (</w:t>
      </w:r>
      <w:r>
        <w:rPr>
          <w:rFonts w:ascii="Times New Roman" w:hAnsi="Times New Roman"/>
          <w:i/>
          <w:color w:val="000000"/>
          <w:sz w:val="22"/>
        </w:rPr>
        <w:t>Exceptions to Trading Restrictions</w:t>
      </w:r>
      <w:r>
        <w:rPr>
          <w:rFonts w:ascii="Times New Roman" w:hAnsi="Times New Roman"/>
          <w:color w:val="000000"/>
          <w:sz w:val="22"/>
        </w:rPr>
        <w:t>), this Policy applies to all transactions involving the Company’s securities or other companies’ securities for which you possess material nonpublic information obtained in connection with your service with the Company. This Policy therefore applies to:</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disposition in the form of a gift of any securities of the Company;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distribution to holders of interests in an entity if the entity is subject to this Policy;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other arrangement that generates gains or losses from or based on changes in the prices of such securities including derivative securities (for example, exchange</w:t>
        <w:noBreakHyphen/>
        <w:t>traded put or call options, swaps, caps and collars), hedging and pledging transactions, short sales and certain arrangements regarding participation in benefit plans; and any offer to engage in the foregoing transactions.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There are no exceptions from insider trading laws or this Policy based on the size of the transaction or the type of consideration received.</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5.</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Trading Restrictions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Subject to the exceptions set forth below, this Policy restricts trading during certain periods and by certain people as follows: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pPr>
      <w:r>
        <w:rPr>
          <w:rFonts w:ascii="Times New Roman" w:hAnsi="Times New Roman"/>
          <w:color w:val="000000"/>
          <w:sz w:val="22"/>
          <w:u w:val="single"/>
        </w:rPr>
        <w:t>Quarterly Blackout Periods</w:t>
      </w:r>
      <w:r>
        <w:rPr>
          <w:rFonts w:ascii="Times New Roman" w:hAnsi="Times New Roman"/>
          <w:color w:val="000000"/>
          <w:sz w:val="22"/>
        </w:rPr>
        <w:t>. Except as discussed in Section H (</w:t>
      </w:r>
      <w:r>
        <w:rPr>
          <w:rFonts w:ascii="Times New Roman" w:hAnsi="Times New Roman"/>
          <w:i/>
          <w:color w:val="000000"/>
          <w:sz w:val="22"/>
        </w:rPr>
        <w:t>Exceptions to Trading Restrictions</w:t>
      </w:r>
      <w:r>
        <w:rPr>
          <w:rFonts w:ascii="Times New Roman" w:hAnsi="Times New Roman"/>
          <w:color w:val="000000"/>
          <w:sz w:val="22"/>
        </w:rPr>
        <w:t xml:space="preserve">), all directors, officers and those employees identified by the Company must refrain from conducting transactions involving the Company’s securities during quarterly blackout periods. Individuals subject to quarterly blackout periods will be informed by the Compliance Officer that they are listed on the covered persons list maintained by the Compliance Officer (the “Covered Persons List”). To the extent applicable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Quarterly blackout periods will start at the end of the last day of each fiscal quarter and will end at the start of the third full trading day following the Company’s earnings release.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From time to time, the Company may identify other persons who should be subject to quarterly blackout periods, and the Compliance Officer may update and revise the Covered Person’s List as appropriate.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pPr>
      <w:r>
        <w:rPr>
          <w:rFonts w:ascii="Times New Roman" w:hAnsi="Times New Roman"/>
          <w:color w:val="000000"/>
          <w:sz w:val="22"/>
          <w:u w:val="single"/>
        </w:rPr>
        <w:t>Special Blackout Periods</w:t>
      </w:r>
      <w:r>
        <w:rPr>
          <w:rFonts w:ascii="Times New Roman" w:hAnsi="Times New Roman"/>
          <w:color w:val="000000"/>
          <w:sz w:val="22"/>
        </w:rPr>
        <w:t>. The Company always retains the right to impose additional or longer trading blackout periods at any time on any or all of its directors, officers, employees, consultants, contractors and advisors. The Compliance Officer</w:t>
      </w:r>
      <w:r>
        <w:rPr>
          <w:color w:val="000000"/>
        </w:rPr>
        <w:t xml:space="preserve"> </w:t>
      </w:r>
      <w:r>
        <w:rPr>
          <w:rFonts w:ascii="Times New Roman" w:hAnsi="Times New Roman"/>
          <w:color w:val="000000"/>
          <w:sz w:val="22"/>
        </w:rPr>
        <w:t>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pPr>
      <w:r>
        <w:rPr>
          <w:rFonts w:ascii="Times New Roman" w:hAnsi="Times New Roman"/>
          <w:color w:val="000000"/>
          <w:sz w:val="22"/>
          <w:u w:val="single"/>
        </w:rPr>
        <w:t>Regulation BTR Blackouts</w:t>
      </w:r>
      <w:r>
        <w:rPr>
          <w:rFonts w:ascii="Times New Roman" w:hAnsi="Times New Roman"/>
          <w:color w:val="000000"/>
          <w:sz w:val="22"/>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Company’s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6.</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PROHIBITED TRANSACTIONS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You may not engage in any of the following types of transactions other than as noted below, regardless of whether you have material nonpublic information or not.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pPr>
      <w:r>
        <w:rPr>
          <w:rFonts w:ascii="Times New Roman" w:hAnsi="Times New Roman"/>
          <w:color w:val="000000"/>
          <w:sz w:val="22"/>
          <w:u w:val="single"/>
        </w:rPr>
        <w:t>Short Sales</w:t>
      </w:r>
      <w:r>
        <w:rPr>
          <w:rFonts w:ascii="Times New Roman" w:hAnsi="Times New Roman"/>
          <w:color w:val="000000"/>
          <w:sz w:val="22"/>
        </w:rPr>
        <w:t>. You may not engage in short sales (meaning the sale of a security that must be borrowed to make delivery) or “sell short against the box” (meaning the sale of a security with a delayed delivery) if such sales involve the Company’s securities.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pPr>
      <w:r>
        <w:rPr>
          <w:rFonts w:ascii="Times New Roman" w:hAnsi="Times New Roman"/>
          <w:color w:val="000000"/>
          <w:sz w:val="22"/>
          <w:u w:val="single"/>
        </w:rPr>
        <w:t>Derivative Securities and Hedging Transactions</w:t>
      </w:r>
      <w:r>
        <w:rPr>
          <w:rFonts w:ascii="Times New Roman" w:hAnsi="Times New Roman"/>
          <w:color w:val="000000"/>
          <w:sz w:val="22"/>
        </w:rPr>
        <w:t xml:space="preserve">. You may not, directly or indirectly, (a) trade in publicly-traded options, such as puts and calls, and other derivative securities with respect to the Company’s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 designed to hedge or offset, any decrease in the market value of Company equity securities either (i) granted to you by the Company as part of your compensation or (ii) held, directly or indirectly, by you.</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pPr>
      <w:r>
        <w:rPr>
          <w:rFonts w:ascii="Times New Roman" w:hAnsi="Times New Roman"/>
          <w:color w:val="000000"/>
          <w:sz w:val="22"/>
          <w:u w:val="single"/>
        </w:rPr>
        <w:t>Pledging Transactions</w:t>
      </w:r>
      <w:r>
        <w:rPr>
          <w:rFonts w:ascii="Times New Roman" w:hAnsi="Times New Roman"/>
          <w:color w:val="000000"/>
          <w:sz w:val="22"/>
        </w:rPr>
        <w:t>. You may not pledge the Company’s securities as collateral for any loan or as part of any other pledging transaction.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pPr>
      <w:r>
        <w:rPr>
          <w:rFonts w:ascii="Times New Roman" w:hAnsi="Times New Roman"/>
          <w:color w:val="000000"/>
          <w:sz w:val="22"/>
          <w:u w:val="single"/>
        </w:rPr>
        <w:t>Margin Accounts</w:t>
      </w:r>
      <w:r>
        <w:rPr>
          <w:rFonts w:ascii="Times New Roman" w:hAnsi="Times New Roman"/>
          <w:color w:val="000000"/>
          <w:sz w:val="22"/>
        </w:rPr>
        <w:t xml:space="preserve">. You may not hold the Company’s common stock in margin accounts. </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7.</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Pre-clearance of Trades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Company’s directors and officers and any other persons identified on the Covered Persons List of this Policy as being subject to pre-clearance requirements must obtain pre-clearance prior to trading the Company’s securities. If you are subject to pre-clearance requirements, you should submit a pre-clearance request to the Compliance Officer at least two business days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the Compliance Officer is the requester, then the Company’s President and Chief Executive Officer, or their delegate, must pre-clear or deny any trade. All trades must be executed within two business days of any pre-clearance.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Even after preclearance, a person may not trade the Company’s securities if they become subject to a blackout period or aware of material nonpublic information prior to the trade being executed.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From time to time, the Company may identify other persons who should be subject to the pre-clearance requirements set forth above, and the Compliance Officer may update and revise the Covered Persons List as appropriate.</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8.</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Exceptions to Trading Restrictions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before="0" w:after="120"/>
        <w:jc w:val="both"/>
        <w:rPr>
          <w:rFonts w:ascii="Times New Roman" w:hAnsi="Times New Roman"/>
          <w:sz w:val="20"/>
        </w:rPr>
      </w:pPr>
      <w:r>
        <w:rPr>
          <w:rFonts w:ascii="Times New Roman" w:hAnsi="Times New Roman"/>
          <w:color w:val="000000"/>
          <w:sz w:val="22"/>
        </w:rPr>
        <w:t>Other than the limited exceptions set forth below, any other exceptions to this Policy must be approved by the Compliance Officer, in consultation with the Company’s board of directors or an independent committee of the board of directors.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following are certain limited exceptions to the quarterly and special blackout period restrictions and pre-clearance requirements imposed by the Company under this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stock option exercises where the purchase price of such stock options is paid in cash and there is no other associated market activity;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receipt and vesting of stock options, restricted stock units, restricted stock or other equity compensation awards from the Company;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purchases pursuant to the employee stock purchase plan; however, this exception does not apply to subsequent sales of the shares;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pPr>
      <w:r>
        <w:rPr>
          <w:rFonts w:ascii="Times New Roman" w:hAnsi="Times New Roman"/>
          <w:color w:val="000000"/>
          <w:sz w:val="22"/>
        </w:rPr>
        <w:t>net share withholding with respect to equity awards where shares are withheld by the Company in order to satisfy tax withholding requirements, (</w:t>
      </w:r>
      <w:r>
        <w:rPr>
          <w:rFonts w:ascii="Times New Roman" w:hAnsi="Times New Roman"/>
          <w:i/>
          <w:color w:val="000000"/>
          <w:sz w:val="22"/>
        </w:rPr>
        <w:t>x</w:t>
      </w:r>
      <w:r>
        <w:rPr>
          <w:rFonts w:ascii="Times New Roman" w:hAnsi="Times New Roman"/>
          <w:color w:val="000000"/>
          <w:sz w:val="22"/>
        </w:rPr>
        <w:t xml:space="preserve">) as required by either the Company’s board of directors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rFonts w:ascii="Times New Roman" w:hAnsi="Times New Roman"/>
          <w:color w:val="000000"/>
          <w:sz w:val="22"/>
        </w:rPr>
        <w:t>(or a committee thereof) or award agreement governing such equity award or (</w:t>
      </w:r>
      <w:r>
        <w:rPr>
          <w:rFonts w:ascii="Times New Roman" w:hAnsi="Times New Roman"/>
          <w:i/>
          <w:color w:val="000000"/>
          <w:sz w:val="22"/>
        </w:rPr>
        <w:t>y</w:t>
      </w:r>
      <w:r>
        <w:rPr>
          <w:rFonts w:ascii="Times New Roman" w:hAnsi="Times New Roman"/>
          <w:color w:val="000000"/>
          <w:sz w:val="22"/>
        </w:rPr>
        <w:t>) as you elect, if permitted by the Company, so long as the election is irrevocable and made in writing at a time when a trading blackout is not in place and you are not in possession of material nonpublic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pPr>
      <w:r>
        <w:rPr>
          <w:rFonts w:ascii="Times New Roman" w:hAnsi="Times New Roman"/>
          <w:color w:val="000000"/>
          <w:sz w:val="22"/>
        </w:rPr>
        <w:t>sell to cover transactions, where shares are sold on your behalf upon vesting of equity awards and sold in order to satisfy tax withholding requirements, (</w:t>
      </w:r>
      <w:r>
        <w:rPr>
          <w:rFonts w:ascii="Times New Roman" w:hAnsi="Times New Roman"/>
          <w:i/>
          <w:color w:val="000000"/>
          <w:sz w:val="22"/>
        </w:rPr>
        <w:t>x</w:t>
      </w:r>
      <w:r>
        <w:rPr>
          <w:rFonts w:ascii="Times New Roman" w:hAnsi="Times New Roman"/>
          <w:color w:val="000000"/>
          <w:sz w:val="22"/>
        </w:rPr>
        <w:t>) as required by either the Company’s board of directors (or a committee thereof) or the award agreement governing such equity award or (</w:t>
      </w:r>
      <w:r>
        <w:rPr>
          <w:rFonts w:ascii="Times New Roman" w:hAnsi="Times New Roman"/>
          <w:i/>
          <w:color w:val="000000"/>
          <w:sz w:val="22"/>
        </w:rPr>
        <w:t>y</w:t>
      </w:r>
      <w:r>
        <w:rPr>
          <w:rFonts w:ascii="Times New Roman" w:hAnsi="Times New Roman"/>
          <w:color w:val="000000"/>
          <w:sz w:val="22"/>
        </w:rPr>
        <w:t>) as you elect, if permitted by the Company,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120"/>
        <w:jc w:val="both"/>
        <w:rPr/>
      </w:pPr>
      <w:r>
        <w:rPr>
          <w:rFonts w:ascii="Times New Roman" w:hAnsi="Times New Roman"/>
          <w:color w:val="000000"/>
          <w:sz w:val="22"/>
        </w:rPr>
        <w:t>transactions made pursuant to a valid 10b5</w:t>
        <w:noBreakHyphen/>
        <w:t>1 trading plan approved by the Company (see Section I (</w:t>
      </w:r>
      <w:r>
        <w:rPr>
          <w:rFonts w:ascii="Times New Roman" w:hAnsi="Times New Roman"/>
          <w:i/>
          <w:color w:val="000000"/>
          <w:sz w:val="22"/>
        </w:rPr>
        <w:t>10b5-1 Trading Plans</w:t>
      </w:r>
      <w:r>
        <w:rPr>
          <w:rFonts w:ascii="Times New Roman" w:hAnsi="Times New Roman"/>
          <w:color w:val="000000"/>
          <w:sz w:val="22"/>
        </w:rPr>
        <w:t>)</w:t>
      </w:r>
      <w:r>
        <w:rPr>
          <w:color w:val="000000"/>
        </w:rPr>
        <w:t xml:space="preserve"> </w:t>
      </w:r>
      <w:r>
        <w:rPr>
          <w:rFonts w:ascii="Times New Roman" w:hAnsi="Times New Roman"/>
          <w:color w:val="000000"/>
          <w:sz w:val="22"/>
        </w:rPr>
        <w:t>below);</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120"/>
        <w:jc w:val="both"/>
        <w:rPr/>
      </w:pPr>
      <w:r>
        <w:rPr>
          <w:rFonts w:ascii="Times New Roman" w:hAnsi="Times New Roman"/>
          <w:color w:val="000000"/>
          <w:sz w:val="22"/>
        </w:rPr>
        <w:t xml:space="preserve">purchases of the Company’s stock in the 401(k) plan resulting from periodic contributions to the plan based on your payroll contribution election;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that the blackout period restrictions and pre-clearance requirements do apply to elections you make under the 401(k) plan to (a) increase or decrease the amount of your contributions under the 401(k) plan if such increase or decrease will increase or decrease the amount of your contributions that will be allocated to a Company stock fund, (b) increase or decrease the percentage of your contributions that will be allocated to a Company stock fund, (c) move balances into or out of a Company stock fund, (d) borrow money against your 401(k) plan account if the loan will result in liquidation of some or all of your Company stock fund balance, and (e) prepay a plan loan if the pre-payment will result in the allocation of loan proceeds to a Company stock fund;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changes in the number of the Company’s securities you hold due to a stock split or a stock dividend that applies equally to all securities of a class, or similar transactions.</w:t>
      </w:r>
    </w:p>
    <w:p>
      <w:pPr>
        <w:pStyle w:val="TextBody"/>
        <w:bidi w:val="0"/>
        <w:spacing w:before="0" w:after="120"/>
        <w:jc w:val="both"/>
        <w:rPr>
          <w:rFonts w:ascii="Times New Roman" w:hAnsi="Times New Roman"/>
          <w:sz w:val="20"/>
        </w:rPr>
      </w:pPr>
      <w:r>
        <w:rPr>
          <w:rFonts w:ascii="Times New Roman" w:hAnsi="Times New Roman"/>
          <w:color w:val="000000"/>
          <w:sz w:val="22"/>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r>
        <w:rPr>
          <w:rFonts w:ascii="Times New Roman" w:hAnsi="Times New Roman"/>
          <w:color w:val="000000"/>
          <w:sz w:val="20"/>
        </w:rPr>
        <w:t xml:space="preserve"> </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9.</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10b5-1 Trading Plans</w:t>
      </w:r>
    </w:p>
    <w:p>
      <w:pPr>
        <w:pStyle w:val="TextBody"/>
        <w:bidi w:val="0"/>
        <w:spacing w:before="0" w:after="120"/>
        <w:jc w:val="both"/>
        <w:rPr>
          <w:rFonts w:ascii="Times New Roman" w:hAnsi="Times New Roman"/>
          <w:sz w:val="20"/>
        </w:rPr>
      </w:pPr>
      <w:r>
        <w:rPr>
          <w:rFonts w:ascii="Times New Roman" w:hAnsi="Times New Roman"/>
          <w:color w:val="000000"/>
          <w:sz w:val="22"/>
        </w:rPr>
        <w:t>The Company permits its directors, officers and employees to adopt written 10b5</w:t>
        <w:noBreakHyphen/>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noBreakHyphen/>
        <w:t>1 trading plan adopted by a director, officer or employee must be submitted to the Compliance Officer for approval and comply with the requirements set forth in the Requirements for Trading Plans attached as Exhibit A. If the Compliance Officer is the requester, then the Company’s Chief Executive Officer, or their delegate, must approve the written 10b5-1 trading plan.</w:t>
      </w:r>
      <w:r>
        <w:rPr>
          <w:rFonts w:ascii="Times New Roman" w:hAnsi="Times New Roman"/>
          <w:color w:val="000000"/>
          <w:sz w:val="20"/>
        </w:rPr>
        <w:t xml:space="preserve"> </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10.</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Section 16 Compliance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hAnsi="Times New Roman"/>
          <w:i/>
          <w:color w:val="000000"/>
          <w:sz w:val="22"/>
        </w:rPr>
        <w:t>etc.</w:t>
      </w:r>
      <w:r>
        <w:rPr>
          <w:rFonts w:ascii="Times New Roman" w:hAnsi="Times New Roman"/>
          <w:color w:val="000000"/>
          <w:sz w:val="22"/>
        </w:rPr>
        <w:t>) about his or her transactions involving the Company’s securities.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Company is available to assist in filing Section 16 reports, but the obligation to comply with Section 16 is personal. If you have any questions, you should check with the Compliance Officer.</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11.</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VIOLATIONS OF THIS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In such instances, the Company cannot extend the term of your options and has no obligation or liability to replace the economic value or lost benefit to you. It is your responsibility to manage your economic interests and to consider potential trading restrictions when determining whether to exercise your options.</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12.</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PROTECTED ACTIVITY NOT PROHIBITED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13.</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Reporting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14.</w:t>
      </w:r>
    </w:p>
    <w:p>
      <w:pPr>
        <w:pStyle w:val="TextBody"/>
        <w:bidi w:val="0"/>
        <w:spacing w:before="0" w:after="120"/>
        <w:jc w:val="both"/>
        <w:rPr>
          <w:rFonts w:ascii="Times New Roman" w:hAnsi="Times New Roman"/>
          <w:b/>
          <w:caps/>
          <w:color w:val="000000"/>
          <w:sz w:val="22"/>
        </w:rPr>
      </w:pPr>
      <w:r>
        <w:rPr>
          <w:rFonts w:ascii="Times New Roman" w:hAnsi="Times New Roman"/>
          <w:b/>
          <w:caps/>
          <w:color w:val="000000"/>
          <w:sz w:val="22"/>
        </w:rPr>
        <w:t>AmendmentS</w:t>
      </w:r>
    </w:p>
    <w:p>
      <w:pPr>
        <w:pStyle w:val="TextBody"/>
        <w:bidi w:val="0"/>
        <w:spacing w:before="0" w:after="120"/>
        <w:jc w:val="both"/>
        <w:rPr>
          <w:rFonts w:ascii="Times New Roman" w:hAnsi="Times New Roman"/>
          <w:sz w:val="20"/>
        </w:rPr>
      </w:pPr>
      <w:r>
        <w:rPr>
          <w:rFonts w:ascii="Times New Roman" w:hAnsi="Times New Roman"/>
          <w:color w:val="000000"/>
          <w:sz w:val="22"/>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REQUIREMENTS FOR TRADING PLANS</w:t>
      </w:r>
    </w:p>
    <w:p>
      <w:pPr>
        <w:pStyle w:val="TextBody"/>
        <w:bidi w:val="0"/>
        <w:spacing w:before="0" w:after="120"/>
        <w:jc w:val="both"/>
        <w:rPr>
          <w:rFonts w:ascii="Times New Roman" w:hAnsi="Times New Roman"/>
          <w:sz w:val="20"/>
        </w:rPr>
      </w:pPr>
      <w:r>
        <w:rPr>
          <w:rFonts w:ascii="Times New Roman" w:hAnsi="Times New Roman"/>
          <w:color w:val="000000"/>
          <w:sz w:val="22"/>
        </w:rPr>
        <w:t>For transactions under a trading plan to be exempt from (A) the prohibitions in the Company’s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of LeonaBio, Inc. (together with any subsidiaries, collectively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with respect to transactions made while aware of material nonpublic information and (B) the pre-clearance procedures and blackout periods established under the Policy, the trading plan must comply with the affirmative defense set forth in Exchange Act Rule 10b5</w:t>
        <w:noBreakHyphen/>
        <w:t>1 and must meet the following requirements (collectively, the “</w:t>
      </w:r>
      <w:r>
        <w:rPr>
          <w:rFonts w:ascii="Times New Roman" w:hAnsi="Times New Roman"/>
          <w:b/>
          <w:color w:val="000000"/>
          <w:sz w:val="22"/>
        </w:rPr>
        <w:t>Trading Plan Requirements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trading plan must be in writing and signed by the person adopting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trading plan must be adopted at a time when: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person adopting the trading plan is not aware of any material nonpublic information;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there is no quarterly, special or other trading blackout in effect with respect to the person adopting the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trading plan must be entered in good faith and not as part of a plan or scheme to evade the prohibitions of Rule 10b5</w:t>
        <w:noBreakHyphen/>
        <w:t>1, and the person adopting the trading plan must act in good faith with respect to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trading plan must include representations, that on the date of adoption of the trading plan, the person adopting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is not aware of material nonpublic information about the securities or the Company;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is adopting the trading plan in good faith and not as part of a plan or scheme to evade prohibitions of Rule 10b5-1.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trading plan must have a minimum term of one year (starting from the date of adoption of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120"/>
        <w:jc w:val="both"/>
        <w:rPr/>
      </w:pPr>
      <w:r>
        <w:rPr>
          <w:rFonts w:ascii="Times New Roman" w:hAnsi="Times New Roman"/>
          <w:color w:val="000000"/>
          <w:sz w:val="22"/>
        </w:rPr>
        <w:t xml:space="preserve">No transactions may occur during the term of the trading plan (except for the “Exceptions to Trading Restrictions” identified in the Policy and </w:t>
      </w:r>
      <w:r>
        <w:rPr>
          <w:rFonts w:ascii="Times New Roman" w:hAnsi="Times New Roman"/>
          <w:i/>
          <w:color w:val="000000"/>
          <w:sz w:val="22"/>
        </w:rPr>
        <w:t xml:space="preserve">bona fide </w:t>
      </w:r>
      <w:r>
        <w:rPr>
          <w:rFonts w:ascii="Times New Roman" w:hAnsi="Times New Roman"/>
          <w:color w:val="000000"/>
          <w:sz w:val="22"/>
        </w:rPr>
        <w:t>gifts) except for those transactions specified in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Compliance Officer prior to the early termination of an existing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120"/>
        <w:jc w:val="both"/>
        <w:rPr/>
      </w:pPr>
      <w:r>
        <w:rPr>
          <w:rFonts w:ascii="Times New Roman" w:hAnsi="Times New Roman"/>
          <w:color w:val="000000"/>
          <w:sz w:val="22"/>
        </w:rPr>
        <w:t>Any modifications or change to the amount, price or timing of transactions under the trading plan is deemed the termination of the trading plan, and the adoption of a new trading plan (“</w:t>
      </w:r>
      <w:r>
        <w:rPr>
          <w:rFonts w:ascii="Times New Roman" w:hAnsi="Times New Roman"/>
          <w:b/>
          <w:color w:val="000000"/>
          <w:sz w:val="22"/>
        </w:rPr>
        <w:t>Modification</w:t>
      </w:r>
      <w:r>
        <w:rPr>
          <w:color w:val="000000"/>
        </w:rPr>
        <w:t>”</w:t>
      </w:r>
      <w:r>
        <w:rPr>
          <w:rFonts w:ascii="Times New Roman" w:hAnsi="Times New Roman"/>
          <w:color w:val="000000"/>
          <w:sz w:val="22"/>
        </w:rPr>
        <w:t xml:space="preserve">). Therefore, a Modification must be submitted to the Compliance Officer for </w:t>
      </w:r>
    </w:p>
    <w:p>
      <w:pPr>
        <w:pStyle w:val="TextBody"/>
        <w:bidi w:val="0"/>
        <w:jc w:val="center"/>
        <w:rPr>
          <w:rFonts w:ascii="Times New Roman" w:hAnsi="Times New Roman"/>
          <w:color w:val="000000"/>
          <w:sz w:val="22"/>
        </w:rPr>
      </w:pPr>
      <w:r>
        <w:rPr>
          <w:rFonts w:ascii="Times New Roman" w:hAnsi="Times New Roman"/>
          <w:color w:val="000000"/>
          <w:sz w:val="22"/>
        </w:rPr>
        <w:t>Exhibit A</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120"/>
        <w:jc w:val="both"/>
        <w:rPr/>
      </w:pPr>
      <w:r>
        <w:rPr>
          <w:rFonts w:ascii="Times New Roman" w:hAnsi="Times New Roman"/>
          <w:color w:val="000000"/>
          <w:sz w:val="22"/>
        </w:rPr>
        <w:t>approval in accordance with Section I of the Policy and is subject to the same conditions as a new trading plan as set forth in Sections 1 through 8 herein.</w:t>
      </w:r>
      <w:r>
        <w:rPr>
          <w:color w:val="000000"/>
        </w:rPr>
        <w:t xml:space="preser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Within the one year preceding the adoption or Modification of a trading plan, a person may not have otherwise adopted or made a Modification to a plan more than once.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 person may adopt a trading plan designed to cover a single trade only once in any consecutive 12-month period except as permitted by Rule 10b5-1</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the person that adopted the trading plan terminates the plan prior to its stated duration, he or she may not trade in the Company’s securities until after the expiration of 30 calendar days following termination, and then only in accordance with the Policy.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Company must be promptly notified of any termination of the trading plan, including any suspension of trading under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If the trading plan grants discretion to a stockbroker or other person with respect to the execution of trades under the trading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person adopting the trading plan may not exercise any subsequent influence over how, when or whether to effect purchases or sales under the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person adopting the trading plan may not confer with the person administering the trading plan regarding the Company or its securities;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person administering the trading plan must provide prompt notice to the Company of the execution of a transaction pursuant to the plan.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All transactions under the trading plan must be in accordance with applicable law.</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Any exceptions to the Trading Plan Requirements must be approved by the Compliance Officer or, in the case of directors and officers who are subject Section 16 of the Securities Exchange Act of 1934, by the Compliance Officer in consultation with the Company’s board of directors or an independent committee of the board of directors.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trading plan (including any Modification) must meet such other requirements as the Compliance Officer may determine. </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Exhibit A</w:t>
      </w:r>
    </w:p>
    <w:p>
      <w:pPr>
        <w:pStyle w:val="HorizontalLine"/>
        <w:pBdr>
          <w:bottom w:val="double" w:sz="2" w:space="0" w:color="808080"/>
        </w:pBdr>
        <w:bidi w:val="0"/>
        <w:spacing w:before="0" w:after="283"/>
        <w:jc w:val="left"/>
        <w:rPr/>
      </w:pPr>
      <w:r>
        <w:rPr/>
      </w:r>
    </w:p>
    <w:p>
      <w:pPr>
        <w:pStyle w:val="TextBody"/>
        <w:bidi w:val="0"/>
        <w:jc w:val="left"/>
        <w:rPr/>
      </w:pPr>
      <w:bookmarkStart w:id="67" w:name="lona-ex23_1.htm"/>
      <w:bookmarkStart w:id="68" w:name="kslonaex23_1"/>
      <w:bookmarkEnd w:id="67"/>
      <w:bookmarkEnd w:id="68"/>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right"/>
        <w:rPr/>
      </w:pPr>
      <w:r>
        <w:rPr/>
        <w:t> </w:t>
      </w:r>
    </w:p>
    <w:p>
      <w:pPr>
        <w:pStyle w:val="TextBody"/>
        <w:bidi w:val="0"/>
        <w:jc w:val="left"/>
        <w:rPr/>
      </w:pPr>
      <w:r>
        <w:rPr/>
        <w:t> </w:t>
      </w:r>
    </w:p>
    <w:p>
      <w:pPr>
        <w:pStyle w:val="TextBody"/>
        <w:bidi w:val="0"/>
        <w:spacing w:before="0" w:after="16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Arial" w:hAnsi="Arial"/>
          <w:color w:val="000000"/>
          <w:sz w:val="20"/>
        </w:rPr>
      </w:pPr>
      <w:r>
        <w:rPr>
          <w:rFonts w:ascii="Arial" w:hAnsi="Arial"/>
          <w:color w:val="000000"/>
          <w:sz w:val="20"/>
        </w:rPr>
        <w:t>We consent to the incorporation by reference in the following Registration Statements: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80" w:after="283"/>
        <w:jc w:val="both"/>
        <w:rPr>
          <w:rFonts w:ascii="Arial" w:hAnsi="Arial"/>
          <w:color w:val="000000"/>
          <w:sz w:val="20"/>
        </w:rPr>
      </w:pPr>
      <w:r>
        <w:rPr>
          <w:rFonts w:ascii="Arial" w:hAnsi="Arial"/>
          <w:color w:val="000000"/>
          <w:sz w:val="20"/>
        </w:rPr>
        <w:t xml:space="preserve">Registration Statement (Form S-8 No. 333-285345) pertaining to the 2020 Equity Incentive Plan and 2020 Employee Stock Purchase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 xml:space="preserve">Registration Statement (Form S-8 No. 333-277276) pertaining to the 2020 Equity Incentive Plan, the 2020 Employee Stock Purchase Plan, and the 2024 Inducement Equity Incentive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 xml:space="preserve">Registration Statement (Form S-8 No. 333-270792) pertaining to the 2020 Equity Incentive Plan and the 2020 Employee Stock Purchase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Registration Statement (Form S-8 No. 333-263907) pertaining to the 2020 Equity Incentive Plan and the 2020 Employee Stock Purchase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Arial" w:hAnsi="Arial"/>
          <w:color w:val="000000"/>
          <w:sz w:val="20"/>
        </w:rPr>
      </w:pPr>
      <w:r>
        <w:rPr>
          <w:rFonts w:ascii="Arial" w:hAnsi="Arial"/>
          <w:color w:val="000000"/>
          <w:sz w:val="20"/>
        </w:rPr>
        <w:t xml:space="preserve">Registration Statement (Form S-8 No. 333-254735) pertaining to the 2020 Equity Incentive Plan and the 2020 Employee Stock Purchase Plan;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both"/>
        <w:rPr>
          <w:rFonts w:ascii="Arial" w:hAnsi="Arial"/>
          <w:color w:val="000000"/>
          <w:sz w:val="20"/>
        </w:rPr>
      </w:pPr>
      <w:r>
        <w:rPr>
          <w:rFonts w:ascii="Arial" w:hAnsi="Arial"/>
          <w:color w:val="000000"/>
          <w:sz w:val="20"/>
        </w:rPr>
        <w:t>Registration Statement (Form S-8 No. 333-248910) pertaining to the 2020 Equity Incentive Plan, the 2020 Employee Stock Purchase Plan, and the 2014 Equity Incentive Plan, as amended, of LeonaBio, Inc.</w:t>
      </w:r>
    </w:p>
    <w:p>
      <w:pPr>
        <w:pStyle w:val="TextBody"/>
        <w:bidi w:val="0"/>
        <w:spacing w:before="0" w:after="160"/>
        <w:jc w:val="both"/>
        <w:rPr>
          <w:rFonts w:ascii="Arial" w:hAnsi="Arial"/>
          <w:color w:val="000000"/>
          <w:sz w:val="20"/>
        </w:rPr>
      </w:pPr>
      <w:r>
        <w:rPr>
          <w:rFonts w:ascii="Arial" w:hAnsi="Arial"/>
          <w:color w:val="000000"/>
          <w:sz w:val="20"/>
        </w:rPr>
        <w:t>of our report dated March 31, 2026, with respect to the consolidated financial statements of LeonaBio, Inc., included in this Annual Report (Form 10-K) of LeonaBio, Inc. for the year ended December 31, 2025.</w:t>
      </w:r>
    </w:p>
    <w:p>
      <w:pPr>
        <w:pStyle w:val="TextBody"/>
        <w:bidi w:val="0"/>
        <w:spacing w:before="0" w:after="160"/>
        <w:jc w:val="left"/>
        <w:rPr>
          <w:rFonts w:ascii="Times New Roman" w:hAnsi="Times New Roman"/>
          <w:sz w:val="20"/>
        </w:rPr>
      </w:pPr>
      <w:r>
        <w:rPr>
          <w:rFonts w:ascii="Arial" w:hAnsi="Arial"/>
          <w:color w:val="000000"/>
          <w:sz w:val="20"/>
        </w:rPr>
        <w:t>/s/ Ernst &amp; Young LLP</w:t>
      </w:r>
      <w:r>
        <w:rPr>
          <w:rFonts w:ascii="Times New Roman" w:hAnsi="Times New Roman"/>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Seattle, Washington</w:t>
      </w:r>
    </w:p>
    <w:p>
      <w:pPr>
        <w:pStyle w:val="TextBody"/>
        <w:bidi w:val="0"/>
        <w:spacing w:before="0" w:after="160"/>
        <w:jc w:val="left"/>
        <w:rPr>
          <w:rFonts w:ascii="Arial" w:hAnsi="Arial"/>
          <w:color w:val="000000"/>
          <w:sz w:val="20"/>
        </w:rPr>
      </w:pPr>
      <w:r>
        <w:rPr>
          <w:rFonts w:ascii="Arial" w:hAnsi="Arial"/>
          <w:color w:val="000000"/>
          <w:sz w:val="20"/>
        </w:rPr>
        <w:t>March 31, 2026</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9" w:name="lona-ex31_1.htm"/>
      <w:bookmarkStart w:id="70" w:name="kslonaex31_1"/>
      <w:bookmarkEnd w:id="69"/>
      <w:bookmarkEnd w:id="7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right"/>
        <w:rPr/>
      </w:pPr>
      <w:bookmarkStart w:id="71" w:name="section1"/>
      <w:bookmarkEnd w:id="71"/>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CERTIFICATION OF THE PRINCIPAL EXECUTIVE OFFICER PURSUANT TO EXCHANGE ACT RULE 13a-14(a)/15d-14(a) </w:t>
        <w:br/>
        <w:t xml:space="preserve">AS ADOPTED PURSUANT TO SECTION 302 OF THE SARBANES-OXLEY ACT OF 2002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LeonaBio,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March 31, 2026 </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2" w:name="lona-ex31_2.htm"/>
      <w:bookmarkStart w:id="73" w:name="kslonaex31_2"/>
      <w:bookmarkEnd w:id="72"/>
      <w:bookmarkEnd w:id="7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bookmarkStart w:id="74" w:name="section11"/>
      <w:bookmarkEnd w:id="74"/>
      <w:r>
        <w:rPr/>
        <w:t> </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CERTIFICATION OF THE PRINCIPAL FINANCIAL OFFICER PURSUANT TO EXCHANGE ACT RULE 13a-14(a)/15d-14(a) </w:t>
        <w:br/>
        <w:t xml:space="preserve">AS ADOPTED PURSUANT TO SECTION 302 OF THE SARBANES-OXLEY ACT OF 2002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LeonaBio,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31, 2026</w:t>
      </w:r>
    </w:p>
    <w:p>
      <w:pPr>
        <w:pStyle w:val="TextBody"/>
        <w:bidi w:val="0"/>
        <w:jc w:val="left"/>
        <w:rPr/>
      </w:pPr>
      <w:r>
        <w:rPr/>
        <w:t> </w:t>
      </w:r>
    </w:p>
    <w:tbl>
      <w:tblPr>
        <w:tblW w:w="4032" w:type="dxa"/>
        <w:jc w:val="left"/>
        <w:tblInd w:w="0" w:type="dxa"/>
        <w:tblLayout w:type="fixed"/>
        <w:tblCellMar>
          <w:top w:w="28" w:type="dxa"/>
          <w:left w:w="28" w:type="dxa"/>
          <w:bottom w:w="28" w:type="dxa"/>
          <w:right w:w="28" w:type="dxa"/>
        </w:tblCellMar>
      </w:tblPr>
      <w:tblGrid>
        <w:gridCol w:w="384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Renninger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5" w:name="lona-ex32_1.htm"/>
      <w:bookmarkStart w:id="76" w:name="kslonaex32_1"/>
      <w:bookmarkEnd w:id="75"/>
      <w:bookmarkEnd w:id="76"/>
      <w:r>
        <w:rPr>
          <w:rFonts w:ascii="Times New Roman" w:hAnsi="Times New Roman"/>
          <w:b/>
          <w:color w:val="000000"/>
          <w:sz w:val="20"/>
        </w:rPr>
        <w:t>Exhibit 32.1</w:t>
      </w:r>
      <w:r>
        <w:br w:type="page"/>
      </w:r>
    </w:p>
    <w:p>
      <w:pPr>
        <w:pStyle w:val="TextBody"/>
        <w:bidi w:val="0"/>
        <w:jc w:val="right"/>
        <w:rPr/>
      </w:pPr>
      <w:bookmarkStart w:id="77" w:name="section12"/>
      <w:bookmarkEnd w:id="77"/>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360" w:after="283"/>
        <w:jc w:val="left"/>
        <w:rPr>
          <w:rFonts w:ascii="Times New Roman" w:hAnsi="Times New Roman"/>
          <w:sz w:val="20"/>
        </w:rPr>
      </w:pPr>
      <w:r>
        <w:rPr>
          <w:rFonts w:ascii="Times New Roman" w:hAnsi="Times New Roman"/>
          <w:color w:val="000000"/>
          <w:sz w:val="20"/>
        </w:rPr>
        <w:t>In connection with the Annual Report on Form 10-K of LeonaBio, Inc. (the “Company”) for the fiscal year ended December 31, 2025, as filed with the Securities and Exchange Commission on the date hereof (the “Report”), I, Mark Litton, President and Chief Executive Officer (</w:t>
      </w:r>
      <w:r>
        <w:rPr>
          <w:rFonts w:ascii="Times New Roman" w:hAnsi="Times New Roman"/>
          <w:i/>
          <w:color w:val="000000"/>
          <w:sz w:val="20"/>
        </w:rPr>
        <w:t xml:space="preserve">Principal Executive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March 31, 2026</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8" w:name="lona-ex32_2.htm"/>
      <w:bookmarkStart w:id="79" w:name="kslonaex32_2"/>
      <w:bookmarkEnd w:id="78"/>
      <w:bookmarkEnd w:id="79"/>
      <w:r>
        <w:rPr>
          <w:rFonts w:ascii="Times New Roman" w:hAnsi="Times New Roman"/>
          <w:b/>
          <w:color w:val="000000"/>
          <w:sz w:val="20"/>
        </w:rPr>
        <w:t>Exhibit 32.2</w:t>
      </w:r>
      <w:r>
        <w:br w:type="page"/>
      </w:r>
    </w:p>
    <w:p>
      <w:pPr>
        <w:pStyle w:val="TextBody"/>
        <w:bidi w:val="0"/>
        <w:jc w:val="right"/>
        <w:rPr/>
      </w:pPr>
      <w:bookmarkStart w:id="80" w:name="section13"/>
      <w:bookmarkEnd w:id="80"/>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360" w:after="283"/>
        <w:jc w:val="left"/>
        <w:rPr>
          <w:rFonts w:ascii="Times New Roman" w:hAnsi="Times New Roman"/>
          <w:sz w:val="20"/>
        </w:rPr>
      </w:pPr>
      <w:r>
        <w:rPr>
          <w:rFonts w:ascii="Times New Roman" w:hAnsi="Times New Roman"/>
          <w:color w:val="000000"/>
          <w:sz w:val="20"/>
        </w:rPr>
        <w:t>In connection with the Annual Report on Form 10-K of LeonaBio, Inc. (the “Company”) for the fiscal year ended December 31, 2025, as filed with the Securities and Exchange Commission on the date hereof (the “Report”), I, Robert Renninger, Chief Financial Officer (</w:t>
      </w:r>
      <w:r>
        <w:rPr>
          <w:rFonts w:ascii="Times New Roman" w:hAnsi="Times New Roman"/>
          <w:i/>
          <w:color w:val="000000"/>
          <w:sz w:val="20"/>
        </w:rPr>
        <w:t>Principal Financial and Accounting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March 31, 2026 </w:t>
      </w:r>
    </w:p>
    <w:p>
      <w:pPr>
        <w:pStyle w:val="TextBody"/>
        <w:bidi w:val="0"/>
        <w:jc w:val="left"/>
        <w:rPr/>
      </w:pPr>
      <w:r>
        <w:rPr/>
        <w:t> </w:t>
      </w:r>
    </w:p>
    <w:tbl>
      <w:tblPr>
        <w:tblW w:w="3885" w:type="dxa"/>
        <w:jc w:val="left"/>
        <w:tblInd w:w="0" w:type="dxa"/>
        <w:tblLayout w:type="fixed"/>
        <w:tblCellMar>
          <w:top w:w="28" w:type="dxa"/>
          <w:left w:w="28" w:type="dxa"/>
          <w:bottom w:w="28" w:type="dxa"/>
          <w:right w:w="28" w:type="dxa"/>
        </w:tblCellMar>
      </w:tblPr>
      <w:tblGrid>
        <w:gridCol w:w="3553"/>
        <w:gridCol w:w="332"/>
      </w:tblGrid>
      <w:tr>
        <w:trPr/>
        <w:tc>
          <w:tcPr>
            <w:tcW w:w="355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5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Renninger</w:t>
            </w:r>
          </w:p>
        </w:tc>
        <w:tc>
          <w:tcPr>
            <w:tcW w:w="3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Renninger</w:t>
            </w:r>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3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81" w:name="lona-ex97.htm"/>
      <w:bookmarkStart w:id="82" w:name="kslonaex97"/>
      <w:bookmarkEnd w:id="81"/>
      <w:bookmarkEnd w:id="82"/>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97</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 xml:space="preserve">LEONABIO, INC.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COMPENSATION RECOVERY (“CLAWBACK”) POLICY</w:t>
      </w:r>
    </w:p>
    <w:p>
      <w:pPr>
        <w:pStyle w:val="TextBody"/>
        <w:bidi w:val="0"/>
        <w:spacing w:before="240" w:after="283"/>
        <w:jc w:val="center"/>
        <w:rPr>
          <w:rFonts w:ascii="Times New Roman" w:hAnsi="Times New Roman"/>
          <w:sz w:val="20"/>
        </w:rPr>
      </w:pPr>
      <w:r>
        <w:rPr>
          <w:rFonts w:ascii="Times New Roman" w:hAnsi="Times New Roman"/>
          <w:color w:val="000000"/>
          <w:sz w:val="22"/>
        </w:rPr>
        <w:t>(As Amended and Restated on January 9,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LeonaBio,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committed to strong corporate governance. As part of this commitment, the Company’s Board of Directors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has adopted this Amended and Restated Compensation Recovery (“</w:t>
      </w:r>
      <w:r>
        <w:rPr>
          <w:rFonts w:ascii="Times New Roman" w:hAnsi="Times New Roman"/>
          <w:b/>
          <w:color w:val="000000"/>
          <w:sz w:val="22"/>
        </w:rPr>
        <w:t>Clawback</w:t>
      </w:r>
      <w:r>
        <w:rPr>
          <w:rFonts w:ascii="Times New Roman" w:hAnsi="Times New Roman"/>
          <w:color w:val="000000"/>
          <w:sz w:val="20"/>
        </w:rPr>
        <w:t>”</w:t>
      </w:r>
      <w:r>
        <w:rPr>
          <w:rFonts w:ascii="Times New Roman" w:hAnsi="Times New Roman"/>
          <w:color w:val="000000"/>
          <w:sz w:val="22"/>
        </w:rPr>
        <w:t>)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or Retraction of Scientific Results.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jc w:val="left"/>
        <w:rPr>
          <w:rFonts w:ascii="Times New Roman" w:hAnsi="Times New Roman"/>
          <w:sz w:val="20"/>
        </w:rPr>
      </w:pPr>
      <w:r>
        <w:rPr>
          <w:rFonts w:ascii="Times New Roman" w:hAnsi="Times New Roman"/>
          <w:color w:val="000000"/>
          <w:sz w:val="22"/>
        </w:rPr>
        <w:t>The Policy is intended to comply with, and will be interpreted in a manner consistent with, Section 10D of the Securities Exchange Act of 1934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with Exchange Act Rule 10D-1 and with the listing standards of the national securities exchange (the “</w:t>
      </w:r>
      <w:r>
        <w:rPr>
          <w:rFonts w:ascii="Times New Roman" w:hAnsi="Times New Roman"/>
          <w:b/>
          <w:color w:val="000000"/>
          <w:sz w:val="22"/>
        </w:rPr>
        <w:t>Exchange</w:t>
      </w:r>
      <w:r>
        <w:rPr>
          <w:rFonts w:ascii="Times New Roman" w:hAnsi="Times New Roman"/>
          <w:color w:val="000000"/>
          <w:sz w:val="20"/>
        </w:rPr>
        <w:t>”</w:t>
      </w:r>
      <w:r>
        <w:rPr>
          <w:rFonts w:ascii="Times New Roman" w:hAnsi="Times New Roman"/>
          <w:color w:val="000000"/>
          <w:sz w:val="22"/>
        </w:rPr>
        <w:t>) on which the securities of the Company are listed, including any official interpretive guidance.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Persons Covered by the Policy</w:t>
      </w:r>
    </w:p>
    <w:p>
      <w:pPr>
        <w:pStyle w:val="TextBody"/>
        <w:bidi w:val="0"/>
        <w:jc w:val="left"/>
        <w:rPr>
          <w:rFonts w:ascii="Times New Roman" w:hAnsi="Times New Roman"/>
          <w:sz w:val="20"/>
        </w:rPr>
      </w:pPr>
      <w:r>
        <w:rPr>
          <w:rFonts w:ascii="Times New Roman" w:hAnsi="Times New Roman"/>
          <w:color w:val="262626"/>
          <w:sz w:val="22"/>
        </w:rPr>
        <w:t>The Policy is binding and enforceable against all Covered Executives. A “</w:t>
      </w:r>
      <w:r>
        <w:rPr>
          <w:rFonts w:ascii="Times New Roman" w:hAnsi="Times New Roman"/>
          <w:b/>
          <w:color w:val="262626"/>
          <w:sz w:val="22"/>
        </w:rPr>
        <w:t>Covered Executive</w:t>
      </w:r>
      <w:r>
        <w:rPr>
          <w:rFonts w:ascii="Times New Roman" w:hAnsi="Times New Roman"/>
          <w:color w:val="262626"/>
          <w:sz w:val="20"/>
        </w:rPr>
        <w:t xml:space="preserve">” </w:t>
      </w:r>
      <w:r>
        <w:rPr>
          <w:rFonts w:ascii="Times New Roman" w:hAnsi="Times New Roman"/>
          <w:color w:val="262626"/>
          <w:sz w:val="22"/>
        </w:rPr>
        <w:t>is each individual who is or was ever designated as an “officer” by the Board in accordance with Exchange Act Rule 16a-1(f) (a “</w:t>
      </w:r>
      <w:r>
        <w:rPr>
          <w:rFonts w:ascii="Times New Roman" w:hAnsi="Times New Roman"/>
          <w:b/>
          <w:color w:val="262626"/>
          <w:sz w:val="22"/>
        </w:rPr>
        <w:t>Section 16</w:t>
      </w:r>
      <w:r>
        <w:rPr>
          <w:rFonts w:ascii="Times New Roman" w:hAnsi="Times New Roman"/>
          <w:color w:val="262626"/>
          <w:sz w:val="20"/>
        </w:rPr>
        <w:t xml:space="preserve"> </w:t>
      </w:r>
      <w:r>
        <w:rPr>
          <w:rFonts w:ascii="Times New Roman" w:hAnsi="Times New Roman"/>
          <w:b/>
          <w:color w:val="262626"/>
          <w:sz w:val="22"/>
        </w:rPr>
        <w:t>Officer</w:t>
      </w:r>
      <w:r>
        <w:rPr>
          <w:rFonts w:ascii="Times New Roman" w:hAnsi="Times New Roman"/>
          <w:color w:val="262626"/>
          <w:sz w:val="20"/>
        </w:rPr>
        <w:t>”</w:t>
      </w:r>
      <w:r>
        <w:rPr>
          <w:rFonts w:ascii="Times New Roman" w:hAnsi="Times New Roman"/>
          <w:color w:val="262626"/>
          <w:sz w:val="22"/>
        </w:rPr>
        <w:t>). The Compensation Committee may (but is not obligated to) request or require a Covered Executive to sign and return to the Company an acknowledgement that such Covered Executive will be bound by and comply with the terms of the Policy. The Policy is binding on each Covered Executive whether or not the Covered Executive signs and/or returns any acknowledgment.</w:t>
      </w:r>
      <w:r>
        <w:rPr>
          <w:rFonts w:ascii="Times New Roman" w:hAnsi="Times New Roman"/>
          <w:color w:val="000000"/>
          <w:sz w:val="20"/>
        </w:rPr>
        <w:t xml:space="preserve"> </w:t>
      </w:r>
      <w:r>
        <w:rPr>
          <w:rFonts w:ascii="Times New Roman" w:hAnsi="Times New Roman"/>
          <w:b/>
          <w:color w:val="000000"/>
          <w:sz w:val="22"/>
        </w:rPr>
        <w:t>Administration of the Policy</w:t>
      </w:r>
      <w:r>
        <w:rPr>
          <w:rFonts w:ascii="Times New Roman" w:hAnsi="Times New Roman"/>
          <w:color w:val="000000"/>
          <w:sz w:val="22"/>
        </w:rPr>
        <w:t>The Compensation Committee (the “</w:t>
      </w:r>
      <w:r>
        <w:rPr>
          <w:rFonts w:ascii="Times New Roman" w:hAnsi="Times New Roman"/>
          <w:b/>
          <w:color w:val="000000"/>
          <w:sz w:val="22"/>
        </w:rPr>
        <w:t>Compensation Committee</w:t>
      </w:r>
      <w:r>
        <w:rPr>
          <w:rFonts w:ascii="Times New Roman" w:hAnsi="Times New Roman"/>
          <w:color w:val="000000"/>
          <w:sz w:val="20"/>
        </w:rPr>
        <w:t>”</w:t>
      </w:r>
      <w:r>
        <w:rPr>
          <w:rFonts w:ascii="Times New Roman" w:hAnsi="Times New Roman"/>
          <w:color w:val="000000"/>
          <w:sz w:val="22"/>
        </w:rPr>
        <w:t>) of the Board has full delegated authority to administer the Policy. The Compensation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Compensation Committee will be deemed to refer to the independent members of the Board or the other Board committee, as applicable. All determinations of the Compensation Committee will be final and binding and will be given the maximum deference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Events Requiring Application of the Policy</w:t>
      </w:r>
    </w:p>
    <w:p>
      <w:pPr>
        <w:pStyle w:val="TextBody"/>
        <w:bidi w:val="0"/>
        <w:spacing w:before="240" w:after="283"/>
        <w:jc w:val="both"/>
        <w:rPr>
          <w:rFonts w:ascii="Times New Roman" w:hAnsi="Times New Roman"/>
          <w:sz w:val="20"/>
        </w:rPr>
      </w:pPr>
      <w:r>
        <w:rPr>
          <w:rFonts w:ascii="Times New Roman" w:hAnsi="Times New Roman"/>
          <w:color w:val="000000"/>
          <w:sz w:val="22"/>
        </w:rPr>
        <w:t>If the Company is required to (A)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b/>
          <w:color w:val="000000"/>
          <w:sz w:val="22"/>
        </w:rPr>
        <w:t>Accounting Restatement</w:t>
      </w:r>
      <w:r>
        <w:rPr>
          <w:rFonts w:ascii="Times New Roman" w:hAnsi="Times New Roman"/>
          <w:color w:val="000000"/>
          <w:sz w:val="20"/>
        </w:rPr>
        <w:t>”</w:t>
      </w:r>
      <w:r>
        <w:rPr>
          <w:rFonts w:ascii="Times New Roman" w:hAnsi="Times New Roman"/>
          <w:color w:val="000000"/>
          <w:sz w:val="22"/>
        </w:rPr>
        <w:t>), or (B) to retract a scientific publication or correct a material scientific finding in a scientific publication (as determined by the Board or Compliance Committee of the Board), where such retraction or correction is due to fraudulent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intentional misconduct, gross negligence, or a material violation of a Company policy or the policy of a scientific publication related to scientific integrity (a “</w:t>
      </w:r>
      <w:r>
        <w:rPr>
          <w:rFonts w:ascii="Times New Roman" w:hAnsi="Times New Roman"/>
          <w:b/>
          <w:color w:val="000000"/>
          <w:sz w:val="22"/>
        </w:rPr>
        <w:t>Retraction of Scientific Results</w:t>
      </w:r>
      <w:r>
        <w:rPr>
          <w:rFonts w:ascii="Times New Roman" w:hAnsi="Times New Roman"/>
          <w:color w:val="000000"/>
          <w:sz w:val="20"/>
        </w:rPr>
        <w:t>”</w:t>
      </w:r>
      <w:r>
        <w:rPr>
          <w:rFonts w:ascii="Times New Roman" w:hAnsi="Times New Roman"/>
          <w:color w:val="000000"/>
          <w:sz w:val="22"/>
        </w:rPr>
        <w:t>), then the Compensation Committee must determine the Excess Compensation, if any, that must be recovered. The Company’s obligation to recover Excess Compensation is not dependent on if or when restated financial statements are filed or the scientific finding is retracted.</w:t>
      </w:r>
    </w:p>
    <w:p>
      <w:pPr>
        <w:pStyle w:val="TextBody"/>
        <w:bidi w:val="0"/>
        <w:jc w:val="left"/>
        <w:rPr>
          <w:rFonts w:ascii="Times New Roman" w:hAnsi="Times New Roman"/>
          <w:b/>
          <w:color w:val="000000"/>
          <w:sz w:val="22"/>
        </w:rPr>
      </w:pPr>
      <w:r>
        <w:rPr>
          <w:rFonts w:ascii="Times New Roman" w:hAnsi="Times New Roman"/>
          <w:b/>
          <w:color w:val="000000"/>
          <w:sz w:val="22"/>
        </w:rPr>
        <w:t>Compensation Covered by the Policy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Policy applies to certain </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 xml:space="preserve">(certain terms used in this Section are defined below) that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on or after October 2, 2023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during the Covered Period while the Company has a class of securities listed on a national securities exchange. Such Incentive-Based Compensation is considered “</w:t>
      </w:r>
      <w:r>
        <w:rPr>
          <w:rFonts w:ascii="Times New Roman" w:hAnsi="Times New Roman"/>
          <w:b/>
          <w:color w:val="000000"/>
          <w:sz w:val="22"/>
        </w:rPr>
        <w:t>Clawback Eligible Incentive-Based Compensation</w:t>
      </w:r>
      <w:r>
        <w:rPr>
          <w:rFonts w:ascii="Times New Roman" w:hAnsi="Times New Roman"/>
          <w:color w:val="000000"/>
          <w:sz w:val="20"/>
        </w:rPr>
        <w:t xml:space="preserve">” </w:t>
      </w:r>
      <w:r>
        <w:rPr>
          <w:rFonts w:ascii="Times New Roman" w:hAnsi="Times New Roman"/>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Times New Roman" w:hAnsi="Times New Roman"/>
          <w:b/>
          <w:color w:val="000000"/>
          <w:sz w:val="22"/>
        </w:rPr>
        <w:t>Excess Compensation</w:t>
      </w:r>
      <w:r>
        <w:rPr>
          <w:rFonts w:ascii="Times New Roman" w:hAnsi="Times New Roman"/>
          <w:color w:val="000000"/>
          <w:sz w:val="20"/>
        </w:rPr>
        <w:t xml:space="preserve">” </w:t>
      </w:r>
      <w:r>
        <w:rPr>
          <w:rFonts w:ascii="Times New Roman" w:hAnsi="Times New Roman"/>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as if the retracted scientific publication that was subject of the Retraction of Scientific Results had not been published, or based on the corrected material scientific finding, as applicable. Excess Compensation must be computed without regard to any taxes paid and is referred to in the listings standard of the Exchange as “erroneously awarded compensation”.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Determining Excess Compensation for Certain Incentive-Based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determine the amount of Excess Compensation for Incentive-Based Compensation based on stock price or total shareholder return, where it is not subject to mathematical recalculation directly from the information in an Accounting Restatement or Retraction of Scientific Results: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amount must be based on a reasonable estimate of the effect of the Accounting Restatement or Retraction of Scientific Results on the stock price or total shareholder return upon which the Incentive-Based Compensation was Received;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maintain documentation of the determination of that reasonable estimate and provide that documentation to the Exchange.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Repayment of Excess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Compensation Committee determines to be appropriate (these determinations do not need to be identical as to each Covered Executive). These means include (but are not limited to):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requiring reimbursement of cash Incentive-Based Compensation previously paid;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taking any other remedial and recovery action permitted by law, as determined by the Compensation Committee. </w:t>
      </w:r>
    </w:p>
    <w:p>
      <w:pPr>
        <w:pStyle w:val="TextBody"/>
        <w:bidi w:val="0"/>
        <w:spacing w:before="240" w:after="283"/>
        <w:jc w:val="both"/>
        <w:rPr>
          <w:rFonts w:ascii="Times New Roman" w:hAnsi="Times New Roman"/>
          <w:sz w:val="20"/>
        </w:rPr>
      </w:pPr>
      <w:r>
        <w:rPr>
          <w:rFonts w:ascii="Times New Roman" w:hAnsi="Times New Roman"/>
          <w:color w:val="000000"/>
          <w:sz w:val="22"/>
        </w:rPr>
        <w:t>The repayment of Excess Compensation must be made by a Covered Executive notwithstanding any Covered Executive’s belief (whether or not legitimate) that the Excess Compensation had been previously earned under applicable law and therefore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Compensation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the Policy. For example, if a Covered Executive was involved in activities that led to an Accounting Restatement or Retraction of Scientific Results, the Company’s decision as to whether or not to terminate such Covered Executive’s employment would be made under its employment arrangements with such Covered Executive and the requirement to apply this no-fault and non-discretionary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Limited Exceptions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the Excess Compensation in accordance with the Policy except to the limited extent that any of the conditions set forth below is met, and the Compensation Committee determines that recovery of the Excess Compensation would be impracticable: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Times New Roman" w:hAnsi="Times New Roman"/>
          <w:sz w:val="20"/>
        </w:rPr>
      </w:pPr>
      <w:r>
        <w:rPr>
          <w:rFonts w:ascii="Times New Roman" w:hAnsi="Times New Roman"/>
          <w:color w:val="000000"/>
          <w:sz w:val="22"/>
        </w:rPr>
        <w:t>B. Recovery would violate a law in the country in which the Company is incorporated where that law was adopted prior to November 28, 2022. Before reaching this conclusion, the Company must obtain an opinion of local counsel, acceptable to the Exchange, that recovery would result in such a violation, and must provide such opinion to the Exchange;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Defined Terms in the Policy</w:t>
      </w:r>
    </w:p>
    <w:p>
      <w:pPr>
        <w:pStyle w:val="TextBody"/>
        <w:bidi w:val="0"/>
        <w:jc w:val="left"/>
        <w:rPr>
          <w:rFonts w:ascii="Times New Roman" w:hAnsi="Times New Roman"/>
          <w:color w:val="000000"/>
          <w:sz w:val="22"/>
        </w:rPr>
      </w:pPr>
      <w:r>
        <w:rPr>
          <w:rFonts w:ascii="Times New Roman" w:hAnsi="Times New Roman"/>
          <w:color w:val="000000"/>
          <w:sz w:val="22"/>
        </w:rPr>
        <w:t>The capitalized terms in the Policy have the following meaning, unless clearly required otherwise by the context.</w:t>
      </w:r>
    </w:p>
    <w:p>
      <w:pPr>
        <w:pStyle w:val="TextBody"/>
        <w:bidi w:val="0"/>
        <w:spacing w:before="240" w:after="283"/>
        <w:jc w:val="both"/>
        <w:rPr/>
      </w:pPr>
      <w:r>
        <w:rPr>
          <w:color w:val="000000"/>
        </w:rPr>
        <w:t>“</w:t>
      </w:r>
      <w:r>
        <w:rPr>
          <w:rFonts w:ascii="Times New Roman" w:hAnsi="Times New Roman"/>
          <w:b/>
          <w:color w:val="000000"/>
          <w:sz w:val="22"/>
        </w:rPr>
        <w:t>Determination Date</w:t>
      </w:r>
      <w:r>
        <w:rPr>
          <w:rFonts w:ascii="Times New Roman" w:hAnsi="Times New Roman"/>
          <w:color w:val="000000"/>
          <w:sz w:val="20"/>
        </w:rPr>
        <w:t xml:space="preserve">” </w:t>
      </w:r>
      <w:r>
        <w:rPr>
          <w:rFonts w:ascii="Times New Roman" w:hAnsi="Times New Roman"/>
          <w:color w:val="000000"/>
          <w:sz w:val="22"/>
        </w:rPr>
        <w:t>means the earliest to occur of:</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date the Board, a committee of the Board, or one or more of the officers of the Company authorized to take such action if Board action is not required, concludes, or reasonably should have concluded, that the Company is required to prepare an Accounting Restatement or Retraction of Scientific Results;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date a court, regulator, or other legally authorized body directs the Company to prepare an Accounting Restatement.</w:t>
      </w:r>
    </w:p>
    <w:p>
      <w:pPr>
        <w:pStyle w:val="TextBody"/>
        <w:bidi w:val="0"/>
        <w:jc w:val="left"/>
        <w:rPr/>
      </w:pPr>
      <w:r>
        <w:rPr>
          <w:color w:val="000000"/>
        </w:rPr>
        <w:t>“</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Determination Date. In addition, Covered Period can include certain transition periods resulting from a change in the Company’s fiscal year.“</w:t>
      </w:r>
      <w:r>
        <w:rPr>
          <w:rFonts w:ascii="Times New Roman" w:hAnsi="Times New Roman"/>
          <w:b/>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 or a Published Scientific Performance Goal. For the avoidance of doubt, no compensation that is potentially subject to recovery under the Policy will be earned until the Company’s right to recover under the Policy has lapsed.The following items of compensation are not Incentive-Based Compensation under the Policy: salaries, bonuses paid solely at the discretion of the Compensation Committee or the Board that are not paid from a bonus pool that is determined by satisfying a Financial Reporting Measure or a Published Scientific Performance Goal,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or Published Scientific Performance Goal and vesting is contingent solely upon completion of a specified employment period (e.g., time-based vesting equity awards) and/or attaining one or more non-Financial Reporting Measures or Published Scientific Performance Goals.</w:t>
      </w:r>
      <w:r>
        <w:rPr>
          <w:rFonts w:ascii="Times New Roman" w:hAnsi="Times New Roman"/>
          <w:color w:val="000000"/>
          <w:sz w:val="20"/>
        </w:rPr>
        <w:t xml:space="preserve"> “</w:t>
      </w:r>
      <w:r>
        <w:rPr>
          <w:rFonts w:ascii="Times New Roman" w:hAnsi="Times New Roman"/>
          <w:b/>
          <w:color w:val="000000"/>
          <w:sz w:val="22"/>
        </w:rPr>
        <w:t>Policy”</w:t>
      </w:r>
      <w:r>
        <w:rPr>
          <w:rFonts w:ascii="Times New Roman" w:hAnsi="Times New Roman"/>
          <w:color w:val="000000"/>
          <w:sz w:val="20"/>
        </w:rPr>
        <w:t xml:space="preserve"> </w:t>
      </w:r>
      <w:r>
        <w:rPr>
          <w:rFonts w:ascii="Times New Roman" w:hAnsi="Times New Roman"/>
          <w:color w:val="000000"/>
          <w:sz w:val="22"/>
        </w:rPr>
        <w:t>means this Amended and Restated Compensation Recovery (“Clawback”) Policy, as it may be amended from time to time.</w:t>
      </w:r>
    </w:p>
    <w:p>
      <w:pPr>
        <w:pStyle w:val="TextBody"/>
        <w:bidi w:val="0"/>
        <w:spacing w:before="240" w:after="283"/>
        <w:jc w:val="both"/>
        <w:rPr>
          <w:rFonts w:ascii="Times New Roman" w:hAnsi="Times New Roman"/>
          <w:sz w:val="20"/>
        </w:rPr>
      </w:pPr>
      <w:r>
        <w:rPr>
          <w:rFonts w:ascii="Times New Roman" w:hAnsi="Times New Roman"/>
          <w:color w:val="000000"/>
          <w:sz w:val="22"/>
        </w:rPr>
        <w:t>Incentive-Based Compensation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under the Policy in the Company’s fiscal period during which the Financial Reporting Measure specified in the Incentive-Based Compensation award is attained or scientific finding was published, as the case may be, even if the payment, vesting, settlement or grant of the Incentive-Based Compensation occurs after the end of that period. For the avoidance of doubt, the Policy does not apply to Incentive-Based Compensation for which the Financial Reporting Measure or Published Scientific Performance Goal, as applicable, is attained prior to the Effective Date.</w:t>
      </w:r>
    </w:p>
    <w:p>
      <w:pPr>
        <w:pStyle w:val="TextBody"/>
        <w:bidi w:val="0"/>
        <w:spacing w:before="240" w:after="283"/>
        <w:jc w:val="both"/>
        <w:rPr/>
      </w:pPr>
      <w:r>
        <w:rPr>
          <w:color w:val="000000"/>
        </w:rPr>
        <w:t>“</w:t>
      </w:r>
      <w:r>
        <w:rPr>
          <w:rFonts w:ascii="Times New Roman" w:hAnsi="Times New Roman"/>
          <w:b/>
          <w:color w:val="000000"/>
          <w:sz w:val="22"/>
        </w:rPr>
        <w:t>Published Scientific Performance Goal</w:t>
      </w:r>
      <w:r>
        <w:rPr>
          <w:rFonts w:ascii="Times New Roman" w:hAnsi="Times New Roman"/>
          <w:color w:val="000000"/>
          <w:sz w:val="20"/>
        </w:rPr>
        <w:t xml:space="preserve">” </w:t>
      </w:r>
      <w:r>
        <w:rPr>
          <w:rFonts w:ascii="Times New Roman" w:hAnsi="Times New Roman"/>
          <w:color w:val="000000"/>
          <w:sz w:val="22"/>
        </w:rPr>
        <w:t>means a published scientific performance goal material (as determined by the Board or Compliance Committee of the Board) to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Retraction of Scientific Results Determination Date</w:t>
      </w:r>
      <w:r>
        <w:rPr>
          <w:rFonts w:ascii="Times New Roman" w:hAnsi="Times New Roman"/>
          <w:color w:val="000000"/>
          <w:sz w:val="20"/>
        </w:rPr>
        <w:t xml:space="preserve">” </w:t>
      </w:r>
      <w:r>
        <w:rPr>
          <w:rFonts w:ascii="Times New Roman" w:hAnsi="Times New Roman"/>
          <w:color w:val="000000"/>
          <w:sz w:val="22"/>
        </w:rPr>
        <w:t>means the date the Board, or the Compliance Committee of the Board, or one or more of the officers of the Company authorized to take such action if Board action is not required, concludes that a material Retraction of Scientific Results occurred.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Important Information in the Policy</w:t>
      </w:r>
    </w:p>
    <w:p>
      <w:pPr>
        <w:pStyle w:val="TextBody"/>
        <w:bidi w:val="0"/>
        <w:spacing w:before="240" w:after="283"/>
        <w:jc w:val="both"/>
        <w:rPr>
          <w:rFonts w:ascii="Times New Roman" w:hAnsi="Times New Roman"/>
          <w:sz w:val="20"/>
        </w:rPr>
      </w:pPr>
      <w:r>
        <w:rPr>
          <w:rFonts w:ascii="Times New Roman" w:hAnsi="Times New Roman"/>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expense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Compensation Committee or Board may review and modify the Policy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will terminate and no longer be enforceable when the Company ceases to be listed issuer within the meaning of Section 10D of the Exchange Act.</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 have received and read the Amended and Restated Compensation Recovery (“Clawback”) Policy (the “</w:t>
      </w:r>
      <w:r>
        <w:rPr>
          <w:rFonts w:ascii="Times New Roman" w:hAnsi="Times New Roman"/>
          <w:b/>
          <w:color w:val="000000"/>
          <w:sz w:val="22"/>
        </w:rPr>
        <w:t>Policy</w:t>
      </w:r>
      <w:r>
        <w:rPr>
          <w:color w:val="000000"/>
        </w:rPr>
        <w:t>”</w:t>
      </w:r>
      <w:r>
        <w:rPr>
          <w:rFonts w:ascii="Times New Roman" w:hAnsi="Times New Roman"/>
          <w:color w:val="000000"/>
          <w:sz w:val="22"/>
        </w:rPr>
        <w:t>) of LeonaBio, Inc. (the “</w:t>
      </w:r>
      <w:r>
        <w:rPr>
          <w:rFonts w:ascii="Times New Roman" w:hAnsi="Times New Roman"/>
          <w:b/>
          <w:color w:val="000000"/>
          <w:sz w:val="22"/>
        </w:rPr>
        <w:t>Company</w:t>
      </w:r>
      <w:r>
        <w:rPr>
          <w:color w:val="000000"/>
        </w:rPr>
        <w:t>”</w:t>
      </w:r>
      <w:r>
        <w:rPr>
          <w:rFonts w:ascii="Times New Roman" w:hAnsi="Times New Roman"/>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agree to be bound by and to comply with the Policy and understand that determinations of the Compensation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if I have questions concerning the meaning or application of the Policy, it is my responsibility to seek guidance from the General Counsel and Chief Compliance Officer (the “</w:t>
      </w:r>
      <w:r>
        <w:rPr>
          <w:rFonts w:ascii="Times New Roman" w:hAnsi="Times New Roman"/>
          <w:b/>
          <w:color w:val="000000"/>
          <w:sz w:val="22"/>
        </w:rPr>
        <w:t>Compliance Officer</w:t>
      </w:r>
      <w:r>
        <w:rPr>
          <w:color w:val="000000"/>
        </w:rPr>
        <w:t>”</w:t>
      </w:r>
      <w:r>
        <w:rPr>
          <w:rFonts w:ascii="Times New Roman" w:hAnsi="Times New Roman"/>
          <w:color w:val="000000"/>
          <w:sz w:val="22"/>
        </w:rPr>
        <w:t>), Human Resources or my own personal advisers.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neither this Acknowledgement nor the Policy is meant to constitute an employment contract.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review, sign and return this form to the Compliance Officer.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Covered Executive</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print name</w:t>
      </w:r>
      <w:r>
        <w:rPr>
          <w:rFonts w:ascii="Times New Roman" w:hAnsi="Times New Roman"/>
          <w:color w:val="000000"/>
          <w:sz w:val="22"/>
        </w:rPr>
        <w:t>)</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w:t>
      </w:r>
      <w:r>
        <w:rPr>
          <w:rFonts w:ascii="Times New Roman" w:hAnsi="Times New Roman"/>
          <w:color w:val="000000"/>
          <w:sz w:val="22"/>
        </w:rPr>
        <w:t>)</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date</w:t>
      </w:r>
      <w:r>
        <w:rPr>
          <w:rFonts w:ascii="Times New Roman" w:hAnsi="Times New Roman"/>
          <w:color w:val="000000"/>
          <w:sz w:val="22"/>
        </w:rPr>
        <w:t>)</w:t>
      </w:r>
    </w:p>
    <w:p>
      <w:pPr>
        <w:pStyle w:val="TextBody"/>
        <w:bidi w:val="0"/>
        <w:spacing w:before="240" w:after="283"/>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jpeg"/><Relationship Id="rId14" Type="http://schemas.openxmlformats.org/officeDocument/2006/relationships/image" Target="media/image13.gif"/><Relationship Id="rId15" Type="http://schemas.openxmlformats.org/officeDocument/2006/relationships/image" Target="media/image14.jpeg"/><Relationship Id="rId16" Type="http://schemas.openxmlformats.org/officeDocument/2006/relationships/image" Target="media/image15.gif"/><Relationship Id="rId17" Type="http://schemas.openxmlformats.org/officeDocument/2006/relationships/image" Target="media/image1.gif"/><Relationship Id="rId18" Type="http://schemas.openxmlformats.org/officeDocument/2006/relationships/hyperlink" Target="https://www.sec.gov/Archives/edgar/data/1620463/000156459020053574/atha-ex31_153.htm" TargetMode="External"/><Relationship Id="rId19" Type="http://schemas.openxmlformats.org/officeDocument/2006/relationships/hyperlink" Target="https://www.sec.gov/Archives/edgar/data/1620463/000156459020053574/atha-ex31_153.htm" TargetMode="External"/><Relationship Id="rId20" Type="http://schemas.openxmlformats.org/officeDocument/2006/relationships/hyperlink" Target="https://www.sec.gov/Archives/edgar/data/1620463/000095017024065914/atha-ex3_1.htm" TargetMode="External"/><Relationship Id="rId21" Type="http://schemas.openxmlformats.org/officeDocument/2006/relationships/hyperlink" Target="https://www.sec.gov/Archives/edgar/data/1620463/000095017025114093/atha-ex3_1.htm" TargetMode="External"/><Relationship Id="rId22" Type="http://schemas.openxmlformats.org/officeDocument/2006/relationships/hyperlink" Target="https://www.sec.gov/Archives/edgar/data/1620463/000119312526008904/atha-ex3_1.htm" TargetMode="External"/><Relationship Id="rId23" Type="http://schemas.openxmlformats.org/officeDocument/2006/relationships/hyperlink" Target="https://www.sec.gov/Archives/edgar/data/1620463/000119312526116123/lona-ex3_1.htm" TargetMode="External"/><Relationship Id="rId24" Type="http://schemas.openxmlformats.org/officeDocument/2006/relationships/hyperlink" Target="https://www.sec.gov/Archives/edgar/data/1620463/000119312526008904/atha-ex3_2.htm" TargetMode="External"/><Relationship Id="rId25" Type="http://schemas.openxmlformats.org/officeDocument/2006/relationships/hyperlink" Target="https://www.sec.gov/Archives/edgar/data/1620463/000119312526016629/lona-ex4_1.htm" TargetMode="External"/><Relationship Id="rId26" Type="http://schemas.openxmlformats.org/officeDocument/2006/relationships/hyperlink" Target="https://www.sec.gov/Archives/edgar/data/1620463/000119312525323786/atha-ex4_1.htm" TargetMode="External"/><Relationship Id="rId27" Type="http://schemas.openxmlformats.org/officeDocument/2006/relationships/hyperlink" Target="https://www.sec.gov/Archives/edgar/data/1620463/000119312525323786/atha-ex4_2.htm" TargetMode="External"/><Relationship Id="rId28" Type="http://schemas.openxmlformats.org/officeDocument/2006/relationships/hyperlink" Target="https://www.sec.gov/Archives/edgar/data/1620463/000119312525323786/atha-ex4_3.htm" TargetMode="External"/><Relationship Id="rId29" Type="http://schemas.openxmlformats.org/officeDocument/2006/relationships/hyperlink" Target="https://www.sec.gov/Archives/edgar/data/1620463/000119312525323786/atha-ex4_4.htm" TargetMode="External"/><Relationship Id="rId30" Type="http://schemas.openxmlformats.org/officeDocument/2006/relationships/hyperlink" Target="https://www.sec.gov/Archives/edgar/data/1620463/000119312525323786/atha-ex4_5.htm" TargetMode="External"/><Relationship Id="rId31" Type="http://schemas.openxmlformats.org/officeDocument/2006/relationships/hyperlink" Target="https://www.sec.gov/Archives/edgar/data/1620463/000119312525323786/atha-ex4_6.htm" TargetMode="External"/><Relationship Id="rId32" Type="http://schemas.openxmlformats.org/officeDocument/2006/relationships/hyperlink" Target="https://www.sec.gov/Archives/edgar/data/1620463/000119312526116123/lona-ex10_1.htm" TargetMode="External"/><Relationship Id="rId33" Type="http://schemas.openxmlformats.org/officeDocument/2006/relationships/hyperlink" Target="https://www.sec.gov/Archives/edgar/data/1620463/000119312526116123/lona-ex10_2.htm" TargetMode="External"/><Relationship Id="rId34" Type="http://schemas.openxmlformats.org/officeDocument/2006/relationships/hyperlink" Target="https://www.sec.gov/Archives/edgar/data/1620463/000119312526116123/lona-ex10_3.htm" TargetMode="External"/><Relationship Id="rId35" Type="http://schemas.openxmlformats.org/officeDocument/2006/relationships/hyperlink" Target="https://www.sec.gov/Archives/edgar/data/1620463/000119312526116123/lona-ex10_4.htm" TargetMode="External"/><Relationship Id="rId36" Type="http://schemas.openxmlformats.org/officeDocument/2006/relationships/hyperlink" Target="https://www.sec.gov/Archives/edgar/data/1620463/000156459020042848/atha-ex1011_9.htm" TargetMode="External"/><Relationship Id="rId37" Type="http://schemas.openxmlformats.org/officeDocument/2006/relationships/hyperlink" Target="https://www.sec.gov/Archives/edgar/data/1620463/000156459020042848/atha-ex1015_534.htm" TargetMode="External"/><Relationship Id="rId38" Type="http://schemas.openxmlformats.org/officeDocument/2006/relationships/hyperlink" Target="https://www.sec.gov/Archives/edgar/data/1620463/000156459020042848/atha-ex1016_533.htm" TargetMode="External"/><Relationship Id="rId39" Type="http://schemas.openxmlformats.org/officeDocument/2006/relationships/hyperlink" Target="https://www.sec.gov/Archives/edgar/data/1620463/000119312522023358/d290928dex101.htm" TargetMode="External"/><Relationship Id="rId40" Type="http://schemas.openxmlformats.org/officeDocument/2006/relationships/hyperlink" Target="https://www.sec.gov/Archives/edgar/data/1620463/000156459021044641/atha-ex103_70.htm" TargetMode="External"/><Relationship Id="rId41" Type="http://schemas.openxmlformats.org/officeDocument/2006/relationships/hyperlink" Target="https://www.sec.gov/Archives/edgar/data/1620463/000156459021044641/atha-ex104_69.htm" TargetMode="External"/><Relationship Id="rId42" Type="http://schemas.openxmlformats.org/officeDocument/2006/relationships/hyperlink" Target="https://www.sec.gov/Archives/edgar/data/1620463/000156459021044641/atha-ex105_68.htm" TargetMode="External"/><Relationship Id="rId43" Type="http://schemas.openxmlformats.org/officeDocument/2006/relationships/hyperlink" Target="https://www.sec.gov/Archives/edgar/data/1620463/000095017022004782/atha-ex10_28.htm" TargetMode="External"/><Relationship Id="rId44" Type="http://schemas.openxmlformats.org/officeDocument/2006/relationships/hyperlink" Target="https://www.sec.gov/Archives/edgar/data/1620463/000095017023000364/atha-ex1_1.htm" TargetMode="External"/><Relationship Id="rId45" Type="http://schemas.openxmlformats.org/officeDocument/2006/relationships/hyperlink" Target="https://www.sec.gov/Archives/edgar/data/1620463/000095017023000364/atha-ex1_1.htm" TargetMode="External"/><Relationship Id="rId46" Type="http://schemas.openxmlformats.org/officeDocument/2006/relationships/hyperlink" Target="https://www.sec.gov/Archives/edgar/data/1620463/000095017023000364/atha-ex1_1.htm" TargetMode="External"/><Relationship Id="rId47" Type="http://schemas.openxmlformats.org/officeDocument/2006/relationships/hyperlink" Target="https://www.sec.gov/Archives/edgar/data/1620463/000095017024094738/atha-ex10_1.htm" TargetMode="External"/><Relationship Id="rId48" Type="http://schemas.openxmlformats.org/officeDocument/2006/relationships/hyperlink" Target="https://www.sec.gov/Archives/edgar/data/1620463/000095017024094738/atha-ex10_2.htm" TargetMode="External"/><Relationship Id="rId49" Type="http://schemas.openxmlformats.org/officeDocument/2006/relationships/hyperlink" Target="https://www.sec.gov/Archives/edgar/data/1620463/000095017024107031/atha-ex10_1.htm" TargetMode="External"/><Relationship Id="rId50" Type="http://schemas.openxmlformats.org/officeDocument/2006/relationships/hyperlink" Target="https://www.sec.gov/Archives/edgar/data/1620463/000119312526008904/atha-ex10_1.htm" TargetMode="External"/><Relationship Id="rId51" Type="http://schemas.openxmlformats.org/officeDocument/2006/relationships/hyperlink" Target="https://www.sec.gov/Archives/edgar/data/1620463/000119312526134097/lona-ex2_1.htm" TargetMode="External"/><Relationship Id="rId52" Type="http://schemas.openxmlformats.org/officeDocument/2006/relationships/hyperlink" Target="https://www.sec.gov/Archives/edgar/data/1620463/000119312525323786/atha-ex10_1.htm" TargetMode="External"/><Relationship Id="rId53" Type="http://schemas.openxmlformats.org/officeDocument/2006/relationships/hyperlink" Target="https://www.sec.gov/Archives/edgar/data/1620463/000119312525323786/atha-ex10_2.htm" TargetMode="External"/><Relationship Id="rId54" Type="http://schemas.openxmlformats.org/officeDocument/2006/relationships/hyperlink" Target="https://www.sec.gov/Archives/edgar/data/1620463/000156459020042848/atha-ex211_15.htm" TargetMode="External"/><Relationship Id="rId55" Type="http://schemas.openxmlformats.org/officeDocument/2006/relationships/image" Target="media/image16.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224842</Words>
  <Characters>1227510</Characters>
  <CharactersWithSpaces>1450248</CharactersWithSpaces>
  <Paragraphs>13565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