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920" w:right="2760" w:hanging="3899"/>
        <w:spacing w:after="0" w:line="295"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Athira Pharma, Inc.</w:t>
      </w:r>
    </w:p>
    <w:p>
      <w:pPr>
        <w:sectPr>
          <w:pgSz w:w="11900" w:h="16838" w:orient="portrait"/>
          <w:cols w:equalWidth="0" w:num="1">
            <w:col w:w="11240"/>
          </w:cols>
          <w:pgMar w:left="320" w:top="1087" w:right="339" w:bottom="1440" w:gutter="0" w:footer="0" w:header="0"/>
        </w:sectPr>
      </w:pPr>
    </w:p>
    <w:p>
      <w:pPr>
        <w:spacing w:after="0" w:line="4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2"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Delaware</w:t>
      </w:r>
    </w:p>
    <w:p>
      <w:pPr>
        <w:ind w:left="1960"/>
        <w:spacing w:after="0" w:line="223"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45-3368487</w:t>
      </w:r>
    </w:p>
    <w:p>
      <w:pPr>
        <w:spacing w:after="0" w:line="3"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34" w:lineRule="exact"/>
        <w:rPr>
          <w:sz w:val="24"/>
          <w:szCs w:val="24"/>
          <w:color w:val="auto"/>
        </w:rPr>
      </w:pPr>
    </w:p>
    <w:p>
      <w:pPr>
        <w:sectPr>
          <w:pgSz w:w="11900" w:h="16838" w:orient="portrait"/>
          <w:cols w:equalWidth="0" w:num="2">
            <w:col w:w="7600" w:space="300"/>
            <w:col w:w="3340"/>
          </w:cols>
          <w:pgMar w:left="320" w:top="1087"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18706 North Creek Parkway, Suite 104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Bothell, Washington 98011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(425) 620-8501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3"/>
        </w:trPr>
        <w:tc>
          <w:tcPr>
            <w:tcW w:w="4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Symbol(s)</w:t>
            </w:r>
          </w:p>
        </w:tc>
        <w:tc>
          <w:tcPr>
            <w:tcW w:w="100" w:type="dxa"/>
            <w:vAlign w:val="bottom"/>
          </w:tcPr>
          <w:p>
            <w:pPr>
              <w:spacing w:after="0"/>
              <w:rPr>
                <w:sz w:val="14"/>
                <w:szCs w:val="14"/>
                <w:color w:val="auto"/>
              </w:rPr>
            </w:pPr>
          </w:p>
        </w:tc>
        <w:tc>
          <w:tcPr>
            <w:tcW w:w="4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00" w:type="dxa"/>
            <w:vAlign w:val="bottom"/>
          </w:tcPr>
          <w:p>
            <w:pPr>
              <w:jc w:val="center"/>
              <w:spacing w:after="0" w:line="129" w:lineRule="exact"/>
              <w:rPr>
                <w:sz w:val="20"/>
                <w:szCs w:val="20"/>
                <w:color w:val="auto"/>
              </w:rPr>
            </w:pPr>
            <w:r>
              <w:rPr>
                <w:rFonts w:ascii="Arial" w:cs="Arial" w:eastAsia="Arial" w:hAnsi="Arial"/>
                <w:sz w:val="13"/>
                <w:szCs w:val="13"/>
                <w:color w:val="auto"/>
              </w:rPr>
              <w:t>Common Stock, $0.0001 par value per share</w:t>
            </w:r>
          </w:p>
        </w:tc>
        <w:tc>
          <w:tcPr>
            <w:tcW w:w="120" w:type="dxa"/>
            <w:vAlign w:val="bottom"/>
          </w:tcPr>
          <w:p>
            <w:pPr>
              <w:spacing w:after="0"/>
              <w:rPr>
                <w:sz w:val="11"/>
                <w:szCs w:val="11"/>
                <w:color w:val="auto"/>
              </w:rPr>
            </w:pPr>
          </w:p>
        </w:tc>
        <w:tc>
          <w:tcPr>
            <w:tcW w:w="2240" w:type="dxa"/>
            <w:vAlign w:val="bottom"/>
          </w:tcPr>
          <w:p>
            <w:pPr>
              <w:jc w:val="center"/>
              <w:spacing w:after="0" w:line="129" w:lineRule="exact"/>
              <w:rPr>
                <w:sz w:val="20"/>
                <w:szCs w:val="20"/>
                <w:color w:val="auto"/>
              </w:rPr>
            </w:pPr>
            <w:r>
              <w:rPr>
                <w:rFonts w:ascii="Arial" w:cs="Arial" w:eastAsia="Arial" w:hAnsi="Arial"/>
                <w:sz w:val="13"/>
                <w:szCs w:val="13"/>
                <w:color w:val="auto"/>
              </w:rPr>
              <w:t>ATHA</w:t>
            </w:r>
          </w:p>
        </w:tc>
        <w:tc>
          <w:tcPr>
            <w:tcW w:w="100" w:type="dxa"/>
            <w:vAlign w:val="bottom"/>
          </w:tcPr>
          <w:p>
            <w:pPr>
              <w:spacing w:after="0"/>
              <w:rPr>
                <w:sz w:val="11"/>
                <w:szCs w:val="11"/>
                <w:color w:val="auto"/>
              </w:rPr>
            </w:pPr>
          </w:p>
        </w:tc>
        <w:tc>
          <w:tcPr>
            <w:tcW w:w="4380" w:type="dxa"/>
            <w:vAlign w:val="bottom"/>
          </w:tcPr>
          <w:p>
            <w:pPr>
              <w:jc w:val="center"/>
              <w:spacing w:after="0" w:line="129" w:lineRule="exact"/>
              <w:rPr>
                <w:sz w:val="20"/>
                <w:szCs w:val="20"/>
                <w:color w:val="auto"/>
              </w:rPr>
            </w:pPr>
            <w:r>
              <w:rPr>
                <w:rFonts w:ascii="Arial" w:cs="Arial" w:eastAsia="Arial" w:hAnsi="Arial"/>
                <w:sz w:val="13"/>
                <w:szCs w:val="13"/>
                <w:color w:val="auto"/>
              </w:rPr>
              <w:t>The Nasdaq Stock Market LLC</w:t>
            </w: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3"/>
                <w:szCs w:val="13"/>
                <w:color w:val="auto"/>
              </w:rPr>
              <w:t>(The Nasdaq Global Select Market)</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ind w:right="3340"/>
        <w:spacing w:after="0" w:line="22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4"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spacing w:after="0" w:line="26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298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65"/>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360" w:type="dxa"/>
            <w:vAlign w:val="bottom"/>
          </w:tcPr>
          <w:p>
            <w:pPr>
              <w:ind w:left="240"/>
              <w:spacing w:after="0" w:line="16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298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65" w:lineRule="exact"/>
              <w:rPr>
                <w:sz w:val="20"/>
                <w:szCs w:val="20"/>
                <w:color w:val="auto"/>
              </w:rPr>
            </w:pPr>
            <w:r>
              <w:rPr>
                <w:rFonts w:ascii="Arial Unicode MS" w:cs="Arial Unicode MS" w:eastAsia="Arial Unicode MS" w:hAnsi="Arial Unicode MS"/>
                <w:sz w:val="13"/>
                <w:szCs w:val="13"/>
                <w:color w:val="auto"/>
              </w:rPr>
              <w:t>☒</w:t>
            </w:r>
          </w:p>
        </w:tc>
      </w:tr>
      <w:tr>
        <w:trPr>
          <w:trHeight w:val="227"/>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71"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ind w:right="20"/>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4"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2" w:lineRule="exact"/>
        <w:rPr>
          <w:sz w:val="24"/>
          <w:szCs w:val="24"/>
          <w:color w:val="auto"/>
        </w:rPr>
      </w:pPr>
    </w:p>
    <w:p>
      <w:pPr>
        <w:jc w:val="both"/>
        <w:spacing w:after="0" w:line="252"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the shares of common stock on June 28, 2024 (the last business day of the registrant’s most recently completed second fiscal quarter) as reported by The Nasdaq Stock Market LLC on such date was approximately $86.0 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February 24, 2025 was 39,042,445.</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9" w:lineRule="exact"/>
        <w:rPr>
          <w:sz w:val="24"/>
          <w:szCs w:val="24"/>
          <w:color w:val="auto"/>
        </w:rPr>
      </w:pPr>
    </w:p>
    <w:p>
      <w:pPr>
        <w:jc w:val="both"/>
        <w:spacing w:after="0" w:line="256" w:lineRule="auto"/>
        <w:rPr>
          <w:sz w:val="20"/>
          <w:szCs w:val="20"/>
          <w:color w:val="auto"/>
        </w:rPr>
      </w:pPr>
      <w:r>
        <w:rPr>
          <w:rFonts w:ascii="Arial" w:cs="Arial" w:eastAsia="Arial" w:hAnsi="Arial"/>
          <w:sz w:val="13"/>
          <w:szCs w:val="13"/>
          <w:color w:val="auto"/>
        </w:rPr>
        <w:t>Portions of the definitive proxy statement to be delivered to stockholders in connection with the 2025 annual meeting of stockholders are incorporated by reference into Part III of this Annual Report on Form 10-K. Such proxy statement will be filed with the Securities and Exchange Commission not later than 120 days following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80" w:type="dxa"/>
            <w:vAlign w:val="bottom"/>
            <w:gridSpan w:val="10"/>
          </w:tcPr>
          <w:p>
            <w:pPr>
              <w:ind w:left="4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0000FF"/>
                <w:w w:val="98"/>
              </w:rPr>
              <w:t>PART I</w:t>
            </w:r>
          </w:p>
        </w:tc>
        <w:tc>
          <w:tcPr>
            <w:tcW w:w="540" w:type="dxa"/>
            <w:vAlign w:val="bottom"/>
            <w:gridSpan w:val="4"/>
            <w:vMerge w:val="restart"/>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540" w:type="dxa"/>
            <w:vAlign w:val="bottom"/>
            <w:gridSpan w:val="4"/>
            <w:vMerge w:val="continue"/>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8"/>
                <w:szCs w:val="18"/>
                <w:color w:val="0000FF"/>
                <w:w w:val="98"/>
              </w:rPr>
              <w:t>Business</w:t>
            </w:r>
          </w:p>
        </w:tc>
        <w:tc>
          <w:tcPr>
            <w:tcW w:w="8560" w:type="dxa"/>
            <w:vAlign w:val="bottom"/>
            <w:gridSpan w:val="23"/>
            <w:vMerge w:val="restart"/>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vMerge w:val="continue"/>
          </w:tcPr>
          <w:p>
            <w:pPr>
              <w:spacing w:after="0"/>
              <w:rPr>
                <w:sz w:val="15"/>
                <w:szCs w:val="15"/>
                <w:color w:val="auto"/>
              </w:rPr>
            </w:pPr>
          </w:p>
        </w:tc>
        <w:tc>
          <w:tcPr>
            <w:tcW w:w="8560" w:type="dxa"/>
            <w:vAlign w:val="bottom"/>
            <w:gridSpan w:val="2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1A.</w:t>
            </w:r>
          </w:p>
        </w:tc>
        <w:tc>
          <w:tcPr>
            <w:tcW w:w="9300" w:type="dxa"/>
            <w:vAlign w:val="bottom"/>
            <w:gridSpan w:val="24"/>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FF"/>
              </w:rPr>
              <w:t>Unresolved</w:t>
            </w:r>
          </w:p>
        </w:tc>
        <w:tc>
          <w:tcPr>
            <w:tcW w:w="8300" w:type="dxa"/>
            <w:vAlign w:val="bottom"/>
            <w:gridSpan w:val="20"/>
          </w:tcPr>
          <w:p>
            <w:pPr>
              <w:spacing w:after="0" w:line="182" w:lineRule="exact"/>
              <w:rPr>
                <w:sz w:val="20"/>
                <w:szCs w:val="20"/>
                <w:color w:val="auto"/>
              </w:rPr>
            </w:pPr>
            <w:r>
              <w:rPr>
                <w:rFonts w:ascii="Arial" w:cs="Arial" w:eastAsia="Arial" w:hAnsi="Arial"/>
                <w:sz w:val="18"/>
                <w:szCs w:val="18"/>
                <w:color w:val="0000FF"/>
              </w:rPr>
              <w:t>Staff Comments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1C.</w:t>
            </w:r>
          </w:p>
        </w:tc>
        <w:tc>
          <w:tcPr>
            <w:tcW w:w="226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FF"/>
              </w:rPr>
              <w:t>Properties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202" w:lineRule="exact"/>
              <w:rPr>
                <w:sz w:val="20"/>
                <w:szCs w:val="20"/>
                <w:color w:val="auto"/>
              </w:rPr>
            </w:pPr>
            <w:r>
              <w:rPr>
                <w:rFonts w:ascii="Arial" w:cs="Arial" w:eastAsia="Arial" w:hAnsi="Arial"/>
                <w:sz w:val="18"/>
                <w:szCs w:val="18"/>
                <w:color w:val="auto"/>
              </w:rPr>
              <w:t>Item 3.</w:t>
            </w: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82"/>
        </w:trPr>
        <w:tc>
          <w:tcPr>
            <w:tcW w:w="1140" w:type="dxa"/>
            <w:vAlign w:val="bottom"/>
            <w:gridSpan w:val="5"/>
            <w:vMerge w:val="continue"/>
          </w:tcPr>
          <w:p>
            <w:pPr>
              <w:spacing w:after="0"/>
              <w:rPr>
                <w:sz w:val="15"/>
                <w:szCs w:val="15"/>
                <w:color w:val="auto"/>
              </w:rPr>
            </w:pPr>
          </w:p>
        </w:tc>
        <w:tc>
          <w:tcPr>
            <w:tcW w:w="150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7"/>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85"/>
        </w:trPr>
        <w:tc>
          <w:tcPr>
            <w:tcW w:w="114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9300" w:type="dxa"/>
            <w:vAlign w:val="bottom"/>
            <w:gridSpan w:val="24"/>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2"/>
          </w:tcPr>
          <w:p>
            <w:pPr>
              <w:ind w:left="120"/>
              <w:spacing w:after="0" w:line="182" w:lineRule="exact"/>
              <w:rPr>
                <w:sz w:val="20"/>
                <w:szCs w:val="20"/>
                <w:color w:val="auto"/>
              </w:rPr>
            </w:pPr>
            <w:r>
              <w:rPr>
                <w:rFonts w:ascii="Arial" w:cs="Arial" w:eastAsia="Arial" w:hAnsi="Arial"/>
                <w:sz w:val="18"/>
                <w:szCs w:val="18"/>
                <w:color w:val="auto"/>
                <w:w w:val="90"/>
              </w:rPr>
              <w:t>Item 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30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FF"/>
                <w:w w:val="98"/>
              </w:rPr>
              <w:t>[Reserved]</w:t>
            </w:r>
          </w:p>
        </w:tc>
        <w:tc>
          <w:tcPr>
            <w:tcW w:w="8020" w:type="dxa"/>
            <w:vAlign w:val="bottom"/>
            <w:tcBorders>
              <w:top w:val="single" w:sz="8" w:color="0000EE"/>
            </w:tcBorders>
            <w:gridSpan w:val="20"/>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7.</w:t>
            </w:r>
          </w:p>
        </w:tc>
        <w:tc>
          <w:tcPr>
            <w:tcW w:w="9300" w:type="dxa"/>
            <w:vAlign w:val="bottom"/>
            <w:gridSpan w:val="24"/>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8.</w:t>
            </w:r>
          </w:p>
        </w:tc>
        <w:tc>
          <w:tcPr>
            <w:tcW w:w="47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9.</w:t>
            </w:r>
          </w:p>
        </w:tc>
        <w:tc>
          <w:tcPr>
            <w:tcW w:w="372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5580" w:type="dxa"/>
            <w:vAlign w:val="bottom"/>
            <w:gridSpan w:val="9"/>
          </w:tcPr>
          <w:p>
            <w:pPr>
              <w:ind w:left="260"/>
              <w:spacing w:after="0" w:line="182" w:lineRule="exact"/>
              <w:rPr>
                <w:sz w:val="20"/>
                <w:szCs w:val="20"/>
                <w:color w:val="auto"/>
              </w:rPr>
            </w:pPr>
            <w:r>
              <w:rPr>
                <w:rFonts w:ascii="Arial" w:cs="Arial" w:eastAsia="Arial" w:hAnsi="Arial"/>
                <w:sz w:val="18"/>
                <w:szCs w:val="18"/>
                <w:color w:val="0000FF"/>
              </w:rPr>
              <w:t>on Accounting and Financial Disclosure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9A.</w:t>
            </w:r>
          </w:p>
        </w:tc>
        <w:tc>
          <w:tcPr>
            <w:tcW w:w="714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9B.</w:t>
            </w:r>
          </w:p>
        </w:tc>
        <w:tc>
          <w:tcPr>
            <w:tcW w:w="200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9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202" w:lineRule="exact"/>
              <w:rPr>
                <w:sz w:val="20"/>
                <w:szCs w:val="20"/>
                <w:color w:val="auto"/>
              </w:rPr>
            </w:pPr>
            <w:r>
              <w:rPr>
                <w:rFonts w:ascii="Arial" w:cs="Arial" w:eastAsia="Arial" w:hAnsi="Arial"/>
                <w:sz w:val="18"/>
                <w:szCs w:val="18"/>
                <w:color w:val="auto"/>
              </w:rPr>
              <w:t>Item 9C.</w:t>
            </w:r>
          </w:p>
        </w:tc>
        <w:tc>
          <w:tcPr>
            <w:tcW w:w="140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line="20" w:lineRule="exact"/>
              <w:rPr>
                <w:sz w:val="1"/>
                <w:szCs w:val="1"/>
                <w:color w:val="auto"/>
              </w:rPr>
            </w:pPr>
          </w:p>
        </w:tc>
      </w:tr>
      <w:tr>
        <w:trPr>
          <w:trHeight w:val="183"/>
        </w:trPr>
        <w:tc>
          <w:tcPr>
            <w:tcW w:w="1140" w:type="dxa"/>
            <w:vAlign w:val="bottom"/>
            <w:gridSpan w:val="5"/>
            <w:vMerge w:val="continue"/>
          </w:tcPr>
          <w:p>
            <w:pPr>
              <w:spacing w:after="0"/>
              <w:rPr>
                <w:sz w:val="15"/>
                <w:szCs w:val="15"/>
                <w:color w:val="auto"/>
              </w:rPr>
            </w:pPr>
          </w:p>
        </w:tc>
        <w:tc>
          <w:tcPr>
            <w:tcW w:w="546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3840" w:type="dxa"/>
            <w:vAlign w:val="bottom"/>
            <w:gridSpan w:val="6"/>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FF"/>
                <w:w w:val="98"/>
              </w:rPr>
              <w:t>PART III</w:t>
            </w:r>
          </w:p>
        </w:tc>
        <w:tc>
          <w:tcPr>
            <w:tcW w:w="440" w:type="dxa"/>
            <w:vAlign w:val="bottom"/>
            <w:gridSpan w:val="2"/>
          </w:tcPr>
          <w:p>
            <w:pPr>
              <w:spacing w:after="0"/>
              <w:rPr>
                <w:sz w:val="24"/>
                <w:szCs w:val="24"/>
                <w:color w:val="auto"/>
              </w:rPr>
            </w:pPr>
          </w:p>
        </w:tc>
        <w:tc>
          <w:tcPr>
            <w:tcW w:w="9300" w:type="dxa"/>
            <w:vAlign w:val="bottom"/>
            <w:gridSpan w:val="24"/>
            <w:vMerge w:val="restart"/>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10.</w:t>
            </w:r>
          </w:p>
        </w:tc>
        <w:tc>
          <w:tcPr>
            <w:tcW w:w="930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11.</w:t>
            </w:r>
          </w:p>
        </w:tc>
        <w:tc>
          <w:tcPr>
            <w:tcW w:w="202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FF"/>
              </w:rPr>
              <w:t>Executive Compensation</w:t>
            </w:r>
          </w:p>
        </w:tc>
        <w:tc>
          <w:tcPr>
            <w:tcW w:w="2480" w:type="dxa"/>
            <w:vAlign w:val="bottom"/>
            <w:tcBorders>
              <w:top w:val="single" w:sz="8" w:color="0000EE"/>
            </w:tcBorders>
            <w:gridSpan w:val="5"/>
          </w:tcPr>
          <w:p>
            <w:pPr>
              <w:spacing w:after="0"/>
              <w:rPr>
                <w:sz w:val="15"/>
                <w:szCs w:val="15"/>
                <w:color w:val="auto"/>
              </w:rPr>
            </w:pPr>
          </w:p>
        </w:tc>
        <w:tc>
          <w:tcPr>
            <w:tcW w:w="160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12.</w:t>
            </w:r>
          </w:p>
        </w:tc>
        <w:tc>
          <w:tcPr>
            <w:tcW w:w="9300" w:type="dxa"/>
            <w:vAlign w:val="bottom"/>
            <w:gridSpan w:val="24"/>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14.</w:t>
            </w:r>
          </w:p>
        </w:tc>
        <w:tc>
          <w:tcPr>
            <w:tcW w:w="318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FF"/>
                <w:w w:val="99"/>
              </w:rPr>
              <w:t>Principal Accounting Fees and Services</w:t>
            </w:r>
          </w:p>
        </w:tc>
        <w:tc>
          <w:tcPr>
            <w:tcW w:w="2920" w:type="dxa"/>
            <w:vAlign w:val="bottom"/>
            <w:tcBorders>
              <w:top w:val="single" w:sz="8" w:color="0000EE"/>
            </w:tcBorders>
            <w:gridSpan w:val="6"/>
          </w:tcPr>
          <w:p>
            <w:pPr>
              <w:spacing w:after="0"/>
              <w:rPr>
                <w:sz w:val="15"/>
                <w:szCs w:val="15"/>
                <w:color w:val="auto"/>
              </w:rPr>
            </w:pPr>
          </w:p>
        </w:tc>
        <w:tc>
          <w:tcPr>
            <w:tcW w:w="320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85"/>
        </w:trPr>
        <w:tc>
          <w:tcPr>
            <w:tcW w:w="7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FF"/>
                <w:w w:val="98"/>
              </w:rPr>
              <w:t>PART IV</w:t>
            </w:r>
          </w:p>
        </w:tc>
        <w:tc>
          <w:tcPr>
            <w:tcW w:w="420" w:type="dxa"/>
            <w:vAlign w:val="bottom"/>
          </w:tcPr>
          <w:p>
            <w:pPr>
              <w:spacing w:after="0"/>
              <w:rPr>
                <w:sz w:val="24"/>
                <w:szCs w:val="24"/>
                <w:color w:val="auto"/>
              </w:rPr>
            </w:pPr>
          </w:p>
        </w:tc>
        <w:tc>
          <w:tcPr>
            <w:tcW w:w="9300" w:type="dxa"/>
            <w:vAlign w:val="bottom"/>
            <w:gridSpan w:val="24"/>
            <w:vMerge w:val="restart"/>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15.</w:t>
            </w:r>
          </w:p>
        </w:tc>
        <w:tc>
          <w:tcPr>
            <w:tcW w:w="930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16</w:t>
            </w:r>
          </w:p>
        </w:tc>
        <w:tc>
          <w:tcPr>
            <w:tcW w:w="16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FF"/>
                <w:w w:val="99"/>
              </w:rPr>
              <w:t>Form 10-K Summary</w:t>
            </w:r>
          </w:p>
        </w:tc>
        <w:tc>
          <w:tcPr>
            <w:tcW w:w="1540" w:type="dxa"/>
            <w:vAlign w:val="bottom"/>
            <w:tcBorders>
              <w:top w:val="single" w:sz="8" w:color="0000EE"/>
            </w:tcBorders>
            <w:gridSpan w:val="6"/>
          </w:tcPr>
          <w:p>
            <w:pPr>
              <w:spacing w:after="0"/>
              <w:rPr>
                <w:sz w:val="15"/>
                <w:szCs w:val="15"/>
                <w:color w:val="auto"/>
              </w:rPr>
            </w:pPr>
          </w:p>
        </w:tc>
        <w:tc>
          <w:tcPr>
            <w:tcW w:w="608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8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a clinical-stage biopharmaceutical company with a limited operating history.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ATH-1105 may never lead to a marketable product.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spacing w:after="0" w:line="68"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identifying and implementing any strategic transaction and any strategic transactions that we may consummate in the future may not be successful.</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central and peripheral nervous system degenerative disorders, a field that has seen very limited success in product development.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68"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reporting of topline or final data for our clinical trials may be delayed and our regulatory submissions or receipt of necessary marketing approvals could be delayed or prevented.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engage in future acquisitions or strategic partnerships, this may increase our capital requirements, dilute our stockholders, cause us to incur debt or assume contingent liabilities, and subject us to other risks.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85" w:lineRule="exact"/>
        <w:rPr>
          <w:sz w:val="20"/>
          <w:szCs w:val="20"/>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any of our key personnel could significantly harm our business, results of operations and competitive position.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our drug candidates may not achieve adequate market acceptance among physicians, patients, healthcare payors and others in the medical community necessary for commercial success.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never commercialized a drug candidate before and may lack the necessary expertise, personnel and resources to successfully commercialize any drug products on our own or together with suitable collaborators.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68"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our common stock has been and may continue to be volatile, which could result in substantial losses for investors.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and certain of our directors and executive officers have been, and may in the future be, named as defendants in lawsuits that could result in substantial costs and divert management’s attention.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have in the past been, and may in the future be, disruptive and could cause uncertainty about the strategic direction of our business.</w:t>
      </w:r>
    </w:p>
    <w:p>
      <w:pPr>
        <w:spacing w:after="0" w:line="19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7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costs and expected cost savings and related benefits from our workforce reduction initiated in September 2024, or the Restructuring;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learnings from our ACT-AD and SHAPE trials, LIFT-AD independent unblinded interim efficacy and futility analysis, and LIFT-AD trial and their ability to inform and improve future clinical development plans;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of our Phase 1 ATH-1105 clinical trial and any subsequent clinical trials to show the clinical benefits of ATH-1105;</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milestone timelines, such as the timing of data releases, and our ability to meet such timelines;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drug candidates, if approved;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drug candidates for which we obtain approval;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85"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drug candidates, if approved;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drug candidates, and for the manufacture of our drug candidates for nonclinical studies and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drug candidates in the United States and other jurisdictions, and any related restrictions, limitations or warnings in the label of any approved drug candidate;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capacity and capability relating to the further development and manufacturing of our drug candidates, including additional indications for which we may pursue regulatory approval;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 Item 3 — "Legal Proceedings,” and elsewhere in this report;</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by activist stockholders, which have in the past been, and may in the future be, disruptive and could cause uncertainty about the strategic direction of our business;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regain compliance with the Nasdaq listing rules;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drug candidates, if approved for commercial use, and our ability to serve those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collaborations, partnerships, or other transactions we may enter into;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expectations regarding our exploration of strategic alternatives focused on maximizing stockholder value, including whether or not such process will result in a strategic transaction on terms satisfactory to us, or other alternatives which increase stockholder value.</w:t>
      </w:r>
    </w:p>
    <w:p>
      <w:pPr>
        <w:spacing w:after="0" w:line="17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17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This report includes our trademarks and registered trademarks, including Athira, Athira Pharma, the Athira logo, and other trademarks, trade names, or service marks of Athira. Each other trademark, trade name or service mark appearing in this report belongs to its holder. Solely for convenience, trademarks, trade names, and service marks referred to in this report are listed without ® or TM symbols, but we will assert, to the fullest extent under applicable law, our or the rights of the applicable licensors to these trademarks, trade names, and service marks.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report, “we,” “our,” “us,” “Athira,” and “the Company” refer to Athira Pharma, Inc. and its wholly-owned subsidiary.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Athira is a clinical-stage biopharmaceutical company focused on developing small molecules engineered to restore neuronal health and slow neurodegeneration. Athira’s approach is designed to modulate the neurotrophic hepatocyte growth factor, or HGF, system, that is critical to normal brain function and may play a key role in maintaining the health and functioning of neuronal networks. Athira believes that by acting on the neurotrophic HGF system and its multiple downstream signaling pathways, it may be able to enhance the body’s natural ability to protect and repair neuronal networks by reducing inflammation, promoting regeneration, and reducing disease-specific protein pathologies, thereby positively impacting the course of disease. Athira aims to achieve these goals by advancing its pipeline of novel small molecule compounds which are designed to and have exhibited properties in enhancing the neurotrophic HGF system in either the central nervous system, or CNS, by crossing the blood brain barrier, or BBB, or the peripheral nervous system, or PNS.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Athira is actively reviewing options for partnerships or arrangements that will allow it to realize the potential of its drug candidates. The company’s lead drug candidate is ATH-1105. ATH-1105 is a novel, orally available, brain-penetrant, next-generation small molecule drug candidate designed to positively modulate the neurotrophic HGF system for potential treatment of neurodegenerative diseases, including amyotrophic lateral sclerosis, or ALS, Alzheimer’s disease, or AD, and Parkinson’s disease, or PD. ATH-1105 is currently in development for the potential treatment of ALS. Athira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Athira’s previous lead drug candidate, fosgonimeton, is a small molecule drug candidate designed to positively modulate the neurotrophic HGF system for potential treatment of neurodegenerative diseases. In September 2024, Athira announced the topline results for LIFT-AD, a randomized, double-blind, placebo-controlled, parallel-group 26-week Phase 2/3 clinical trial with fosgonimeton in mild-to-moderate AD. The primary and key secondary endpoints of the LIFT-AD trial did not reach statistical significance compared with placebo at 26 weeks. Based on these results, Athira decided to pause further development of fosgonimeton and to shift its focus to the clinical development of ATH-1105.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Athira's Strategy</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To further its goal of developing small molecules engineered to restore neuronal health and slow neurodegeneration, Athira’s strategy is to advance its pipeline of small molecule drug candidates, focusing on drug candidates that show both strong pharmacokinetics and pharmacodynamics, or PK/PD, translation and early predictive clinical data.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Athira's Pipeline</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Figure 1 below illustrates the current development stage of Athira’s proprietary drug candidates and early discovery and development programs, of which only ATH-1105 is currently in clinical development, for the potential treatment of ALS. Athira has also explored the use of its drug candidates in other indications in the CNS and PNS with the goal of improving neuronal health in multiple neurodegenerative diseases. In addition, Athira’s drug discovery efforts have focused on designing and testing new early compounds to enhance the neurotrophic HGF system for a variety of clinical applications.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76200</wp:posOffset>
            </wp:positionV>
            <wp:extent cx="5168900" cy="2203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890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ATH-1105</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ATH-1105 is a novel, orally available, brain-penetrant, next generation, small molecule drug candidate designed to positively modulate the neurotrophic HGF system. Athira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In preclinical models of ALS, treatment with ATH-1105 resulted in improvements in motor neuron survival and function. In vitro, ATH-1105 treatment protected primary spinal motor neurons from glutamate toxicity and prevented accumulation of toxic protein aggregates. Additionally, ATH-1105 induced target activation in cultures of ALS patient-derived motor neurons. In a preclinical mouse model of ALS, treatment with ATH-1105 significantly prevented loss of body weight, and improved motor function including balance, coordination and muscle strength. Athira additionally reported that treatment with ATH-1105 significantly improved electrophysiological measures of functional nerve signaling and protected against motor neuron axon degeneration and demyelination. ATH-1105 treatment also significantly reduced biomarkers of inflammation and neurodegeneration and prolonged survival. Study results were presented at the Motor Neurone Disease Association International Symposium in December 2022 and 2023 and published in </w:t>
      </w:r>
      <w:r>
        <w:rPr>
          <w:rFonts w:ascii="Arial" w:cs="Arial" w:eastAsia="Arial" w:hAnsi="Arial"/>
          <w:sz w:val="18"/>
          <w:szCs w:val="18"/>
          <w:i w:val="1"/>
          <w:iCs w:val="1"/>
          <w:color w:val="auto"/>
        </w:rPr>
        <w:t>Frontiers in Neuroscience</w:t>
      </w:r>
      <w:r>
        <w:rPr>
          <w:rFonts w:ascii="Arial" w:cs="Arial" w:eastAsia="Arial" w:hAnsi="Arial"/>
          <w:sz w:val="18"/>
          <w:szCs w:val="18"/>
          <w:color w:val="auto"/>
        </w:rPr>
        <w:t>, 2024. Weight loss, motor deficits, inflammation, loss of functional nerve signaling, and motor neurondegeneration and demyelination are all hallmarks of ALS disease; treatment with ATH-1105 significantly improved all of these aspects in the preclinical models tested.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ATH-1020</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ATH-1020 is a novel, orally available, next generation, small molecule drug candidate designed to positively modulate the neurotrophic HGF system. Athira filed an IND application with the FDA for ATH-1020 at the end of 2021 and received notice of acceptance in January 2022. This compound was originally assessed for neuropsychiatric indications in preclinical models as presented at the American Society for Experimental Therapeutics Annual Conference in February 2022.</w:t>
      </w:r>
    </w:p>
    <w:p>
      <w:pPr>
        <w:spacing w:after="0" w:line="6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preclinical models of diabetic neuropathic pain, Athira demonstrated significant improvements in two aspects of disease that are prominent symptoms in people suffering from neuropathic pain: increased sensitivity to mechanical and thermal stimulation. The significant improvements in neuropathic pain were partially sustained after seven days of not receiving ATH-1020, suggesting persistent and potentially disease-modifying effects. Data from these studies were presented at the Society for Neuroscience Annual Conference in November 2022 and the American Society for Experimental Neurotherapeutics in March 2023. Athira has completed the SAD escalation portion of the Phase 1 trial, in which ATH-1020 demonstrated a favorable safety profile and was well-tolerated in healthy volunteers.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Compounds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to the compounds described above, Athira has evaluated several other compounds in preclinical discovery and development for neurodegenerative diseases and other indications where it believes positive modulation of the neurotrophic HGF system may have therapeutic potential.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Disease</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Causes of neurodegenerative diseases are not fully understood as these diseases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neurotrophic HGF system.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Scientific evidence supporting the neurotrophic HGF system as a naturally occurring repair mechanism is backed by over 30 years of research. MET is one of the most stably expressed genes in the adult human brain and is essential to a healthy, functional nervous system. HGF/MET signaling plays a critical role in both the development and maintenance of nervous system tissue. In ALS, studies have highlighted the importance of HGF in key processes affected by the disease. HGF functions as a potent survival factor for motor neurons, and impaired HGF/MET signaling has detrimental effects on neuromuscular junction integrity. Preclinical studies in ALS animal models show that HGF delivery reduces motor neuron degeneration, improves motor function, and prolongs lifespan. Additionally, HGF signaling has been linked to muscle function, the loss of which is a key feature of ALS. And although evidence supports the neurotrophic HGF system as an attractive target for combating neurodegenerative diseases, such as ALS, with its multimodal mechanism of action, it has proven a difficult drug target. There are approved and in-development gene therapy approaches to increase HGF expression beyond normal physiological levels, but these are limited as potentially viable treatment options for neurological disorders due to limited distribution and more invasive delivery requirements, such as intrathecal or intravenous, or locally restricted to the periphery, such as via intramuscular routes of administration.</w:t>
      </w:r>
    </w:p>
    <w:p>
      <w:pPr>
        <w:spacing w:after="0" w:line="18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To date, drug developers have been deploying approaches that typically address only a single factor of the cascade of pathologies that lead to neurodegeneration, yet translating early successful results to meaningful clinical benefit has been mixed if not elusive. Athira believes that to address such complex and multifactorial diseases requires a novel multimodal approach, such as targeting the neurotrophic HGF system through non-invasive small molecules that enhance levels of HGF system activation to protect and repair neuronal networks.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Action</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Athira has developed a pipeline of proprietary small molecule compounds, or ATH positive modulators, designed to enhance the neurotrophic HGF system and promote its neuroprotective, neurotrophic and anti-inflammatory effects, including protection of neurons from a variety of insults. These novel small molecules are designed to cross the blood-brain barrier for CNS disorders or remain in the periphery for PNS and other indications, and mechanistically produce a series of multimodal effects that support their therapeutic promise to: reduce inflammation, promote regeneration, provide neuroprotection, and, ultimately, slow disease progression.</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Figure 2 below illustrates the hypothesized mechanism of action of ATH positive modulators and the cellular disease state where diseased neurons generate a biomarker of neurodegeneration,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neurotrophic pathways, reduced neuron degeneration and NfL production occur while the treated glia show reduced activation and production of proinflammatory cytokines, illustrating the potential reduction in neurodegeneration and inhibition of neuroinflammation through the enhancement of the neurotrophic HGF system.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76200</wp:posOffset>
            </wp:positionV>
            <wp:extent cx="5349240" cy="3103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ATH positive modulators interact with the HGF system, neurotrophic and neuroprotective pathways are activated downstream, including the activation of the extracellular-signal regulated kinase, or ERK and protein kinase B, or AKT pathways, which play critical roles in protecting neurons from damage and death, including from oxidative stress, excitotoxicity, and apoptosis. Figure 3 below shows cell culture data demonstrating that one of the key mechanisms of action of ATH positive modulators is through activation of AKT and ERK via MET activation.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3. ATH-1105 enhances HGF signaling and promotes neurotrophic and neuroprotective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76200</wp:posOffset>
            </wp:positionV>
            <wp:extent cx="5349240" cy="2254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Positively modulating the neurotrophic HGF system promotes its multimodal effects, which Athira believes can potentially address the complex pathology in neurodegenerative diseases. These positive multimodal effects taken together may lead to improvement in function.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ATH-1105</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ATH-1105 Preclinical Evidence for ALS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ATH-1105 is a novel oral small molecule drug candidate being assessed as a potential treatment for ALS. In a spinal motor neuron model, ATH-1105 significantly protected against neuron death by glutamate-induced excitotoxicity, while reducing pathological aggregation of TAR DNA-binding protein 43, or TDP-43. Figure 4 summarizes the data with images of microtubule-associated protein-2, or MAP-2-labeled spinal motor neurons in green, and extranuclear TDP-43 in red. In the control image on the left with no excitotoxic insult (glutamate), there is minimal overlap of MAP-2 neurons with extranuclear TDP-43. When glutamate is applied to the motor neuron cultures, there’s an overall reduction in the number of neurons and increased extranuclear TDP-43 as shown by overlapping red-green staining in the middle image. When cell cultures were treated with ATH-1105, the effect of glutamate-induced excitotoxicity on the overall number of motor neurons and extranuclear TDP-43 protein aggregation was significantly reduced, as seen in the rightmost image and as quantified in the bar graphs.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4. ATH-1105 is Neuroprotective Against Excitotoxic Insult and Reduces Extranuclear TDP-43 Levels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76200</wp:posOffset>
            </wp:positionV>
            <wp:extent cx="5349240" cy="2151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1-way ANOVA with Fisher least significant difference test. *p&lt;0.05; **p&lt;0.01; ***p&lt;0.001 versus Glutamate Control. Scale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bar: 100 µm. n=5-6 per group.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MAP-2, microtubule-associated protein-2; TDP-43, TAR DNA-binding protein 43.</w:t>
      </w:r>
    </w:p>
    <w:p>
      <w:pPr>
        <w:spacing w:after="0" w:line="28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ATH-1105 has also demonstrated target engagement in ALS patient-derived induced pluripotent stem cells (iPSCs) that were differentiated into motor neurons. In this model, as summarized in Figure 5, ALS patient-derived motor neurons treated with ATH-1105 100 nM exhibited a significant increase in MET activation (pMET) demonstrating engagement of HGF signaling, when compared to motor neurons treated with vehicle. These results were presented at the Motor Neurone Disease Association International Symposium in December 2024.</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5. ATH-1105 increases MET activation in ALS patient-derived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76200</wp:posOffset>
            </wp:positionV>
            <wp:extent cx="5349240" cy="2099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spacing w:after="0" w:line="256" w:lineRule="auto"/>
        <w:rPr>
          <w:sz w:val="20"/>
          <w:szCs w:val="20"/>
          <w:color w:val="auto"/>
        </w:rPr>
      </w:pPr>
      <w:r>
        <w:rPr>
          <w:rFonts w:ascii="Arial" w:cs="Arial" w:eastAsia="Arial" w:hAnsi="Arial"/>
          <w:sz w:val="14"/>
          <w:szCs w:val="14"/>
          <w:color w:val="A6A6A6"/>
        </w:rPr>
        <w:t>Human iPSC-derived motor neurons sourced from Cedar Sinai via AnswerALS consortium. Motor neurons were cultured in growth factor deprived media and treated with vehicle or ATH-1105 every 48h for 6 days. MET activation was measured 24h post ATH-1105 treatment. Data presented as mean ± SEM. Statistical significance was determined via paired t-test comparing MET activation (pMET/Total MET) in motor neurons treated with vehicle or ATH-1105 100 nM; n = 2 technical replicates from each donor.</w:t>
      </w:r>
    </w:p>
    <w:p>
      <w:pPr>
        <w:spacing w:after="0" w:line="5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Plasma biomarkers of inflammation and neurodegeneration were significantly reduced following treatment with ATH-1105 in a transgenic TDP-43-driven mouse model of ALS (Figure 6). These results support the anti-inflammatory and neuroprotective effects of ATH-1105 through enhancement of neurotrophic HGF system signaling. In the TDP-43-driven ALS model, significant increases in the proinflammatory cytokines tumor necrosis factor alpha, or TNF-alpha, and interleukin 6, or IL-6, were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observed compared to healthy wild-type, or WT, control animals. When ALS-model mice, or ALS mice, were treated with ATH-1105 significant reductions in both TNF-alpha and IL-6 were observed, demonstrating anti-inflammatory activity. Consistent with the neuroprotective effects demonstrated in cell-based models, a significant reduction in plasma levels of the neurodegeneration biomarker, NfL, was observed in ALS mice treated with ATH-1105, which is indicative of neuroprotection.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6. ATH-1105 Improves Biomarkers of Inflammation and Neurodegeneration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76200</wp:posOffset>
            </wp:positionV>
            <wp:extent cx="4509135" cy="1500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913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20"/>
        <w:spacing w:after="0" w:line="263" w:lineRule="auto"/>
        <w:rPr>
          <w:sz w:val="20"/>
          <w:szCs w:val="20"/>
          <w:color w:val="auto"/>
        </w:rPr>
      </w:pPr>
      <w:r>
        <w:rPr>
          <w:rFonts w:ascii="Arial" w:cs="Arial" w:eastAsia="Arial" w:hAnsi="Arial"/>
          <w:sz w:val="14"/>
          <w:szCs w:val="14"/>
          <w:color w:val="A6A6A6"/>
        </w:rPr>
        <w:t>Graphical representation of plasma IL-6, TNF-α in fold-difference over the WT + vehicle group, and NfL levels in ng/ml at two months of treatment. N=10 per group. Data presented as mean ± SEM. Statistical significance was determined by 1-way ANOVA with the Dunnett’s test versus ALS + vehicle. ****p&lt;0.0001. ALS, amyotrophic lateral sclerosis; IL-6, interleukin 6; NfL, neurofilament light chain; TNF-α, tumor necrosis factor alpha; WT, wild-type.</w:t>
      </w:r>
    </w:p>
    <w:p>
      <w:pPr>
        <w:spacing w:after="0" w:line="25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Treatment with ATH-1105 in a mouse model of ALS protected against axon degeneration and demyelination as observed from histological examination of cross-sections of the sciatic nerve. Figure 7 below includes an image of the sciatic nerve from a WT healthy control animal, on the left, featuring a large number of large diameter axons surrounded by a consistent and highly regular coating of myelin sheath. In the middle, a sciatic nerve image from an ALS disease control animal is shown, where a marked reduction in the number of axons, a decrease in average axon diameter, and irregular myelination is observed. On the right, when ALS animals are treated with ATH-1105, sciatic nerve integrity is preserved with a greater population of large diameter axons and preservation of regular myelination. Graphs below the images are quantified data showing these effects of ATH-1105 in a mouse model of 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7. Treatment with ATH-1105 Protected Against Axon Degeneration and Demyelination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76200</wp:posOffset>
            </wp:positionV>
            <wp:extent cx="4465955" cy="2846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659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6A6A6"/>
        </w:rPr>
        <w:t>Histology images of sciatic nerve cross-sections stained with toluidine blue to label myelin. Scale is 10 μm (all panels). Graphical representation of the number of axons (per 100 µm2), axonal diameter (in micrometers), and mean of myelin g-ratio, defined as the ratio of the inner axonal diameter to the total axonal diameter, following two months of treatment. Data presented as mean + SEM. Statistical significance was determined by 1-way ANOVA with the Dunnett’s test versus ALS + vehicle. ****p&lt;0.0001. ALS, amyotrophic lateral sclerosis; WT, wild-type.</w:t>
      </w:r>
    </w:p>
    <w:p>
      <w:pPr>
        <w:spacing w:after="0" w:line="26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 analyses of electrophysiological and behavioral assessments indicated the protection of the motor neurons with ATH-1105 translated to improved nerve and motor function (Figure 8). Compound muscle action potential, or CMAP, and nerve conduction velocity, or NCV, are two electrophysiological measures of functional nerve signaling. Treatment with ATH-1105 in a mouse model of ALS demonstrated consistent and significant improvements of nerve function compared to ALS disease control animals.</w:t>
      </w:r>
    </w:p>
    <w:p>
      <w:pPr>
        <w:spacing w:after="0" w:line="6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Two examples of motor function improvements are shown by the rotarod, an assessment of balance and coordination, and the grip test, an assessment of strength. ALS disease control animals showed significant motor impairments compared to WT healthy control animals. ATH-1105 treatment in this mouse model of ALS led to significant improvements in both the rotarod and grip tests compared to the vehicle treated ALS disease control animals, demonstrating preservation of motor function. Other motor behavior tests assessing balance, coordination and muscle strength were the balance beam and Kondziela screen tests. Across all motor function measures, significant improvements were seen in ALS animals treated with ATH-1105 compared to ALS animals treated with vehicle.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8. Treatment with ATH-1105 Improves Nerve and Motor Function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76200</wp:posOffset>
            </wp:positionV>
            <wp:extent cx="4011930" cy="4029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1193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6A6A6"/>
        </w:rPr>
        <w:t>Graphical representation of CMAP amplitude, NCV, rotarod latency, and grip strength at baseline and after one and two months of treatment. Data presented as mean ± SEM.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Statistical significance was determined by 2-way ANOVA with the Dunnett’s test versus ALS + vehicle. **p&lt;0.01; ***p&lt;0.001; ****p&lt;0.0001. N=10 per group.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ALS, amyotrophic lateral sclerosis; CMAP, compound muscle action potential; NCV, nerve conduction velocity; WT, wild-type.</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above study results, depicted in Figure 8, were presented at the American Academy of Neurology, or AAN, in April 2023, and the ALS Drug Development Summit in May 2023.</w:t>
      </w:r>
    </w:p>
    <w:p>
      <w:pPr>
        <w:spacing w:after="0" w:line="4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Treatment with ATH-1105 in a mouse model of ALS extends survival and improves other disease-related measures. Figure 9 below compares ALS mice treated with oral ATH-1105 20 mg/kg once daily in blue with oral vehicle once daily treated ALS mice in red. Mice were treated from one month of age to a humane endpoint maximum of five months of age, for a total of up to four months of treatment. ATH-1105 increased time to first mortality and significantly prolonged survival compared to ALS disease control animals (p=0.0035). ATH-1105 also significantly protected against body weight reduction (p&lt;0.01). These findings were reported at the AAN 2023 Annual Meeting in April 2023.</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9. ATH-1105 Significantly Improved Survival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76200</wp:posOffset>
            </wp:positionV>
            <wp:extent cx="3694430" cy="25114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9443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Kaplan-Meier curve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Statistics applied: Log-rank (Mantel-Cox) test for survival curve comparison, **p&lt;0.01. n=20 mice per group at start</w:t>
      </w:r>
    </w:p>
    <w:p>
      <w:pPr>
        <w:spacing w:after="0" w:line="2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Treatment with ATH-1105 in a mouse model of ALS outperforms treatment with riluzole under the conditions tested in assessments of motor function, nerve function, and in reducing disease-related plasma biomarkers. Figure 10 below compares performance in the grip test of WT mice (grey) and transgenic ALS mice treated daily with vehicle (red), intraperitoneal riluzole 5 mg/kg (green), oral ATH-1105 20 mg/kg (blue), or both ATH-1105 and riluzole (purple). Mice treated with ATH-1105 alone and co-administration of riluzole and ATH-1105 consistently outperformed the vehicle-treated ALS disease control group. In both the ATH-1105 and the co-administration of ATH-1105 and riluzole groups, performance on the test approached that of the WT healthy control group. ATH-1105 treatment outperformed riluzole treatment in tests of motor function including the grip, rotarod, Kondziela screen, and balance beam tests. ATH-1105 also outperformed riluzole in tests of nerve function preservation including CMAP amplitude and NCV. ATH-1105 treatment further reduced plasma levels of IL-6 and TNF-alpha compared to riluzole, which are biomarkers of inflammation. ATH-1105 treatment also more greatly reduced plasma levels of NfL compared to riluzole, which is a biomarker of neurodegeneration. These findings were reported at the Northeast ALS Consortium meeting in October 2023, and the Motor Neurone Disease Association conference in December 2023.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10. ATH-1105 Preserves Motor and Nerve Function and Reduces Plasma NfL Compared with Riluzole in a Mouse Model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66040</wp:posOffset>
            </wp:positionV>
            <wp:extent cx="5349240" cy="254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6A6A6"/>
        </w:rPr>
        <w:t>Graphical representation of change from baseline following two months of treatment in grip test, CMAP amplitude, and Plasma Nfl. Data presented as mean ± SEM, or box-and-whisker plots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6A6A6"/>
        </w:rPr>
        <w:t>Statistics applied: One-way ANOVA with Dunnett’s test. *p&lt;0.05; **p&lt;0.01; *** p&lt;0.001; **** p&lt;0.0001. n=10 mice per group; Abbreviations: CFB, change from baseline, CMAP, compound muscle action potential, NfL, neurofilament light chain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 for ATH-1105 in ALS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Weight loss, motor deficits, inflammatory effects, loss of muscle integrity, nerve degeneration and demyelination are all classical hallmarks of disease in people with ALS; treatment with ATH-1105 significantly improved all of these deficits preclinically. Athira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ATH-1020</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ATH-1020 Preclinical Evidence for Neuropathic Pain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ATH-1020 is a novel, orally available, next generation, small molecule drug candidate designed to positively modulate the neurotrophic HGF system. Enhancing HGF/MET signaling promotes neuroprotective, neurotrophic, and anti-inflammatory effects, and as neuropathic pain disorders, including diabetic neuropathy, or DNP, have components of oxidative stress, nerve damage, and inflammation, positive modulation of the HGF/MET pathway may provide therapeutic benefit in these disease areas. Data below were presented at the Society for Neuroscience Annual Conference in November 2022.</w:t>
      </w:r>
    </w:p>
    <w:p>
      <w:pPr>
        <w:spacing w:after="0" w:line="6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This compound was originally assessed for neuropsychiatric indications in preclinical models as presented at the American Society for Experimental Therapeutics Annual Conference in February 2022.</w:t>
      </w:r>
    </w:p>
    <w:p>
      <w:pPr>
        <w:spacing w:after="0" w:line="4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In animal models of DNP hypersensitivity to mechanical and thermal pain are commonly experienced, which are also representative of symptoms in people with neuropathic pain. Shown in Figure 11 below, treatment with ATH-1020 significantly reduced pain behaviors over the testing period compared to DNP controls alone.</w:t>
      </w:r>
    </w:p>
    <w:p>
      <w:pPr>
        <w:spacing w:after="0" w:line="6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i w:val="1"/>
          <w:iCs w:val="1"/>
          <w:color w:val="auto"/>
        </w:rPr>
        <w:t>Figure 11. Reduced Mechanical and Thermal Pain-Related Behaviors Following ATH-1020 Treatment in a Rat Model of Diabetic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41910</wp:posOffset>
            </wp:positionV>
            <wp:extent cx="5134610" cy="1748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3461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****p&lt;0.0001 using one-way ANOVA with Dunnett test vs DNP control.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ANOVA, analysis of variance; AUC, area under the curve; DNP, diabetic neuropathic pain; PWL, paw withdrawal latency; PWT, paw withdrawal threshold.</w:t>
      </w:r>
    </w:p>
    <w:p>
      <w:pPr>
        <w:spacing w:after="0" w:line="24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Persistence of reduced pain behaviors following ATH-1020 treatment were assessed after a short-term (23-hour) or a long-term (7-day) washout period. Study results demonstrated that even after short- and long-term washout periods, where no drug is present, the effects of ATH-1020 reduction of pain behaviors remained persistent, suggesting a potential disease modifying effect (Figure 12).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12. Persistent Pain Reduction after 7-day Washout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76200</wp:posOffset>
            </wp:positionV>
            <wp:extent cx="5066030" cy="1654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603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*p&lt;0.05; **p&lt;0.01; ****p&lt;0.0001 using one-way ANOVA with Dunnett test vs DNP control.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ANOVA, analysis of variance; AUC, area under the curve; DNP, diabetic neuropathic pain; PWL, paw withdrawal latency; PWT, paw withdrawal threshold.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ATH-1020 Clinical – Phase 1 Trial in Healthy Volunteers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Athira filed an IND application with the FDA for ATH-1020 at the end of 2021 and received notice of acceptance in January 2022. In September 2022, it completed the single-ascending dose escalation portion of the Phase 1 trial. ATH-1020 demonstrated a favorable safety profile and was well-tolerated in healthy volunteers.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Fosgonimeton</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Athira’s previous lead drug candidate, fosgonimeton, is a small molecule drug candidate designed to positively modulate the neurotrophic HGF system for potential treatment of neurodegenerative diseases. In September 2024, Athira announced the topline results for LIFT-AD, a randomized, double-blind, placebo-controlled, parallel-group 26-week Phase 2/3 clinical trial with fosgonimeton in mild-to-moderate AD. The primary and key secondary endpoints did not reach statistical significance compared with placebo at 26 weeks. However, both components of the Global Statistical Test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Based on these results, Athira decided to pause further development of fosgonimeton and to shift its focus to the clinical development of ATH-1105.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potential target indications for Athira’s small molecule positive modulators include ALS and other neurodegenerative diseases. A recent study estimated that approximately 33,000 persons in the United States are affected with ALS. This number was projected to increase to approximately 36,000 by 2030. Prevalence at the global level varies geographically. Cases worldwide have been projected to increase from approximately 223,000 in 2015 to approximately 377,000 in 2040.</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Currently, there are only four approved drugs that are specifically indicated for the treatment of ALS, of which none targets neurotrophic factor systems with a multimodal mechanism of action with the potential to offer neuroprotective, anti-inflammatory and potentially disease modifying effects.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ATH-1105 is currently in development for the potential treatment of ALS. The potential commercialization strategy is expected to consider the following key elements:</w:t>
      </w:r>
    </w:p>
    <w:p>
      <w:pPr>
        <w:spacing w:after="0" w:line="4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first-line therapy;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therapy for patients who have stopped existing therapies.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Athira aims to demonstrate the therapeutic potential of ATH-1105 in ALS as an initial indication. Given the unique potential of ATH-1105 to provide broad protection against neurodegeneration, there may be therapeutic application in additional neurodegenerative indications including but not limited to frontal temporal dementia, Parkinson’s, polyneuropathies, and others. Athira expects its commercialization strategies, including distribution plans, will evolve as clinical development progresses</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Athira is actively reviewing options for partnerships or other arrangements that will allow it to realize the commercial potential of its drug candidates.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Athira’s focus on small molecule therapeutics enables it to use well-established and widely available manufacturing processes and infrastructure, formulation compositions, and drug administration technologies or devices. Athira does not operate its own facilities for manufacturing, storing, or distributing drug candidates. It utilizes third-party contract development and manufacturing organizations, or CDMOs, to manufacture and supply preclinical and clinical materials during the development of drug candidates. Athira and various regulatory bodies have audited the CDMOs it contracts with, and such CDMOs have a proven track record of GMP-compliant manufacturing.</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ATH-1105 is purified as a stable solid and then released to other CDMOs for formulation and packaging into the final drug product for use in clinical testing. Athira believes the synthesis of ATH-1105 is reliable and reproducible and the synthetic routes can be further optimized to enable large-scale production that continues to avoid use of toxic materials or specialized equipment or handling during the manufacturing process.</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For the potential commercialization of any drug candidates that receive regulatory approval, Athira expects to rely on partners’ manufacturing capabilities or use similar third-party CDMO contract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slow neurodegeneration, with its principal drug candidate focused on the treatment of ALS, Athira faces, and in the future may face, increased competitive pressures from both large and small pharmaceutical companies and from established and emerging biotechnology companies, as well as academic, government, and public and private research institutions. Any drug candidates that Athira successfully develops and commercializes will compete with current treatments and new treatments that may become available in the future. With the advancement of ATH-1105 as a novel small molecule therapeutic that positively modulates the neurotrophic HGF system, Athira must consider companies as competitors who are developing other novel approaches, including those that target other neurotrophic systems to address ALS and other neurological diseases. Additionally, because ATH-1105 is orally administered, Athira must also consider as competitors companies developing ALS therapies as oral therapeutics or with other routes of administration.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Because of the range of potential competitors, many of Athira’s competitors, alone or with strategic partners, have greater access to financial resources, market presence, and resources and expertise in development, preclinical and clinical testing, manufacturing, commercialization, the regulatory approval process, or marketing and sales than Athira does. In addition, these same competitors, who may be in a clinical development stage, could also be competing with Athira for patient recruitment, clinical research organization, and operational resources. These entities also compete with Athira in the recruitment and retaining of qualified scientific and management personnel, as well as the acquisition of enabling or complementary technologies for advancing Athira’s product candidates across all competitors. Merger and acquisition activity in the biotechnology and biopharmaceutical industries may result in even more resources being concentrated among a smaller number of Athira’s competitors. Smaller or early-stage companies may also prove to be significant competitors, particularly through collaborative arrangements with large and established companies. Athira’s commercial opportunity could be substantially limited if its competitors develop and commercialize products that are more effective, safer, more convenient or less expensive than Athira’s comparable drug products. In geographies that are critical to Athira’s commercial success, competitors may also obtain regulatory approvals first, resulting in these competitors building a strong market position in advance of the entry of Athira’s drug candidates. In addition, Athira’s ability to compete may be affected in many cases by insurers or other third-party payors seeking to encourage the use of other treatments.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Specific to targeting HGF/MET, however, Athira is not aware of any direct competitors currently developing small molecules targeting the neurotrophic HGF system for ALS. Athira is aware of two companies developing HGF/MET-directed therapies for ALS, including VM202, a plasmid DNA encoding human HGF developed by Helixmith, and KP-100, a recombinant HGF protein developed by Kringle Pharma. Both assets have been investigated in Phase 2 clinical trials for ALS, where they were shown to be safe and well-tolerated but failed to reach statistical significance on efficacy endpoints.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ATH-1105 has the potential to offer neuroprotective and anti-inflammatory effects by targeting the HGF/MET system. Athira’s preclinical data have demonstrated this multimodal approach may have positive benefits across several biological and clinical measures. While several potential direct competitors may exist, Athira has not yet identified any competitive asset that has demonstrated consistent and congruent positive effects offering neuroprotection, anti-inflammation, reduction in disease-specific protein pathologies, and neurotrophic and functional benefits.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Athira owns or has in-licensed numerous patents and patent applications and possesses substantial know-how and trade secrets relating to the development and commercialization of its drug candidates, including related manufacturing processes and technologies.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December 31, 2024, the company’s patent portfolio includes its exclusively owned intellectual property, including issued patents and pending patent applications in the United States, issued patents and pending patent applications in jurisdictions outside of the United States, and a pending international patent application filed under the Patent Cooperation Treaty. The patents and patent applications issued and pending outside of the United States are counterparts to the foregoing United States patents and patent applications and are generally held in Argentina, Australia, Brazil, Canada, Chile, China, Eurasia, Europe, Hong Kong, India, Indonesia, Israel, Japan, Mexico, Malaysia, New Zealand, Philippines, Singapore, South Africa, South Korea, Taiwan, and Thailand. Athira’s owned patents and patent applications have claims directed to ATH-1105 and its other small molecule drug candidates, including ATH-1020 and fosgonimeton, as compositions of matter and methods of use thereof.</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United States Patent and Trademark Office, or USPTO, delay or the FDA regulatory review period (a patent term adjustment or patent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Athira’s owned issued patents will expire on dates ranging from 2037 to 2042, exclusive of any patent term adjustment or patent term extension. If patents are issued on Athira’s owned pending non-provisional patent applications, the resulting patents are projected to expire on dates ranging from 2037 to 2043, exclusive of any patent term adjustment or patent term extension.</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When appropriate, Athira seeks to protect aspects of its technology and business not amenable to, or that it does not consider appropriate for, patent protection as trade secrets. Athira seeks to protect this intellectual property, in part, as trade secrets, by entering into confidentiality agreements with those who have access to its confidential information, including employees, contractors, consultants, collaborators, and advisors. The company also seeks to preserve the integrity and confidentiality of its proprietary technology and processes by maintaining physical security of its premises and physical and electronic security of its information technology systems.</w:t>
      </w:r>
    </w:p>
    <w:p>
      <w:pPr>
        <w:spacing w:after="0" w:line="17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Athira seeks trademark protection in the United States and in certain other jurisdictions where available and when it deems appropriate. Athira’s trademark portfolio includes issued trademark registrations for Athira Pharma and other pending trademark applications in the United States and internationally.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or GLP, requirements and other applicable regulations;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or IRB, ethics committee, either centralized or with respect to each clinical site, before each clinical trial may be initiated;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 New Drug Application, or NDA, after completion of all pivotal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or cGMP, requirements to ensure that the facilities, methods and controls are adequate to preserve the drug’s identity, strength, quality, and purity, and of selected clinical investigation sites to assess compliance with GCPs; and</w:t>
      </w:r>
    </w:p>
    <w:p>
      <w:pPr>
        <w:spacing w:after="0" w:line="68"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pharmacology, and PK/PD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jc w:val="both"/>
        <w:ind w:left="1020" w:hanging="503"/>
        <w:spacing w:after="0" w:line="243"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product candidate is initially introduced into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the FDA and other regulatory authorities may change their policies, issue additional regulations or revise existing regulations, any of which could delay Athira’s ability to obtain approvals, increase the costs of compliance or restrict the company’s ability to maintain any regulatory approvals it may have obtained. In June 2024, the U.S. Supreme Court overruled the Chevron doctrine, which gives deference to federal agencies' statutory interpretations in litigation against the agencies where the law is ambiguous. This Supreme Court decision may invite various stakeholders to bring lawsuits against the FDA or other federal agencies to challenge longstanding decisions and policies, including FDA's statutory interpretations of market exclusivities and the "substantial evidence" requirements for drug approvals, which could undermine the FDA's authority, lead to uncertainties in the industry, and disrupt the agency's normal operations. Athira cannot predict the full impact of this decision on the company or the pharmaceutical industry in general. Further, changes in the leadership of the FDA and other federal agencies under the new Trump administration can result in further changes in the funding, operations, and policies of the federal agencies, which may impact Athira’s clinical development plans and timelines.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drug product candidates as appropriate.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assess new safety risks; or imposition of distribution restrictions or other restrictions under a REMS program. Other potential consequences include, among other things:</w:t>
      </w:r>
    </w:p>
    <w:p>
      <w:pPr>
        <w:spacing w:after="0" w:line="46" w:lineRule="exact"/>
        <w:rPr>
          <w:sz w:val="20"/>
          <w:szCs w:val="20"/>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drug 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Orange Book Listing</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seeking approval of an NDA or a supplement thereto, NDA applicants are required to list with the FDA each patent with claims that cover the applicant’s product or an approved method of using the product. Upon FDA approval, each of the patents listed by the NDA applicant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no patent information on the drug product that is the subject of the application has been submitted to the FDA;</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such patent has expired;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date on which such patent expires; or</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such patent is invalid, unenforceable or will not be infringed upon by the manufacture, use, or sale of the drug product for which the application is submitted.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or HIPAA, thus complicating compliance efforts.</w:t>
      </w:r>
    </w:p>
    <w:p>
      <w:pPr>
        <w:spacing w:after="0" w:line="1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time-consuming process, with no assurance that coverage and adequate reimbursement will be applied consistently or obtained in the first instance.</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new Trump administration will impact the ACA, Athira’s business, financial condition and results of operations.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2032 with the exception of a temporary suspension implemented under various novel coronavirus disease, or COVID-19, relief legislation.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programs, and to reform government program reimbursement methodologies for pharmaceutical products. For example, effective January 1, 2024,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Athira’s business. In August 2022, Congress passed the Inflation Reduction Act of 2022, or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CMS has published the negotiated maximum fair prices for the first ten drugs covered under Medicare Part D, which will go into effect on January 1, 2026. The second cycle of negotiations will occur in 2025, with the negotiated prices going into effect in 2027.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new Trump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FDA has authorized the state of Florida to develop Section 804 Importation Programs to import certain prescription drugs from Canada for a limited period of time to help reduce drug costs, provided that Florida’s Agency for Health Care Administration meets the requirements set forth by the FDA. Other states may follow Florida. We expect that additional state and federal healthcare reform measures will be adopted in the future. The implementation of cost containment measures or other healthcare reforms may prevent us from being able to generate revenue, attain profitability or commercialize our drug candidates. Complying with any new legislation and regulatory changes could be time-intensive and expensive, resulting in a material adverse effect on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2024, we had 26 employees, all of whom were full-time and 15 of whom were engaged in research and development activities. Twelve of our employees hold Ph.D. or M.D. degrees. None of our employees is represented by a labor union or covered under a collective bargaining agreement. We consider our relationship with our employees to be good.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make available on or through our website certain reports and amendments to those reports that we file with or furnish to the Securities and Exchange Commission, or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report</w:t>
      </w:r>
      <w:r>
        <w:rPr>
          <w:rFonts w:ascii="Arial" w:cs="Arial" w:eastAsia="Arial" w:hAnsi="Arial"/>
          <w:sz w:val="18"/>
          <w:szCs w:val="18"/>
          <w:color w:val="231F20"/>
        </w:rPr>
        <w:t xml:space="preserve">, </w:t>
      </w:r>
      <w:r>
        <w:rPr>
          <w:rFonts w:ascii="Arial" w:cs="Arial" w:eastAsia="Arial" w:hAnsi="Arial"/>
          <w:sz w:val="18"/>
          <w:szCs w:val="18"/>
          <w:i w:val="1"/>
          <w:iCs w:val="1"/>
          <w:color w:val="231F20"/>
        </w:rPr>
        <w:t>including the</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“Management’s Discussion and Analysis of Financial Condition and Results of Operations” section and our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cs="Arial" w:eastAsia="Arial" w:hAnsi="Arial"/>
          <w:sz w:val="18"/>
          <w:szCs w:val="18"/>
          <w:i w:val="1"/>
          <w:iCs w:val="1"/>
          <w:color w:val="000000"/>
        </w:rPr>
        <w:t>Our Risk Factors are not guarantees that no such conditions exist as of the</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date of this report and should not be interpreted as an affirmative statement that such risks or conditions have not materialized, in whole or in part.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Drug Candidates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currently focusing our efforts primarily on the development of ATH-1105 and we may fail to or be unable to design and execute clinical trials to support marketing approval of ATH-1105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approval is secured for any of our drug candidates, the terms of such approval may limit the scope and use of our drug candidate, which may also limit its commercial potential.</w:t>
      </w:r>
    </w:p>
    <w:p>
      <w:pPr>
        <w:spacing w:after="0" w:line="26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spacing w:after="0" w:line="5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discovered and are developing a pipeline of small molecule drug candidates to treat neurodegenerative diseases.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modified intent to treat, or mITT, population treated with fosgonimeton 40 mg once daily saw improvement in ADAS-Cog13 individually, and collectively improved compared with placebo (n=7 mITT, one-sided p=0.0321). Results for patients in the 70 mg dose group were inconsistent.</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topline data from our Phase 2/3 LIFT-AD clinical trial of fosgonimeton in AD showed that neither the trial’s primary endpoint (the Global Statistical Test, or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Following the readout of topline data from LIFT-AD, in September 2024 we announced our intention to focus on advancing the clinical development program for ATH-1105 as a potential treatment for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limited evidence regarding the efficacy, safety and tolerability of ATH-1105 and other small molecules in our drug product pipeline. We or a future partner may ultimately determine that ATH-1105, or any of our other small molecules, does not possess certain properties required for therapeutic effectiveness.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or a future partner may spend substantial funds attempting to develop these drug candidates and never succeed in doing so.</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ATH-1105 may never lead to a marketable product.</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developing ATH-1105 as a small molecule aimed at restoring neuronal health. We have not received regulatory approval for ATH-1105 and cannot be certain that our approach will lead to the development of an approvable or marketable product, alone or in combination with other therapies.</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Advancing ATH-1105 as a small molecule aimed at restoring neuronal health creates significant challenges for us or a future partner, including:</w:t>
      </w:r>
    </w:p>
    <w:p>
      <w:pPr>
        <w:spacing w:after="0" w:line="46"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if ATH-1105 is approved, educating medical personnel regarding the potential efficacy and safety benefits, as well as the challenges, of incorporating ATH-1105 into existing treatment regimens, including in combination with other treatments for ALS or as a monotherapy; and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prospects as a standalone business are highly dependent on the successful development of ATH-1105.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 are encouraged about the potential for ATH-1105 based on preclinical data, we or a future partner may decide to discontinue development of some or all of our product candidates, including if we or a future partner do not demonstrate the safety and efficacy of ATH-1105 in current and future clinical trials. We may pursue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29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ATH-1105 or any other drug candidates we may seek to develop. Our ability to generate revenue and achieve profitability depends significantly on our ability to achieve a number of objectives, including:</w:t>
      </w:r>
    </w:p>
    <w:p>
      <w:pPr>
        <w:spacing w:after="0" w:line="68" w:lineRule="exact"/>
        <w:rPr>
          <w:sz w:val="20"/>
          <w:szCs w:val="20"/>
          <w:color w:val="auto"/>
        </w:rPr>
      </w:pPr>
    </w:p>
    <w:p>
      <w:pPr>
        <w:ind w:left="1020" w:right="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drug candidates and any future drug candidates, as well as the associated costs, including any unforeseen costs;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drug candidates and any future drug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timely submission of application for and receipt of marketing approvals from applicable regulatory authorities for any drug candidates for which we successfully complete clinical development;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5" w:lineRule="exact"/>
        <w:rPr>
          <w:sz w:val="20"/>
          <w:szCs w:val="20"/>
          <w:color w:val="auto"/>
        </w:rPr>
      </w:pPr>
    </w:p>
    <w:p>
      <w:pPr>
        <w:ind w:left="1020" w:right="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drug candidates, including obtaining finished products that are appropriately packaged for sale;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drug candidates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patent challenges, derivation proceedings, or interference or infringement claims, if any;</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 that may be necessary or desirable to develop, manufacture or commercialize our drug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drug candidates that we develop;</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markets in the territories for which we gain regulatory approval and have commercial rights, as well as the availability of competitive products, whether there is sufficient third-party reimbursement and adoption by physicians.</w:t>
      </w:r>
    </w:p>
    <w:p>
      <w:pPr>
        <w:spacing w:after="0" w:line="26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central and peripheral nervous system degenerative disorders, a field that has seen very limited success in product development.</w:t>
      </w:r>
    </w:p>
    <w:p>
      <w:pPr>
        <w:spacing w:after="0" w:line="3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w:t>
      </w:r>
    </w:p>
    <w:p>
      <w:pPr>
        <w:spacing w:after="0" w:line="2" w:lineRule="exact"/>
        <w:rPr>
          <w:sz w:val="20"/>
          <w:szCs w:val="20"/>
          <w:color w:val="auto"/>
        </w:rPr>
      </w:pPr>
    </w:p>
    <w:p>
      <w:pPr>
        <w:jc w:val="both"/>
        <w:ind w:firstLine="8"/>
        <w:spacing w:after="0" w:line="237" w:lineRule="auto"/>
        <w:tabs>
          <w:tab w:leader="none" w:pos="4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9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57"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lead drug candidate, ATH-1105, is currently in clinical development for the potential treatment of ALS. It is impossible to predict when or if any of our drug candidates will prove to be effective and safe in humans or will receive regulatory approval.</w:t>
      </w:r>
    </w:p>
    <w:p>
      <w:pPr>
        <w:spacing w:after="0" w:line="15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 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in our fosgonimeton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subsequent Phase 2 ACT-AD clinical trial in AD did not meet its primary endpoint of a change in ERP P300 latency for the full study population nor did it meet the secondary endpoints, and our Phase 2/3 LIFT-AD clinical trial in AD did not meet its primary endpoint (the GST, a combination of results from measures of cognition (ADAS-Cog11) and function (ADCS-ADL23)) nor its key secondary endpoints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ADAS-Cog11 and ADCS-ADL23. Based on these results, we decided to pause further development of fosgonimeton and to shift our focus to the clinical development of ATH-1105.</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spacing w:after="0" w:line="6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clinical development strategy or statistical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 on a timely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drug candidates may be larger than we anticipate;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delays by us or our CROs in qualifying or analyzing patient data at the completion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drug candidate;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supply of drug candidate for use in nonclinical studies or clinical trials from third-party suppliers.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spacing w:after="0" w:line="18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spacing w:after="0" w:line="61"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determine to limit or terminate clinical trials, including our open-label extension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drug candidate is administered;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5" w:lineRule="exact"/>
        <w:rPr>
          <w:sz w:val="20"/>
          <w:szCs w:val="20"/>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drug product or impose restrictions on its distribution in the form of a modified risk evaluation and mitigation strategy, or REMS;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334"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spacing w:after="0" w:line="29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drug candidates, which may fail in development or suffer delays that adversely affect their commercial viability.</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drug candidates we may develop will depend on many factors, including the following:</w:t>
      </w:r>
    </w:p>
    <w:p>
      <w:pPr>
        <w:spacing w:after="0" w:line="10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drug candidate for use in clinical trials;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spacing w:after="0" w:line="284"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have been and may in the future be subject to claims, lawsuits, arbitration proceedings, government investigations, securities class action litigation and other legal, regulatory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spacing w:after="0" w:line="5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been and may in the future be subject to claims, lawsuits, arbitration proceedings, government investigations, securities class action litigation and other legal, regulatory and administrative proceedings. For example, in November 2022, we received a Civil Investigative Demand from the Civil Division of the Department of Justice, or the Demand. The Demand sought documents and information relating to our relationship with WSU, certain of our grant applications in 2016 and 2019 with the NIH, and our receipt of a NIH grant in 2020. We cooperated with the Department of Justice with respect to the Demand and in December 2024 reached a settlement with respect thereto. In February 2023, the Securities and Exchange Commission, or SEC, sent us a subpoena seeking documents and information relating to, among other things, our former chief executive officer’s alteration of images in certain research papers. We cooperated with the SEC with respect to the subpoena. On March 29, 2024, we received a letter from the SEC stating that the SEC had concluded its investigation without any enforcement action against us.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29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Washington State University, or WSU, has undertaken a review of claims of potential research misconduct involving our former chief executive officer’s doctoral research at WSU. We cannot predict what conclusions WSU will reach, whether or when WSU will share its conclusions with us or the public, and what effect, if any, this investigation may have on our business and reputation.</w:t>
      </w:r>
    </w:p>
    <w:p>
      <w:pPr>
        <w:spacing w:after="0" w:line="5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to the previously disclosed investigation of the independent special committee of our board of directors, WSU has also announced that it has undertaken a review of claims of potential research misconduct involving research conducted by Dr. Leen Kawas, our former chief executive officer, during her doctoral studies at WSU. We cannot predict what, if any, effect this investigation may have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reputation. It is possible that the investigation by WSU could come to different conclusions, or uncover additional or different information, than the investigation of the independent special committee of our board of directors, the primary finding of which was that Dr. Kawas altered images in her 2011 doctoral dissertation and at least four research papers that she co-authored while a graduate student at WSU, and published from 2011 to 2014.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drug candidates.</w:t>
      </w:r>
    </w:p>
    <w:p>
      <w:pPr>
        <w:spacing w:after="0" w:line="29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0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reporting of topline or final data for our clinical trials may be delayed and our regulatory submissions or receipt of necessary marketing approvals could be delayed or prevented.</w:t>
      </w:r>
    </w:p>
    <w:p>
      <w:pPr>
        <w:spacing w:after="0" w:line="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projected timeline for announcing our topline data for ATH-1105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ATH-1105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spacing w:after="0" w:line="29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use of clinical research organizations, and procurement of operational resources. As a result, our competitors may discover, develop, license or commercialize products before or more successfully than we do.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3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 – Competition.”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drug candidates in combination with other therapies, which exposes us to additional risks.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 ATH-1105,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p>
    <w:p>
      <w:pPr>
        <w:spacing w:after="0" w:line="5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ATH-1105. Developing ATH-1105 and conducting clinical trials for the potential treatment of ALS, and any other indications that we may pursue in the future will require substantial amounts of capital and we are actively seeking a partner to assist with the development of ATH-1105 through a joint collaboration agreement, provision of non-dilutive funding, or a combination of these and other structures. In addition, if we or a future partner obtain marketing approval for ATH-1105 or any future drug candidates, we expect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would result in significant commercialization expenses related to sales, marketing, manufacturing, and distribution. Furthermore, we expect to continue to incur additional costs associated with operating as a public company</w:t>
      </w:r>
      <w:r>
        <w:rPr>
          <w:rFonts w:ascii="Arial" w:cs="Arial" w:eastAsia="Arial" w:hAnsi="Arial"/>
          <w:sz w:val="18"/>
          <w:szCs w:val="18"/>
          <w:color w:val="212529"/>
        </w:rPr>
        <w:t>.</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December 31, 2024, we had cash, cash equivalents and investments of $51.3 million.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46" w:lineRule="exact"/>
        <w:rPr>
          <w:sz w:val="20"/>
          <w:szCs w:val="20"/>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ATH-1105 and other clinical trials, including for potential additional indications that we may pursue beyond ALS, such as AD;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ATH-1105 clinical trial data, as well as data from any completed and planned clinical and nonclinical studies and other work, as the basis for review and approval of ATH-1105 for ALS and the potential need for additional clinical trials;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drug candidates that we pursue;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drug candidates and technologies;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be or may in the future become involved in;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drug candidates and other market developments;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Because we have undertaken a process to assess strategic alternatives, the timing of which is uncertain, our future capital requirements may vary significantly from what we expect. If a strategic transaction is not consummated, we will require substantial additional funding to support our continuing operations and development. In addition, even if we are successful in completing a strategic transaction, we may still need to raise additional funds for any research and development or clinical programs we choose to pursue. 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 xml:space="preserve">unable </w:t>
      </w:r>
      <w:r>
        <w:rPr>
          <w:rFonts w:ascii="Arial" w:cs="Arial" w:eastAsia="Arial" w:hAnsi="Arial"/>
          <w:sz w:val="18"/>
          <w:szCs w:val="18"/>
          <w:color w:val="000000"/>
        </w:rPr>
        <w:t>to obtain funding on a timely basis, we may be required to significantly curtail or abandon one or more of our research or development</w:t>
      </w:r>
      <w:r>
        <w:rPr>
          <w:rFonts w:ascii="Arial" w:cs="Arial" w:eastAsia="Arial" w:hAnsi="Arial"/>
          <w:sz w:val="18"/>
          <w:szCs w:val="18"/>
          <w:color w:val="212529"/>
        </w:rPr>
        <w:t xml:space="preserve"> </w:t>
      </w:r>
      <w:r>
        <w:rPr>
          <w:rFonts w:ascii="Arial" w:cs="Arial" w:eastAsia="Arial" w:hAnsi="Arial"/>
          <w:sz w:val="18"/>
          <w:szCs w:val="18"/>
          <w:color w:val="000000"/>
        </w:rPr>
        <w:t>programs. We also could be required to seek funds through arrangements with collaborative partners or otherwise that may require us to relinquish rights to some of our technologies or drug candidates or otherwise agree to terms unfavorable to us.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spacing w:after="0" w:line="1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For example, the current inflationary economic environment and health epidemics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in the future by, among other things, SEC rules and regulations impacting the eligibility of smaller companies to use Form S-3 for primary offerings of securities.</w:t>
      </w:r>
    </w:p>
    <w:p>
      <w:pPr>
        <w:spacing w:after="0" w:line="29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3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We have not generated any revenue from drug product sales and our drug candidates will require substantial additional investment before they may provide us with any revenue. We had net losses of $96.9 million and $117.7 million for the year ended December 31, 2024 and 2023</w:t>
      </w:r>
      <w:r>
        <w:rPr>
          <w:rFonts w:ascii="Arial" w:cs="Arial" w:eastAsia="Arial" w:hAnsi="Arial"/>
          <w:sz w:val="18"/>
          <w:szCs w:val="18"/>
          <w:color w:val="212529"/>
        </w:rPr>
        <w:t>, respectively, and an accumulated deficit of $406.1 million as of December 31, 2024.</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expect to incur significant expenses and operating losses for the foreseeable future, including as a result of the following actions that we may take to:</w:t>
      </w:r>
    </w:p>
    <w:p>
      <w:pPr>
        <w:spacing w:after="0" w:line="4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drug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our facilities and lab space;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drug candidates and technologies or engage in other strategic transactions;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drug product development efforts;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incur expenses in connection with legal proceedings, and addressing potential stockholder activism.</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experience any delays or encounter issues with any of the above,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8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Adverse events or perceptions affecting the financial services industry could adversely affect our operating results, liquidity, financial condition and prospects.</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spacing w:after="0" w:line="7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obligations, including U.S. federal and state wage laws and contracts that required them to maintain letters or credit or other credit support arrangements;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or delays in accessing or actual loss of funds subject to cash management arrangements.</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financial institutions, or that they would do so in a timely fashion. In such an event, parties with which we have commercial agreements may be unable to satisfy their obligations to, or enter into new commercial arrangements with, us.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Concerns regarding the U.S. or international financial systems could impact the availability and cost of financing, thereby making it more difficult for us to acquire financing on acceptable terms or at all.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risks could materially impact our operating results, liquidity, financial condition and prospects.</w:t>
      </w:r>
    </w:p>
    <w:p>
      <w:pPr>
        <w:spacing w:after="0" w:line="32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212529"/>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spacing w:after="0" w:line="5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212529"/>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529"/>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As of December 31, 2024, we had federal net operating loss carryforwards, or NOLs, to offset future taxable income of approximately $9.5 million and federal tax credit carryforwards of approximately $ 16.5 million, which expire over a period of 7 to 13 years. Federal NOLs of $196.0 million generated after the 2017 tax year will carry forward indefinitely and will be subject to the 80% of taxable income limitation. At December 31, 2024, we also had state NOLs of $3.9 million, which expire over a period of 17 to 20 years. A lack of future taxable income would adversely affect our ability to utilize these NOLs.</w:t>
      </w:r>
    </w:p>
    <w:p>
      <w:pPr>
        <w:spacing w:after="0" w:line="6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In addition, under Section 382 of the Internal Revenue Code of 1986, as amended, or 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spacing w:after="0" w:line="6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12529"/>
        </w:rPr>
        <w:t>We have recorded a full valuation allowance related to our NOLs and other deferred tax assets due to the uncertainty of the ultimate realization of the future benefits of those assets.</w:t>
      </w:r>
    </w:p>
    <w:p>
      <w:pPr>
        <w:spacing w:after="0" w:line="26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212529"/>
        </w:rPr>
        <w:t>Changes in tax laws could have a material adverse effect on our business, cash flows, results of operations or financial condition.</w:t>
      </w:r>
    </w:p>
    <w:p>
      <w:pPr>
        <w:spacing w:after="0" w:line="3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212529"/>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Additionally,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Strategic Process and Potential Strategic Transaction</w:t>
      </w:r>
    </w:p>
    <w:p>
      <w:pPr>
        <w:spacing w:after="0" w:line="322"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may not be successful in identifying and implementing any strategic transaction and any strategic transactions that we may consummate in the future may not be successful.</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529"/>
        </w:rPr>
        <w:t>Following our receipt of the topline results of LIFT-AD, we made the determination to explore strategic alternatives focused on maximizing stockholder value. As part of this process, we are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However, there can be no assurance that we will be able to successfully consummate any particular strategic transaction. The process of continuing to evaluate these strategic options is costly, time-consuming and complex and we have incurred and may continue to incur significant costs related to this continued evaluation.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 and may diminish or delay any potential cash distributions to our stockholders. In addition, we may not be able to adequately limit or avoid future liabilities, including future costs relating to the lease on our headquarters, which may impair the value of any potential transaction or present additional challenges to completing a strategic transaction.</w:t>
      </w:r>
    </w:p>
    <w:p>
      <w:pPr>
        <w:spacing w:after="0" w:line="7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212529"/>
        </w:rPr>
        <w:t>There can be no assurances that any particular course of action, business arrangement or transaction, or series of transactions, will be pursued, successfully consummated, lead to increased stockholder value, or achieve the anticipated results. Any failure of such potential transaction to achieve the anticipated results could significantly impair our ability to enter into any future strategic transactions and may significantly reduce or delay any future distributions to our stockholders.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realize any additional value in a strategic transaction.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The market capitalization of our company is currently below the value of our current cash, cash equivalents and short-term investments. Potential counterparties in a strategic transaction involving our company may place minimal or no value on our assets, including ATH-1105. Further, the development and any potential commercialization of our product candidates would require substantial additional cash to fund the costs associated with conducting the necessary preclinical and clinical testing and obtaining regulatory approval. Consequently, any potential counterparty in a strategic transaction involving our company may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choose not to spend the additional resources necessary to continue developing our product candidates and may attribute little or no value, in such a transaction, to those product candidates.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successful in completing a strategic transaction, we may be exposed to other operational and financial risks.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Although there can be no assurance that a strategic transaction will result from the process we have undertaken to assess strategic alternatives, the negotiation and consummation of any such transaction will require significant time on the part of our management, and the diversion of management’s attention may disrupt the orderly operation of our company. The negotiation and consummation of any such transaction may also require more time or greater cash resources than we anticipate and expose us to other operational and financial risks, including:</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near-term and long-term expenditures;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unknown liabilities;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higher than expected acquisition, disposition or integration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incurrence of substantial debt or dilutive issuances of equity securities to fund future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write-downs of assets or incurrence of non-recurring, impairment or other charges;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and cost in combining the operations and personnel of any acquired business with our operations and personnel;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relationships with key suppliers or customers of any acquired business due to changes in management and ownership;</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retain key employees of our company or any acquired business;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possibility of future litigation.</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Any of the foregoing risks could have a material adverse effect on our business, financial condition and prospects.</w:t>
      </w:r>
    </w:p>
    <w:p>
      <w:pPr>
        <w:spacing w:after="0" w:line="106"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b w:val="1"/>
          <w:bCs w:val="1"/>
          <w:i w:val="1"/>
          <w:iCs w:val="1"/>
          <w:color w:val="auto"/>
        </w:rPr>
        <w:t>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5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529"/>
        </w:rPr>
        <w:t>There can be no assurance that a strategic transaction will be pursued or completed, and, whether or not such strategic transaction is completed, our board of directors may decide to pursue a dissolution and liquidation of our company.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not be able to commercialize, or will be delayed in commercializing, our drug candidates, and our ability to generate revenue will be materially impaired.</w:t>
      </w:r>
    </w:p>
    <w:p>
      <w:pPr>
        <w:spacing w:after="0" w:line="13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p>
    <w:p>
      <w:pPr>
        <w:spacing w:after="0" w:line="1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drug candidates could fail to receive regulatory approval for many reasons, including the following:</w:t>
      </w:r>
    </w:p>
    <w:p>
      <w:pPr>
        <w:spacing w:after="0" w:line="104" w:lineRule="exact"/>
        <w:rPr>
          <w:sz w:val="20"/>
          <w:szCs w:val="20"/>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drug candidate’s risk-benefit ratio for its proposed indication is acceptable;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spacing w:after="0" w:line="28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spacing w:after="0" w:line="2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3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spacing w:after="0" w:line="28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GLP regulations and GCP regulations for any clinical trials that we conduct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61" w:lineRule="exact"/>
        <w:rPr>
          <w:sz w:val="20"/>
          <w:szCs w:val="20"/>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drug candidates, withdrawal of the drug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drug product;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drug candidates;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Recently,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changes in the leadership of the FDA and other federal agencies under the new Trump administration may lead to new policies and changes in the regulations that could increase our compliance costs or delay our clinical development and timelines. We cannot predict the full impact of this decision, future judicial challenges brought against the FDA, or the nature or extent of government regulation that may arise from future legislation or administrative action.</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 and could require us to expend significant time and resources in response and could generate negative publicity.</w:t>
      </w:r>
    </w:p>
    <w:p>
      <w:pPr>
        <w:spacing w:after="0" w:line="32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the outcome of the 2024 federal elections, funding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the outcome of the 2024 federal elections, changes in the administration,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To the extent the FDA’s normal operations are disrupted or delayed, for example due to the outcome of the 2024 federal elections, changes in the administration, travel restrictions, public health or geopolitical issues, staffing shortages,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95"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or OIG, raised concerns with FDA’s accelerated approval of three of the 24 drugs review by OIG. It is unclear how this OIG report, future policy changes, changes in the leadership of FDA, and new FDA regulations, including those that may be implemented under the new Trump administration, will impact new drug applications and our clinical development programs.</w:t>
      </w:r>
    </w:p>
    <w:p>
      <w:pPr>
        <w:spacing w:after="0" w:line="29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p>
    <w:p>
      <w:pPr>
        <w:spacing w:after="0" w:line="6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drug product labeling;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drug products; or</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1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spacing w:after="0" w:line="3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judicial challenges in view of the Supreme Court’s overruling of the </w:t>
      </w:r>
      <w:r>
        <w:rPr>
          <w:rFonts w:ascii="Arial" w:cs="Arial" w:eastAsia="Arial" w:hAnsi="Arial"/>
          <w:sz w:val="18"/>
          <w:szCs w:val="18"/>
          <w:i w:val="1"/>
          <w:iCs w:val="1"/>
          <w:color w:val="auto"/>
        </w:rPr>
        <w:t>Chevron</w:t>
      </w:r>
      <w:r>
        <w:rPr>
          <w:rFonts w:ascii="Arial" w:cs="Arial" w:eastAsia="Arial" w:hAnsi="Arial"/>
          <w:sz w:val="18"/>
          <w:szCs w:val="18"/>
          <w:color w:val="auto"/>
        </w:rPr>
        <w:t xml:space="preserve"> doctrine, other legislative, executive, and administrative actions and any future healthcare measures and agency rules implemented by the new Trump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18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spacing w:after="0" w:line="1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recently authorized the state of Florida to develop Section 804 Importation Programs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6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drug candidates, if we obtain regulatory approval;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drug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drug product;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6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jc w:val="both"/>
        <w:ind w:left="1020" w:hanging="503"/>
        <w:spacing w:after="0" w:line="252"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5" w:lineRule="exact"/>
        <w:rPr>
          <w:sz w:val="20"/>
          <w:szCs w:val="20"/>
          <w:color w:val="auto"/>
        </w:rPr>
      </w:pPr>
    </w:p>
    <w:p>
      <w:pPr>
        <w:jc w:val="both"/>
        <w:ind w:left="503"/>
        <w:spacing w:after="0"/>
        <w:rPr>
          <w:sz w:val="20"/>
          <w:szCs w:val="20"/>
          <w:color w:val="auto"/>
        </w:rPr>
      </w:pPr>
      <w:r>
        <w:rPr>
          <w:rFonts w:ascii="Arial" w:cs="Arial" w:eastAsia="Arial" w:hAnsi="Arial"/>
          <w:sz w:val="18"/>
          <w:szCs w:val="18"/>
          <w:color w:val="auto"/>
        </w:rPr>
        <w:t>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72" w:lineRule="exact"/>
        <w:rPr>
          <w:sz w:val="20"/>
          <w:szCs w:val="20"/>
          <w:color w:val="auto"/>
        </w:rPr>
      </w:pPr>
    </w:p>
    <w:p>
      <w:pPr>
        <w:jc w:val="both"/>
        <w:ind w:left="503" w:hanging="503"/>
        <w:spacing w:after="0" w:line="237" w:lineRule="auto"/>
        <w:tabs>
          <w:tab w:leader="none" w:pos="503"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76" w:lineRule="exact"/>
        <w:rPr>
          <w:rFonts w:ascii="Times New Roman" w:cs="Times New Roman" w:eastAsia="Times New Roman" w:hAnsi="Times New Roman"/>
          <w:sz w:val="18"/>
          <w:szCs w:val="18"/>
          <w:color w:val="auto"/>
        </w:rPr>
      </w:pPr>
    </w:p>
    <w:p>
      <w:pPr>
        <w:jc w:val="both"/>
        <w:ind w:left="503" w:hanging="503"/>
        <w:spacing w:after="0" w:line="239" w:lineRule="auto"/>
        <w:tabs>
          <w:tab w:leader="none" w:pos="503"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8" w:lineRule="exact"/>
        <w:rPr>
          <w:rFonts w:ascii="Times New Roman" w:cs="Times New Roman" w:eastAsia="Times New Roman" w:hAnsi="Times New Roman"/>
          <w:sz w:val="18"/>
          <w:szCs w:val="18"/>
          <w:color w:val="auto"/>
        </w:rPr>
      </w:pPr>
    </w:p>
    <w:p>
      <w:pPr>
        <w:jc w:val="both"/>
        <w:ind w:left="503" w:hanging="503"/>
        <w:spacing w:after="0" w:line="239" w:lineRule="auto"/>
        <w:tabs>
          <w:tab w:leader="none" w:pos="503"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16"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61" w:name="page62"/>
    <w:bookmarkEnd w:id="61"/>
    <w:p>
      <w:pPr>
        <w:spacing w:after="0" w:line="85" w:lineRule="exact"/>
        <w:rPr>
          <w:sz w:val="20"/>
          <w:szCs w:val="20"/>
          <w:color w:val="auto"/>
        </w:rPr>
      </w:pPr>
    </w:p>
    <w:p>
      <w:pPr>
        <w:jc w:val="both"/>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38"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9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03"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3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6"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5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own or in-license worldwide intellectual property rights to our pipeline of small molecule candidates. Where appropriate, we may use strategic collaborations, licensing arrangements or partnerships to accelerate the development and maximize the commercial potential of our programs. For example, we are actively seeking a partner to assist with the development of ATH-1105 through a joint collaboration agreement, provision of non-dilutive funding, or a combination of these and other structures. Any of these relationships may require us to incur non-recurring and other charges, increase our near and long-term expenditures, issue securities that dilute our existing stockholders or disrupt our management and business.</w:t>
      </w:r>
    </w:p>
    <w:p>
      <w:pPr>
        <w:spacing w:after="0" w:line="7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spacing w:after="0" w:line="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Even if we are successful in entering into collaborations involving our drug candidates, these relationships are subject to numerous risks, which may include the following:</w:t>
      </w:r>
    </w:p>
    <w:p>
      <w:pPr>
        <w:spacing w:after="0" w:line="4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drug candidates or may elect not to continue or renew development or commercialization of our drug candidates based on clinical trial results, changes in their strategic focus due to the acquisition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5" w:lineRule="exact"/>
        <w:rPr>
          <w:sz w:val="20"/>
          <w:szCs w:val="20"/>
          <w:color w:val="auto"/>
        </w:rPr>
      </w:pPr>
    </w:p>
    <w:p>
      <w:pPr>
        <w:ind w:left="1020" w:right="20"/>
        <w:spacing w:after="0" w:line="271" w:lineRule="auto"/>
        <w:rPr>
          <w:sz w:val="20"/>
          <w:szCs w:val="20"/>
          <w:color w:val="auto"/>
        </w:rPr>
      </w:pPr>
      <w:r>
        <w:rPr>
          <w:rFonts w:ascii="Arial" w:cs="Arial" w:eastAsia="Arial" w:hAnsi="Arial"/>
          <w:sz w:val="18"/>
          <w:szCs w:val="18"/>
          <w:color w:val="auto"/>
        </w:rPr>
        <w:t>competitive products, availability of funding or other external factors, such as a business combination that diverts resources or creates competing priorities;</w:t>
      </w:r>
    </w:p>
    <w:p>
      <w:pPr>
        <w:spacing w:after="0" w:line="46" w:lineRule="exact"/>
        <w:rPr>
          <w:sz w:val="20"/>
          <w:szCs w:val="20"/>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drug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drug products may not commit sufficient resources to their marketing and distribution;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drug candidates;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drug products that results from our collaborating with them, and in such cases, we would not have the exclusive right to commercialize such intellectual property.</w:t>
      </w:r>
    </w:p>
    <w:p>
      <w:pPr>
        <w:spacing w:after="0" w:line="4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spacing w:after="0" w:line="38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61"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5"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6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5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15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5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8" w:lineRule="exact"/>
        <w:rPr>
          <w:sz w:val="20"/>
          <w:szCs w:val="20"/>
          <w:color w:val="auto"/>
        </w:rPr>
      </w:pPr>
    </w:p>
    <w:p>
      <w:pPr>
        <w:jc w:val="both"/>
        <w:ind w:left="102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drug candidates according to our specifications;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2024, legislative proposals were passed in the House of Representatives and referred to the Senate that would have limited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 recent example of a change in policy that may impact our reliance on foreign third parties, the U.S. government instituted a new set of rules, effective April 8, 2025, that will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will require U.S. businesses to seek assurances from all foreign parties with which they share sensitive data (under certain 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Relatedly, the United States has recently enacted and proposed to enact significant new tariffs.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third party services.</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cannot predict what products and services may be subject to such actions or what actions may be taken by the other countries in retaliation, any of which may materially and adversely affect our business, financial condition, results of operations, and cash flows.</w:t>
      </w:r>
    </w:p>
    <w:p>
      <w:pPr>
        <w:spacing w:after="0" w:line="26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5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spacing w:after="0" w:line="29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3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Ability to Commercialize our Drug Products</w:t>
      </w:r>
    </w:p>
    <w:p>
      <w:pPr>
        <w:spacing w:after="0" w:line="10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Even if approved, our drug candidates may not achieve adequate market acceptance among physicians, patients, healthcare payors and others in the medical community necessary for commercial success.</w:t>
      </w:r>
    </w:p>
    <w:p>
      <w:pPr>
        <w:spacing w:after="0" w:line="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spacing w:after="0" w:line="6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drug candidate as well as competitive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drug candidate is approved;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of physician acceptance of FDA-approved therapies for target indications;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drug candidates, such as boxed warnings or contraindications in labeling, or a REMS, if any, which may not be required of alternative treatments and competitor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our drug candidates over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drug candidate for use as a combination therapy;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drug products or drug candidates or similar approved products or product candidates in development by third parties;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27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have never commercialized a drug candidate before and may lack the necessary expertise, personnel and resources to successfully commercialize any drug products on our own or together with suitable collaborators.</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cs="Arial" w:eastAsia="Arial" w:hAnsi="Arial"/>
          <w:sz w:val="18"/>
          <w:szCs w:val="18"/>
          <w:color w:val="212529"/>
        </w:rPr>
        <w:t>.</w:t>
      </w:r>
    </w:p>
    <w:p>
      <w:pPr>
        <w:spacing w:after="0" w:line="17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212529"/>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cs="Arial" w:eastAsia="Arial" w:hAnsi="Arial"/>
          <w:sz w:val="18"/>
          <w:szCs w:val="18"/>
          <w:color w:val="000000"/>
        </w:rPr>
        <w:t>.</w:t>
      </w:r>
    </w:p>
    <w:p>
      <w:pPr>
        <w:spacing w:after="0" w:line="2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the market opportunity for any drug candidate that we develop is smaller than we believe, our revenue may be adversely affected and our business may suffer.</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spacing w:after="0" w:line="29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drug candidates.</w:t>
      </w:r>
    </w:p>
    <w:p>
      <w:pPr>
        <w:spacing w:after="0" w:line="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drug candidates or drug products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drug 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drug candidate;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6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p>
    <w:p>
      <w:pPr>
        <w:spacing w:after="0" w:line="5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spacing w:after="0" w:line="18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80"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5"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spacing w:after="0" w:line="18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cs="Arial" w:eastAsia="Arial" w:hAnsi="Arial"/>
          <w:sz w:val="18"/>
          <w:szCs w:val="18"/>
          <w:color w:val="212529"/>
        </w:rPr>
        <w:t>.</w:t>
      </w:r>
    </w:p>
    <w:p>
      <w:pPr>
        <w:spacing w:after="0" w:line="18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529"/>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212529"/>
        </w:rPr>
        <w:t>changes. The downward pressure on healthcare costs in general, particularly prescription drugs and surgical procedures and other treatments, has become very intense. As a result, increasingly high barriers are being erected to the entry of new products</w:t>
      </w:r>
      <w:r>
        <w:rPr>
          <w:rFonts w:ascii="Arial" w:cs="Arial" w:eastAsia="Arial" w:hAnsi="Arial"/>
          <w:sz w:val="18"/>
          <w:szCs w:val="18"/>
          <w:color w:val="000000"/>
        </w:rPr>
        <w:t>.</w:t>
      </w:r>
    </w:p>
    <w:p>
      <w:pPr>
        <w:spacing w:after="0" w:line="264" w:lineRule="exact"/>
        <w:rPr>
          <w:sz w:val="20"/>
          <w:szCs w:val="20"/>
          <w:color w:val="auto"/>
        </w:rPr>
      </w:pPr>
    </w:p>
    <w:p>
      <w:pPr>
        <w:ind w:right="20" w:firstLine="509"/>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marketing our drug candidates internationally may materially adversely affect our business.</w:t>
      </w:r>
    </w:p>
    <w:p>
      <w:pPr>
        <w:spacing w:after="0" w:line="3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We plan to eventually seek regulatory approval of our drug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46" w:lineRule="exact"/>
        <w:rPr>
          <w:sz w:val="20"/>
          <w:szCs w:val="20"/>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health epidemics on our ability to produce our drug candidates and conduct clinical trials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spacing w:after="0" w:line="61" w:lineRule="exact"/>
        <w:rPr>
          <w:sz w:val="20"/>
          <w:szCs w:val="20"/>
          <w:color w:val="auto"/>
        </w:rPr>
      </w:pPr>
    </w:p>
    <w:p>
      <w:pPr>
        <w:jc w:val="both"/>
        <w:ind w:left="1020" w:hanging="503"/>
        <w:spacing w:after="0" w:line="252"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patents and patent applications may be challenged, invalidated, modified, revoked, circumvented, found to be unenforceable or otherwise may not provide any competitive advantage;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patent laws in the United States or in other countries may limit the ability to obtain, defend or enforce patents, or may apply retroactively to affect the term or scope of patents;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or term of patent protection both inside and outside the United States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for disease treatments that prove successful, as a matter of public policy regarding worldwide health concerns; and</w:t>
      </w:r>
    </w:p>
    <w:p>
      <w:pPr>
        <w:spacing w:after="0" w:line="104" w:lineRule="exact"/>
        <w:rPr>
          <w:sz w:val="20"/>
          <w:szCs w:val="20"/>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1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27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challenging our patent rights. An adverse determination in any such submission, proceeding or litigation could reduce the scope or term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1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example, in view of the lawsuits disclosed elsewhere in this report including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and certain of our directors and executive officers have been, and may in the future be, named as defendants in lawsuits that could result in substantial costs and divert management’s attention</w:t>
      </w:r>
      <w:r>
        <w:rPr>
          <w:rFonts w:ascii="Arial" w:cs="Arial" w:eastAsia="Arial" w:hAnsi="Arial"/>
          <w:sz w:val="18"/>
          <w:szCs w:val="18"/>
          <w:color w:val="auto"/>
        </w:rPr>
        <w:t>,” and in “Part I, Item 3 – Legal Proceedings,” third parties may challenge the validity or</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though we own patents and patent applications covering our small molecule drug candidates, our patents and any future patents we obtain may not effectively prevent others from developing or commercializing products similar to our drug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supplemental 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ATH-1105, our small molecule drug candidate currently in development for the potential treatment of ALS, was independently developed by us and is not covered by nor subject to the WSU license agreement.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6" w:lineRule="exact"/>
        <w:rPr>
          <w:sz w:val="20"/>
          <w:szCs w:val="20"/>
          <w:color w:val="auto"/>
        </w:rPr>
      </w:pPr>
    </w:p>
    <w:p>
      <w:pPr>
        <w:ind w:left="1020" w:right="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drug candidates but that are not covered by the claims of the patents that we own or license;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5" w:lineRule="exact"/>
        <w:rPr>
          <w:sz w:val="20"/>
          <w:szCs w:val="20"/>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file patent applications covering certain of our or their inventions;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2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5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6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drug candidates until the asserted patent expires or is held finally invalid or not infringed in a court of law;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8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drug candidates through acquisitions and in-licenses.</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29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5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drug product and practicing our own patented technology.</w:t>
      </w:r>
    </w:p>
    <w:p>
      <w:pPr>
        <w:spacing w:after="0" w:line="26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or legal proceedings may lead to unfavorable publicity that harms our reputation and causes the market price of our common stock to decline.</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spacing w:after="0" w:line="2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0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5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29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drug candidates.</w:t>
      </w:r>
    </w:p>
    <w:p>
      <w:pPr>
        <w:spacing w:after="0" w:line="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drug candidates for an adequate amount of time.</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drug candidates, our business may be materially harmed.</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8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5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 of third parties.</w:t>
      </w:r>
    </w:p>
    <w:p>
      <w:pPr>
        <w:spacing w:after="0" w:line="3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6"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303"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drug candidates may be subject, in part, to the terms and conditions of licenses granted to us by others.</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spacing w:after="0" w:line="29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Disputes may arise between us and our current or future licensors regarding intellectual property and other rights subject to a license agreement, including:</w:t>
      </w:r>
    </w:p>
    <w:p>
      <w:pPr>
        <w:spacing w:after="0" w:line="4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drug candidates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to third parties;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5"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spacing w:after="0" w:line="180" w:lineRule="exact"/>
        <w:rPr>
          <w:sz w:val="20"/>
          <w:szCs w:val="20"/>
          <w:color w:val="auto"/>
        </w:rPr>
      </w:pPr>
    </w:p>
    <w:p>
      <w:pPr>
        <w:jc w:val="both"/>
        <w:ind w:right="20" w:firstLine="509"/>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drug candidates may be dependent on third parties.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9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5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Pursuant to the Bayh-Dole Act of 1980, or the Bayh-Dole Act, the U.S. government may have certain rights in any invention developed or reduced to practice with government funding. We have in the past, and we may in the future, discovered, developed, acquired, or licensed new intellectual property that has been generated through the use of U.S. government funding or grants in which the U.S. government may have certain rights pursuant to the Bayh-Dole Act. These U.S. government rights include a non-exclusive,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Cybersecurity</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discussed in the section of this report titled "Part 1, Item 1.C—Cybersecurity,"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that could materially disrupt our systems and operations, supply chain, and ability to produce, sell and distribute our goods and services.</w:t>
      </w:r>
    </w:p>
    <w:p>
      <w:pPr>
        <w:spacing w:after="0" w:line="2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1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18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p>
    <w:p>
      <w:pPr>
        <w:spacing w:after="0" w:line="5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have in the past and we may in the future fail to comply with the Nasdaq listing rules, including, the minimum $1.00 per share closing bid price requirement, the minimum $50.0 million market value of listed securities requirement, and the minimum $15.0 million market value of publicly held shares requirement. From September 4, 2024 to February 26, 2025, our common stock has had a closing bid price below the minimum $1.00 requirement and the market value of our listed securities has been below the minimum $50 million requirement. We received a deficiency notice from Nasdaq with respect to the closing bid price requirement on October 16, 2024. If our common stock ceases to be listed for trading on the Nasdaq for failure to comply with the minimum $1.00 per share closing bid price requirement, the $50 million market value of listed securities requirement, or for any other reason, it may harm our stock price, increase the volatility of our stock price, decrease the level of trading activity and make it more difficult for investors to buy or sell shares of our common stock. If we are not listed on the Nasdaq, our ability to raise capital will be adversely impacted. Trading in our common stock may also be halted or suspended in the future on the Nasdaq due to market or trading conditions at the discretion of the Nasdaq. Any halt or suspension in the trading in our common stock may negatively impact the market price of our common stock.</w:t>
      </w:r>
    </w:p>
    <w:p>
      <w:pPr>
        <w:spacing w:after="0" w:line="29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do not know whether an active market for our common stock will be sustained, and, as a result, it may be difficult for you to sell your shares of our common stock.</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p>
    <w:p>
      <w:pPr>
        <w:spacing w:after="0" w:line="28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which could result in substantial losses for investors.</w:t>
      </w:r>
    </w:p>
    <w:p>
      <w:pPr>
        <w:spacing w:after="0" w:line="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4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drug candidates and any future drug candidates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drug candidates;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drug candidates of our competitors, or announcements about new research programs or drug candidates of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5" w:lineRule="exact"/>
        <w:rPr>
          <w:sz w:val="20"/>
          <w:szCs w:val="20"/>
          <w:color w:val="auto"/>
        </w:rPr>
      </w:pPr>
    </w:p>
    <w:p>
      <w:pPr>
        <w:ind w:left="10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 including in connection with our workforce reduction announced in September 2024;</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negative press coverage;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status of any litigation and/or government investigations, including the potential commencement of additional litigation or investigations;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an investigation into our former CEO, Leen Kawas, by WSU;</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drug candidates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drug candidates or drug products;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 including, but not limited to, under our ATM offering;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with the banking system;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health epidemics on our business;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direct or indirect impacts on our business, our suppliers and other third parties and our clinical sites as a result of geopolitical events, including the Russia-Ukraine war;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“Part I, Item 1A – Risk Factors” section.</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9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and may in the future be, named as defendants in lawsuits that could result in substantial costs and divert management’s attention.</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described elsewhere in this report in “Part I, Item 3 – Legal Proceedings,” we and certain of our executive officers and directors were named as defendants in a class action lawsuit that generally alleged that we and certain of our officers and directors violated Sections 10(b) and 20(a) of the Exchange Act and Rule 10b-5 promulgated thereunder and Sections 11, 12, and 15 of the Securities Act by making allegedly false or misleading statements and omitting material adverse facts regarding our business. Certain of our executive officers and directors were also named as defendants in derivative actions, which were based on similar allegations, and generally alleged that defendants breached their fiduciary duties to us, among other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things. We were named as a nominal defendant in these derivative proceedings. These complaints sought unspecified compensatory and punitive damages, and reasonable costs and expenses, including attorneys’ fees, and other relief. Although we have insurance, it provides for a substantial retention of liability and is subject to limitations and may not cover a significant portion, or any, of the expenses or liabilities we may incur or be subject to in connection with any class action lawsuit or other litigation to which we become party. Moreover, any conclusion of such matters in a manner adverse to us and for which we incur substantial costs or damages not covered by our directors’ and officers’ liability insurance would have a material adverse effect on our financial condition and business. In addition, such litigation would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93" w:lineRule="exact"/>
        <w:rPr>
          <w:sz w:val="20"/>
          <w:szCs w:val="20"/>
          <w:color w:val="auto"/>
        </w:rPr>
      </w:pPr>
    </w:p>
    <w:p>
      <w:pPr>
        <w:ind w:right="460" w:firstLine="509"/>
        <w:spacing w:after="0" w:line="278" w:lineRule="auto"/>
        <w:rPr>
          <w:sz w:val="20"/>
          <w:szCs w:val="20"/>
          <w:color w:val="auto"/>
        </w:rPr>
      </w:pPr>
      <w:r>
        <w:rPr>
          <w:rFonts w:ascii="Arial" w:cs="Arial" w:eastAsia="Arial" w:hAnsi="Arial"/>
          <w:sz w:val="18"/>
          <w:szCs w:val="18"/>
          <w:b w:val="1"/>
          <w:bCs w:val="1"/>
          <w:i w:val="1"/>
          <w:iCs w:val="1"/>
          <w:color w:val="auto"/>
        </w:rPr>
        <w:t>Actions by activist stockholders have in the past been, and may in the future be, disruptive and could cause uncertainty about the strategic direction of our business.</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may interfere with any efforts that we undertake in the future to raise capital;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30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8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directors, executive officers, significant holders of our outstanding common stock and their respective affiliates beneficially own a substantial amount of our outstanding common stock as of December 31, 2024.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6"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the Sarbanes-Oxley Act,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9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Failure to build and maintain our finance infrastructure and improve our accounting systems and controls could impair our ability to comply with the financial reporting and internal controls requirements for publicly traded companies.</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8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68" w:lineRule="exact"/>
        <w:rPr>
          <w:sz w:val="20"/>
          <w:szCs w:val="20"/>
          <w:color w:val="auto"/>
        </w:rPr>
      </w:pPr>
    </w:p>
    <w:p>
      <w:pPr>
        <w:ind w:left="1020" w:right="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5" w:lineRule="exact"/>
        <w:rPr>
          <w:sz w:val="20"/>
          <w:szCs w:val="20"/>
          <w:color w:val="auto"/>
        </w:rPr>
      </w:pPr>
    </w:p>
    <w:p>
      <w:pPr>
        <w:ind w:left="1020" w:right="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95"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The loss of any of our key personnel could significantly harm our business, results of operations and competitive position.</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organizational restructuring we undertook in September 2024 that significantly reduced our workforce, including the departure of our chief business officer and chief financial officer and our chief operating officer and chief development officer,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spacing w:after="0" w:line="2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99"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30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8"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potential effects of health epidemics could adversely impact our business, including our nonclinical studies and clinical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trials.</w:t>
      </w:r>
    </w:p>
    <w:p>
      <w:pPr>
        <w:spacing w:after="0" w:line="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spacing w:after="0" w:line="46"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such diseases on cognition of the subjects enrolled in our clinical trials;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85"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drug candidates from our contract manufacturing organizations due to staffing shortages, production slowdowns or stoppages and disruptions in delivery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difficulties or delays arising in our existing operations and company culture as a result of some or all of our employees working remotely;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03"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Attention to ESG (environmental, social and governance) matters may cause us to incur additional costs or expose us to additional risks.</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Strategy</w:t>
      </w:r>
    </w:p>
    <w:p>
      <w:pPr>
        <w:spacing w:after="0" w:line="104" w:lineRule="exact"/>
        <w:rPr>
          <w:sz w:val="20"/>
          <w:szCs w:val="20"/>
          <w:color w:val="auto"/>
        </w:rPr>
      </w:pPr>
    </w:p>
    <w:p>
      <w:pPr>
        <w:jc w:val="both"/>
        <w:ind w:firstLine="909"/>
        <w:spacing w:after="0" w:line="253" w:lineRule="auto"/>
        <w:rPr>
          <w:sz w:val="20"/>
          <w:szCs w:val="20"/>
          <w:color w:val="auto"/>
        </w:rPr>
      </w:pPr>
      <w:r>
        <w:rPr>
          <w:rFonts w:ascii="Arial" w:cs="Arial" w:eastAsia="Arial" w:hAnsi="Arial"/>
          <w:sz w:val="18"/>
          <w:szCs w:val="18"/>
          <w:color w:val="auto"/>
        </w:rPr>
        <w:t>We have implemented various processes and policies for identifying, assessing, and managing material risks from cybersecurity threats. Our cybersecurity risk management strategy is designed following the Cybersecurity Framework set by the National Institute of Standard and Technology, or NIST.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assess our information technology, or IT, environment against the NIST Cybersecurity Framework, as well as various cyber-attack vectors, working to identify and remediate risks. We implement reasonable administrative, technical and procedural safeguards to manage cybersecurity risks, for example, by enforcing single sign-on or multi-factor authentication where supported, and the use of mobile device management to secure company resources on employee personal devices. Additionally, we engage third-party cybersecurity experts to assess the security of our network and perform continuous system monitoring, and we engage a third party to perform internal audits of our IT General Controls, or ITGCs. We have implemented certain processes to oversee and identify risks from cybersecurity threats associated with our use of third-party service providers, for example, by evaluating such service providers’ own cybersecurity processes and reviewing available certification and audit reports, including International Organization for Standardization, or ISO, certifications for information security management systems, and System and Organization Controls, or SOC, reports.</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At this time, we have not experienced cybersecurity incidents, or are aware of any risks from cybersecurity threats, that have materially affected or are reasonably likely to materially affect us, including our business strategy, results of operations,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Board of Directors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board of directors is responsible for general oversight and regular review of information regarding our risks, including cybersecurity risks. Members of management communicate an overview of our current cybersecurity environment to our board of directors at least annually and provide updates to our board of directors regarding cybersecurity matters periodically throughout the year. Additionally, our third-party auditors inform the audit committee of our board of directors of our ITGC framework and control testing results, which include controls related to cybersecurity risks. Further, management has established cybersecurity incident response processes for escalating the communication of cybersecurity incidents up to the board of directors, as appropriate.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Management</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Material risks from cybersecurity threats are assessed and managed by a dedicated team comprised of internal and external IT professionals experienced in cybersecurity threat risk management, who ultimately report to our senior vice president, finance and accounting. Our senior vice president, finance and accounting has extensive operational and leadership experience overseeing accounting and finance functions at various organizations, including oversight of critical accounting and finance IT systems. Our senior IT consultant has over 20 years of experience with IT and cybersecurity risk management, having served in senior executive-level IT positions at multiple Fortune 500 companies and companies within the life sciences industry.</w:t>
      </w:r>
    </w:p>
    <w:p>
      <w:pPr>
        <w:spacing w:after="0" w:line="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team of IT professionals, which continuously monitors our IT environment for cybersecurity threats and incidents, routinely reports on cybersecurity incident prevention, detection, mitigation, and remediation efforts to our senior vice president, finance and accounting and chief compliance officer. Additionally, we have established policies addressing processes for responding to potential cybersecurity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incidents, including assessment, communication, and remediation protocols. Our incident response processes further provide for the escalation of cybersecurity incidents to our executive management team and board of directors, as appropriate.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 in which we have been involved.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1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Starting in June 2021, putative securities class action lawsuits were filed in the U.S. District Court for the Western District of Washington against us and certain of our current and former members of management and the board of directors. After these lawsuits were consolidated and lead plaintiffs were appointed to represent the putative class, lead plaintiffs filed a consolidated amended complaint on January 7, 2022, which asserted violations of Sections 10(b) and 20(a) of the Exchange Act and SEC Rule 10b-5 and Sections 11, 12, and 15 of the Securities Act. The consolidated amended complaint alleged that our initial public offering, or IPO, and secondary public offering, or SPO, registration statements and/or other public statements were materially false and misleading because they omitted to state that certain of our former CEO’s published doctoral research papers at Washington State University, or WSU, contained allegedly improperly altered images. Lead plaintiffs sought unspecified compensatory damages, as well as equitable and injunctive relief on behalf of themselves and the purported class. On July 29, 2022, the court issued an order granting in part and denying in part the defendant’s motion to dismiss. The order dismissed the Section 10(b) and Section 20(a) claims arising under the Exchange Act, dismissed the Section 11 claim arising under the Securities Act as to all defendants other than the Company and our former CEO, dismissed the Section 12(a)(2) claim arising under the Securities Act as to the lead plaintiffs, and dismissed the Section 15 claim arising under the Securities Act against all defendants other than our former CEO. On November 4, 2022, we and our former CEO filed our individual answers to the consolidated amended complaint. In mid-November 2022, the parties began conducting fact discovery.</w:t>
      </w:r>
    </w:p>
    <w:p>
      <w:pPr>
        <w:spacing w:after="0" w:line="18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March 29, 2024, following a mediation and the parties’ agreement in the fourth quarter of 2022 to settle the securities class action for $10 million subject to the court’s approval, the court entered an order preliminarily approving a settlement of the securities class action.</w:t>
      </w:r>
    </w:p>
    <w:p>
      <w:pPr>
        <w:spacing w:after="0" w:line="15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November 1, 2024, following class notice and a final approval hearing, the court entered a final written judgment and order granting final approval of the settlement and closed the case.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of the foregoing, we recorded a legal settlement expense of $10.0 million in operating expenses in the fourth quarter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An accrued liability of $10.0 million was recorded on the accompanying condensed consolidated balance sheets as of December 31,</w:t>
      </w:r>
    </w:p>
    <w:p>
      <w:pPr>
        <w:jc w:val="both"/>
        <w:spacing w:after="0"/>
        <w:rPr>
          <w:sz w:val="20"/>
          <w:szCs w:val="20"/>
          <w:color w:val="auto"/>
        </w:rPr>
      </w:pPr>
      <w:r>
        <w:rPr>
          <w:rFonts w:ascii="Arial" w:cs="Arial" w:eastAsia="Arial" w:hAnsi="Arial"/>
          <w:sz w:val="18"/>
          <w:szCs w:val="18"/>
          <w:color w:val="auto"/>
        </w:rPr>
        <w:t>2023. Additionally, we recorded an insurance recovery of $1.6 million in operating expenses in the fourth quarter of 2023 and an insurance recovery receivable of $ 1.6 million on the accompanying condensed consolidated balance sheets as of December 31, 2023. This insurance recovery represents the amount of the settlement covered by our insurers. We and our insurance providers paid the settlement fee during 2024 and no further liability exists following the court granting final approval of the settlement and closing the case in November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Derivative Actions</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Starting in April 2022, shareholder derivative actions were filed in the U.S. District Court for the Western District of Washington against certain current and former members of our board of directors. The derivative complaints alleged that our board of directors breached its fiduciary duties by failing to prevent alleged misstatements in our public filings, failing to discover altered images in certain research papers, and failing to take appropriate action. The derivative complaints asserted claims for violations of Section 14(a) of the Exchange Act as well as claims for breach of fiduciary duty, contribution and indemnification, aiding and abetting, and waste of corporate assets.</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May 26, 2022, the court issued an order consolidating the derivative cases and staying them until further order of the court. On March 18, 2024, following a mediation and the parties entering into a stipulation of settlement to settle the consolidated derivative action for certain corporate governance reforms and the payment of a fee and expense award to plaintiffs’ counsel, plaintiffs filed an unopposed motion for preliminary approval of a settlement of the derivative action. On July 18, 2024, the court entered an order and judgment granting plaintiffs’ motion for final approval of derivative settlement, finding the settlement to be fair, reasonable, and adequate to the settling parties and our shareholders, and dismissing the derivative action with prejudice.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paid the fee and expense award related to this shareholder derivative action settlement during the third quarter of 2024.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Investigation</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November 2022, we received a Civil Investigative Demand from the Civil Division of the Department of Justice, or the Demand. The Demand sought documents and information relating to our relationship with WSU, certain of our grant applications in 2016 and 2019 with the NIH and our receipt of a NIH grant in 2020. We cooperated with the Department of Justice with respect to the Demand.</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In September 2024, we reached an agreement in principle (subject to approvals within the Department of Justice and the Office of Inspector General of the U.S. Department of Health and Humans Service) to settle the Department of Justice’s claims, including alleged violations of the False Claims Act in connection with the NIH grant applications and our receipt of an NIH grant in connection with one of those applications. This agreement also included the same claims alleged in a confidential, sealed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On December 31, 2024, we entered into a settlement agreement with the Department of Justice, OIG-HHS, and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relator in which we agreed to pay approximately $4.1 million.</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recorded a legal expense of $4.1 million based on developments in the third quarter of 2024 and a corresponding accrued liability on the accompanying consolidated balance sheets as of December 31, 2024. We paid the $4.1 million settlement in January 2025.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000"/>
        <w:spacing w:after="0" w:line="3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jc w:val="both"/>
        <w:ind w:firstLine="509"/>
        <w:spacing w:after="0" w:line="271" w:lineRule="auto"/>
        <w:rPr>
          <w:sz w:val="20"/>
          <w:szCs w:val="20"/>
          <w:color w:val="auto"/>
        </w:rPr>
      </w:pPr>
      <w:r>
        <w:rPr>
          <w:rFonts w:ascii="Arial" w:cs="Arial" w:eastAsia="Arial" w:hAnsi="Arial"/>
          <w:sz w:val="18"/>
          <w:szCs w:val="18"/>
          <w:color w:val="auto"/>
        </w:rPr>
        <w:t>Our common stock began trading on The Nasdaq Global Select Market under the symbol “ATHA” on September 18, 2020. Prior to that date, there was no public trading market for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February 20, 2025, there were approximately 41 holders of record of our common stock. Because many of our shares are held by brokers and other institutions on behalf of shareholders, we are unable to estimate the total number of shareholders represented by these record 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currently intend to retain all available funds and future earnings to fund the development and growth of our business and we do not anticipate paying any cash dividends in the foreseeable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201(e)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clinical-stage biopharmaceutical company focused on developing small molecules engineered to restore neuronal health and slow neurodegeneration. Our approach is designed to modulate the neurotrophic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CNS, by crossing the BBB, or the PNS.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Athira is actively reviewing options for partnerships or arrangements that will allow it to realize the potential of its drug candidates. Our lead drug candidate is ATH-1105. ATH-1105 is a novel, orally available, brain-penetrant, next-generation small molecule drug candidate designed to positively modulate the neurotrophic HGF system for potential treatment of neurodegenerative diseases, including amyotrophic lateral sclerosis, or ALS, and Alzheimer's disease, or AD, and Parkinson’s disease, or PD. ATH-1105 is currently in development for the potential treatment of ALS. We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previous lead drug candidate, fosgonimeton, is a small molecule drug candidate designed to positively modulate the neurotrophic HGF system for potential treatment of neurodegenerative diseases. In September 2024, we announced the topline results for LIFT-AD, a randomized, double-blind, placebo-controlled, parallel-group 26-week Phase 2/3 clinical trial with fosgonimeton in mild-to-moderate AD. The primary and key secondary endpoints of the LIFT-AD trial did not reach statistical significance compared with placebo at 26 weeks. Based on these results, we decided to pause further development of fosgonimeton and to shift our focus to the clinical development of ATH-1105.</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following figure illustrates the current development stage of our proprietary drug candidates and early discovery and development programs, of which only ATH-1105 is currently in clinical development, for the potential treatment of ALS. We have also explored the use of our drug candidates in other indications in the CNS and PNS with the goal of improving neuronal health in multiple neurodegenerative diseases.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 our drug discovery efforts have focused on designing and testing new early compounds to enhance the neurotrophic HGF system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100965</wp:posOffset>
            </wp:positionV>
            <wp:extent cx="5349240" cy="2280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contract manufacturing organizations, or CMOs, to manufacture and supply our preclinical and clinical materials during the development of our drug candidates. We believe the synthesis of ATH-1105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Following our receipt of the topline results of LIFT-AD, we made the determination to explore strategic alternatives focused on maximizing stockholder value. As part of that effort, we have paused further development of fosgonimeton while continuing our ongoing development of ATH-1105 and are exploring partnering options. Despite devoting significant effort to identifying and evaluating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To the extent that we successfully develop our drug candidates, we intend to build a commercial infrastructure to support future sales.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December 31, 2024,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$96.9 million and $ 117.7 million for the years ended December 31, 2024 and 2023, respectively. As of December 31, 2024, we had an accumulated deficit of $406.1 million and cash, cash equivalents and investments of $51.3 million.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operating losses for the foreseeable future as we:</w:t>
      </w:r>
    </w:p>
    <w:p>
      <w:pPr>
        <w:spacing w:after="0" w:line="104"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ATH-1105 and any other drug candidates through preclinical studies and clinical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advance our pipeline of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invest in our drug development programs;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manufacturing activities;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personnel;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our laboratory and office facilities;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and maintain operational, financial and management information systems; and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drug candidates that successfully complete clinical trials.</w:t>
      </w:r>
    </w:p>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2020, we accepted a grant from the National Institutes of Health, or NIH, to support our ACT-AD Phase 2 clinical trial for fosgonimeton. Under the terms of the agreement and approval received from the NIH, we were awarded an aggregate of $15.2 million, all of which had been received as of December 31, 2024. Grant income recognized during the year ended December 31, 2023 of $0.2 million represented the remaining balance of the total $15.2 million approved grant amount available at the beginning of that year. During the year ended December 31, 2023, we received cash of $1.4 million in connection with the NIH grant. There was no grant income recognized or cash received in connection with the NIH grant during the year ended December 31, 2024. We will not recognize any additional grant income in connection with the NIH grant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to Evaluate Strategic Alternatives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Following our receipt of the topline results of LIFT-AD, we made the determination to explore strategic alternatives focused on maximizing stockholder value. As part of that effort, we have paused further development of fosgonimeton and concluded our related open label extension clinical trial while continuing our ongoing development of ATH-1105 and are exploring partnering options.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engaged Cantor Fitzgerald &amp; Co. to act as an advisor in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There can be no assurance that these efforts will result in the pursuit of a transaction or that any transaction, if pursued, will be completed on attractive terms, if at all. We have not set a timetable for completion of this evaluation process and do not intend to disclose further developments unless and until it is determined that further disclosure is appropriate or necessary.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 Reduction</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September 15, 2024, we committed to a workforce reduction that resulted in the termination of approximately 70% of our workforce. We took this step to decrease our costs, extend our cash runway, and create a more streamlined organization to support our strategic priorities, including the continued development of ATH-1105. We substantially completed the Restructuring by December 31, 2024. See Note 13 to our consolidated financial statements included elsewhere in this report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our drug discovery efforts and the development of our drug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stage of program, clinical or preclinical. However, we do not track indirect costs on a program specific basis because these costs are deployed across multiple programs and, as such, are not separately classified.</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to continue to incur research and development expenses for the foreseeable future as we continue to engage in research and development activities related to developing our drug candidates,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 We also expect our research and development expenses to decrease in the near term as a result of our decision to pause further development of fosgonimeton and to shift our focus to the clinical development of ATH-1105.</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p>
    <w:p>
      <w:pPr>
        <w:spacing w:after="0" w:line="61"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strategic alternative review process and the consummation of any resulting strategic transaction or partnership;</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health epidemics on timelines and clinical operations, which may lead to increased costs; and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collaborations, licensing or similar arrangements and the performance of any related third parties.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candidates could significantly change the costs and timing associated with the development of that drug candidate.</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to incur additional costs in connection with our strategic alternative review process and in the event we consummate any strategic transaction or partnership as a result. We also expect these additional general and administrative expenses to be offset, at least in part, in the near term as a result of the Restructuring and related cost savings.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Insurance Recovery Related to Legal Settlement</w:t>
      </w:r>
    </w:p>
    <w:p>
      <w:pPr>
        <w:spacing w:after="0" w:line="2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Insurance recovery related to legal settlement consists of the settlement of the securities class action litigation and the amount covered by our insurers. For more information see Part I, Item 3 “Legal Proceedings—Securities Class Actions".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Grant income consists of income related to the NIH grant and is recognized as qualifying expenses under the grant agreement are incurred. As of December 31, 2024, we had recognized aggregate grant income of $15.2 million in connection with the NIH grant, equal to the total grant amount approved. We will not recognize additional grant income in connection with the NIH grant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6"/>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rPr>
              <w:t>Dollar</w:t>
            </w:r>
          </w:p>
        </w:tc>
        <w:tc>
          <w:tcPr>
            <w:tcW w:w="1040" w:type="dxa"/>
            <w:vAlign w:val="bottom"/>
          </w:tcPr>
          <w:p>
            <w:pPr>
              <w:jc w:val="right"/>
              <w:ind w:right="373"/>
              <w:spacing w:after="0" w:line="147"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7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0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2"/>
        </w:trPr>
        <w:tc>
          <w:tcPr>
            <w:tcW w:w="5080" w:type="dxa"/>
            <w:vAlign w:val="bottom"/>
          </w:tcPr>
          <w:p>
            <w:pPr>
              <w:ind w:left="26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70,682</w:t>
            </w:r>
          </w:p>
        </w:tc>
        <w:tc>
          <w:tcPr>
            <w:tcW w:w="200" w:type="dxa"/>
            <w:vAlign w:val="bottom"/>
          </w:tcPr>
          <w:p>
            <w:pPr>
              <w:spacing w:after="0"/>
              <w:rPr>
                <w:sz w:val="17"/>
                <w:szCs w:val="17"/>
                <w:color w:val="auto"/>
              </w:rPr>
            </w:pP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93,790</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(23,108 )</w:t>
            </w: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(25 )%</w:t>
            </w:r>
          </w:p>
        </w:tc>
      </w:tr>
      <w:tr>
        <w:trPr>
          <w:trHeight w:val="203"/>
        </w:trPr>
        <w:tc>
          <w:tcPr>
            <w:tcW w:w="508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26,093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33,304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(7,211 )</w:t>
            </w:r>
          </w:p>
        </w:tc>
        <w:tc>
          <w:tcPr>
            <w:tcW w:w="13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(22 )</w:t>
            </w:r>
          </w:p>
        </w:tc>
      </w:tr>
      <w:tr>
        <w:trPr>
          <w:trHeight w:val="203"/>
        </w:trPr>
        <w:tc>
          <w:tcPr>
            <w:tcW w:w="5080" w:type="dxa"/>
            <w:vAlign w:val="bottom"/>
          </w:tcPr>
          <w:p>
            <w:pPr>
              <w:ind w:left="260"/>
              <w:spacing w:after="0" w:line="202" w:lineRule="exact"/>
              <w:rPr>
                <w:sz w:val="20"/>
                <w:szCs w:val="20"/>
                <w:color w:val="auto"/>
              </w:rPr>
            </w:pPr>
            <w:r>
              <w:rPr>
                <w:rFonts w:ascii="Arial" w:cs="Arial" w:eastAsia="Arial" w:hAnsi="Arial"/>
                <w:sz w:val="18"/>
                <w:szCs w:val="18"/>
                <w:color w:val="auto"/>
              </w:rPr>
              <w:t>Legal expense</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4,127</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r>
      <w:tr>
        <w:trPr>
          <w:trHeight w:val="203"/>
        </w:trPr>
        <w:tc>
          <w:tcPr>
            <w:tcW w:w="508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Insurance recovery related to legal settlement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(1,628 )</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1,628</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(100 )</w:t>
            </w:r>
          </w:p>
        </w:tc>
      </w:tr>
      <w:tr>
        <w:trPr>
          <w:trHeight w:val="20"/>
        </w:trPr>
        <w:tc>
          <w:tcPr>
            <w:tcW w:w="5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08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100,902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125,466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(24,564 )</w:t>
            </w:r>
          </w:p>
        </w:tc>
        <w:tc>
          <w:tcPr>
            <w:tcW w:w="13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(20 )</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(100,902 )</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(125,466 )</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24,564</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(20 )</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Grant income</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(157 )</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3,962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(3,675 )</w:t>
            </w:r>
          </w:p>
        </w:tc>
        <w:tc>
          <w:tcPr>
            <w:tcW w:w="13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(48 )</w:t>
            </w:r>
          </w:p>
        </w:tc>
      </w:tr>
      <w:tr>
        <w:trPr>
          <w:trHeight w:val="20"/>
        </w:trPr>
        <w:tc>
          <w:tcPr>
            <w:tcW w:w="5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08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(96,940 )</w:t>
            </w:r>
          </w:p>
        </w:tc>
        <w:tc>
          <w:tcPr>
            <w:tcW w:w="18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(117,672 )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20,732</w:t>
            </w:r>
          </w:p>
        </w:tc>
        <w:tc>
          <w:tcPr>
            <w:tcW w:w="200" w:type="dxa"/>
            <w:vAlign w:val="bottom"/>
          </w:tcPr>
          <w:p>
            <w:pPr>
              <w:spacing w:after="0"/>
              <w:rPr>
                <w:sz w:val="17"/>
                <w:szCs w:val="17"/>
                <w:color w:val="auto"/>
              </w:rPr>
            </w:pPr>
          </w:p>
        </w:tc>
        <w:tc>
          <w:tcPr>
            <w:tcW w:w="13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(18 )</w:t>
            </w: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-694055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-694055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-694055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-162560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-162560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660"/>
              <w:spacing w:after="0" w:line="147" w:lineRule="exact"/>
              <w:rPr>
                <w:sz w:val="20"/>
                <w:szCs w:val="20"/>
                <w:color w:val="auto"/>
              </w:rPr>
            </w:pPr>
            <w:r>
              <w:rPr>
                <w:rFonts w:ascii="Arial" w:cs="Arial" w:eastAsia="Arial" w:hAnsi="Arial"/>
                <w:sz w:val="14"/>
                <w:szCs w:val="14"/>
                <w:b w:val="1"/>
                <w:bCs w:val="1"/>
                <w:color w:val="auto"/>
              </w:rPr>
              <w:t>Dollar</w:t>
            </w:r>
          </w:p>
        </w:tc>
        <w:tc>
          <w:tcPr>
            <w:tcW w:w="104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Direct costs:</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40" w:type="dxa"/>
            <w:vAlign w:val="bottom"/>
          </w:tcPr>
          <w:p>
            <w:pPr>
              <w:ind w:left="260"/>
              <w:spacing w:after="0" w:line="202" w:lineRule="exact"/>
              <w:rPr>
                <w:sz w:val="20"/>
                <w:szCs w:val="20"/>
                <w:color w:val="auto"/>
              </w:rPr>
            </w:pPr>
            <w:r>
              <w:rPr>
                <w:rFonts w:ascii="Arial" w:cs="Arial" w:eastAsia="Arial" w:hAnsi="Arial"/>
                <w:sz w:val="18"/>
                <w:szCs w:val="18"/>
                <w:color w:val="auto"/>
              </w:rPr>
              <w:t>Fosgonimeton (ATH-1017)</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41,510</w:t>
            </w: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66,524</w:t>
            </w: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(25,014 )</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ATH-1105</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8,567</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40" w:type="dxa"/>
            <w:vAlign w:val="bottom"/>
          </w:tcPr>
          <w:p>
            <w:pPr>
              <w:ind w:left="260"/>
              <w:spacing w:after="0" w:line="202" w:lineRule="exact"/>
              <w:rPr>
                <w:sz w:val="20"/>
                <w:szCs w:val="20"/>
                <w:color w:val="auto"/>
              </w:rPr>
            </w:pPr>
            <w:r>
              <w:rPr>
                <w:rFonts w:ascii="Arial" w:cs="Arial" w:eastAsia="Arial" w:hAnsi="Arial"/>
                <w:sz w:val="18"/>
                <w:szCs w:val="18"/>
                <w:color w:val="auto"/>
              </w:rPr>
              <w:t>ATH-1020</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(209 )</w:t>
            </w: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Preclinical programs and other direct costs</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(5,039 )</w:t>
            </w: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(76 )</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540" w:type="dxa"/>
            <w:vAlign w:val="bottom"/>
          </w:tcPr>
          <w:p>
            <w:pPr>
              <w:spacing w:after="0" w:line="196" w:lineRule="exact"/>
              <w:rPr>
                <w:sz w:val="20"/>
                <w:szCs w:val="20"/>
                <w:color w:val="auto"/>
              </w:rPr>
            </w:pPr>
            <w:r>
              <w:rPr>
                <w:rFonts w:ascii="Arial" w:cs="Arial" w:eastAsia="Arial" w:hAnsi="Arial"/>
                <w:sz w:val="18"/>
                <w:szCs w:val="18"/>
                <w:color w:val="auto"/>
              </w:rPr>
              <w:t>Total direct costs</w:t>
            </w: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52,152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73,847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(21,695 )</w:t>
            </w: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(28 )</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Indirect costs:</w:t>
            </w: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84"/>
        </w:trPr>
        <w:tc>
          <w:tcPr>
            <w:tcW w:w="580" w:type="dxa"/>
            <w:vAlign w:val="bottom"/>
          </w:tcPr>
          <w:p>
            <w:pPr>
              <w:spacing w:after="0"/>
              <w:rPr>
                <w:sz w:val="15"/>
                <w:szCs w:val="15"/>
                <w:color w:val="auto"/>
              </w:rPr>
            </w:pPr>
          </w:p>
        </w:tc>
        <w:tc>
          <w:tcPr>
            <w:tcW w:w="4540" w:type="dxa"/>
            <w:vAlign w:val="bottom"/>
          </w:tcPr>
          <w:p>
            <w:pPr>
              <w:ind w:left="260"/>
              <w:spacing w:after="0" w:line="183" w:lineRule="exact"/>
              <w:rPr>
                <w:sz w:val="20"/>
                <w:szCs w:val="20"/>
                <w:color w:val="auto"/>
              </w:rPr>
            </w:pPr>
            <w:r>
              <w:rPr>
                <w:rFonts w:ascii="Arial" w:cs="Arial" w:eastAsia="Arial" w:hAnsi="Arial"/>
                <w:sz w:val="18"/>
                <w:szCs w:val="18"/>
                <w:color w:val="auto"/>
              </w:rPr>
              <w:t>Personnel-related costs, including stock-</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1"/>
        </w:trPr>
        <w:tc>
          <w:tcPr>
            <w:tcW w:w="58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based compensation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(1,623 )</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(9 )</w:t>
            </w:r>
          </w:p>
        </w:tc>
        <w:tc>
          <w:tcPr>
            <w:tcW w:w="560" w:type="dxa"/>
            <w:vAlign w:val="bottom"/>
          </w:tcPr>
          <w:p>
            <w:pPr>
              <w:spacing w:after="0"/>
              <w:rPr>
                <w:sz w:val="19"/>
                <w:szCs w:val="19"/>
                <w:color w:val="auto"/>
              </w:rPr>
            </w:pPr>
          </w:p>
        </w:tc>
      </w:tr>
      <w:tr>
        <w:trPr>
          <w:trHeight w:val="203"/>
        </w:trPr>
        <w:tc>
          <w:tcPr>
            <w:tcW w:w="580" w:type="dxa"/>
            <w:vAlign w:val="bottom"/>
          </w:tcPr>
          <w:p>
            <w:pPr>
              <w:spacing w:after="0"/>
              <w:rPr>
                <w:sz w:val="17"/>
                <w:szCs w:val="17"/>
                <w:color w:val="auto"/>
              </w:rPr>
            </w:pPr>
          </w:p>
        </w:tc>
        <w:tc>
          <w:tcPr>
            <w:tcW w:w="454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Facilities and other costs</w:t>
            </w: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2,198</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1,988</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40" w:type="dxa"/>
            <w:vAlign w:val="bottom"/>
          </w:tcPr>
          <w:p>
            <w:pPr>
              <w:spacing w:after="0" w:line="182" w:lineRule="exact"/>
              <w:rPr>
                <w:sz w:val="20"/>
                <w:szCs w:val="20"/>
                <w:color w:val="auto"/>
              </w:rPr>
            </w:pPr>
            <w:r>
              <w:rPr>
                <w:rFonts w:ascii="Arial" w:cs="Arial" w:eastAsia="Arial" w:hAnsi="Arial"/>
                <w:sz w:val="18"/>
                <w:szCs w:val="18"/>
                <w:color w:val="auto"/>
              </w:rPr>
              <w:t>Total research and development expenses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70,682</w:t>
            </w:r>
          </w:p>
        </w:tc>
        <w:tc>
          <w:tcPr>
            <w:tcW w:w="4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93,790</w:t>
            </w:r>
          </w:p>
        </w:tc>
        <w:tc>
          <w:tcPr>
            <w:tcW w:w="5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(23,108 )</w:t>
            </w:r>
          </w:p>
        </w:tc>
        <w:tc>
          <w:tcPr>
            <w:tcW w:w="12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(24 )</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62"/>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-1868170</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-1868170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-1868170</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-1207770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-1207770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-1207770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2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Research and development expenses decreased by $23.1 million, from $93.8 million for the year ended December 31, 2023 to $70.7 million for the year ended December 31, 2024. The decrease was driven primarily by decreases in fosgonimeton program costs of $25.0 million, preclinical and other direct costs of $5.0 million, personnel-related expenses of $1.6 million, and ATH-1020 program costs of $0.2 million. The decrease in fosgonimeton program costs of $25.0 million was driven by decreases in contract research organization and clinical site visit costs for our Phase 2/3 LIFT-AD clinical trial and the corresponding open-label extension for our Phase 2 ACT-AD and Phase 2/3 LIFT-AD clinical trials of $16.4 million and a decrease in contract manufacturing costs of $9.8 million, partially offset by an increase in program consulting costs of $1.5 million. These decreases were partially offset by an increase in ATH-1105 program costs of $8.6 million associated with the ATH-1105 Phase 1 clinical trial, which commenced in the second quarter of 2024, and to a lesser extent, an increase in facilities and other indirect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General and administrative expenses decreased by $7.2 million, from $33.3 million for the year ended December 31, 2023 to $26.1 million for the year ended December 31, 2024. The decrease was primarily due to a decrease in business development expenses of $2.2 million, a decrease in general corporate expenses of $1.4 million, a decrease in professional services expenses of $0.9 million, and a decrease in personnel-related expenses of $0.6 million. Additionally, legal expenses, excluding expenses recognized in connection with the Department of Justice investigation, decreased by $2.4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Expense</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connection with the Department of Justice investigation, we recorded a legal expense of $4.1 million during the year ended December 31, 2024. For more information, see the section of this report titled "Legal Proceedings—Government Investigation".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Recovery Related to Legal Settlement</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settlement of the securities class action litigation, we recorded an insurance recovery of $ 1.6 million for the year ended December 31, 2023, representing the amount of the settlement covered by our insurers. For more information see the section of this report titled “Legal Proceedings—Securities Class 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Grant income recognized during the year ended December 31, 2023 of $0.2 million represented the remaining balance of the total $15.2 million approved grant amount available at the beginning of the year. There was no grant income recognized during the year ended December 31,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Other income, net, decreased by $ 3.6 million, from $7.6 million for the year ended December 31, 2023 to $ 4.0 million for the year ended December 31, 2024 due to lower income from accretion of discounts on debt securities purchased below par value and held to maturity and lower interest income earned on our available-for-sale securities. These decreases resulted from lower balances of available-for-sale securities held during the year ended December 31, 2024 compared to the year ended December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2024, we have raised aggregate net cash proceeds of $407.4 million primarily from the issuance of our common stock (excluding option exercises), convertible preferred stock, common stock warrants, and convertible notes.</w:t>
      </w:r>
    </w:p>
    <w:p>
      <w:pPr>
        <w:spacing w:after="0" w:line="20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December 31, 2024, we had $51.3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and Future Funding Requirements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material cash requirements include our operating leases for laboratory and office facilities. As of December 31, 2024, we had lease payment obligations of $1.3 million, with $0.5 million payable within 12 months. For additional information regarding our lease commitments, see Note 7 to our consolidated financial statements included elsewhere in this report.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anticipate that our research and development expenses and our general and administrative expenses will decrease in the near-term as a result of our decision to pause further development of fosgonimeton and to shift our focus to the clinical development of ATH-1105, and our decrease in headcount as a result of the Restructuring.</w:t>
      </w:r>
    </w:p>
    <w:p>
      <w:pPr>
        <w:spacing w:after="0" w:line="7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Based upon our current operating plan, we estimate that our $51.3 million of cash, cash equivalents and investments at December 31, 2024 will be sufficient to fund our operating expenses and capital expenditure requirements through at least the next 12 months following the date of this report. However, our resource requirements could materially change depending on the outcome of our ongoing strategic alternative review process, including to the extent we identify and enter into any potential strategic transaction.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6"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w:t>
      </w:r>
    </w:p>
    <w:p>
      <w:pPr>
        <w:spacing w:after="0" w:line="116"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drug candidates that we may pursue;</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licensing or other similar arrangements, and the financial terms of any such arrangements, including the timing and amount of any future milestone, royalty or other payments due thereunder;</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drug candidates;</w:t>
      </w:r>
    </w:p>
    <w:p>
      <w:pPr>
        <w:spacing w:after="0" w:line="116"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drug product manufacturing, marketing, sales and distribution, for any of our drug candidates for which we receive marketing approval;</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1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related to legal proceedings;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any expansion of our laboratory and office facilities; and</w:t>
      </w:r>
    </w:p>
    <w:p>
      <w:pPr>
        <w:spacing w:after="0" w:line="11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 or engage in other strategic transactions.</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56"/>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138"/>
              <w:spacing w:after="0" w:line="155"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79"/>
              </w:rPr>
              <w:t>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60"/>
              <w:spacing w:after="0" w:line="202" w:lineRule="exact"/>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(97,170 )</w:t>
            </w:r>
          </w:p>
        </w:tc>
        <w:tc>
          <w:tcPr>
            <w:tcW w:w="42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(100,753 )</w:t>
            </w:r>
          </w:p>
        </w:tc>
      </w:tr>
      <w:tr>
        <w:trPr>
          <w:trHeight w:val="203"/>
        </w:trPr>
        <w:tc>
          <w:tcPr>
            <w:tcW w:w="61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54,830</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95,089</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60"/>
              <w:spacing w:after="0" w:line="202" w:lineRule="exact"/>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493</w:t>
            </w:r>
          </w:p>
        </w:tc>
        <w:tc>
          <w:tcPr>
            <w:tcW w:w="100" w:type="dxa"/>
            <w:vAlign w:val="bottom"/>
          </w:tcPr>
          <w:p>
            <w:pPr>
              <w:spacing w:after="0"/>
              <w:rPr>
                <w:sz w:val="17"/>
                <w:szCs w:val="17"/>
                <w:color w:val="auto"/>
              </w:rPr>
            </w:pPr>
          </w:p>
        </w:tc>
      </w:tr>
      <w:tr>
        <w:trPr>
          <w:trHeight w:val="216"/>
        </w:trPr>
        <w:tc>
          <w:tcPr>
            <w:tcW w:w="6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88"/>
              <w:spacing w:after="0" w:line="196" w:lineRule="exact"/>
              <w:rPr>
                <w:sz w:val="20"/>
                <w:szCs w:val="20"/>
                <w:color w:val="auto"/>
              </w:rPr>
            </w:pPr>
            <w:r>
              <w:rPr>
                <w:rFonts w:ascii="Arial" w:cs="Arial" w:eastAsia="Arial" w:hAnsi="Arial"/>
                <w:sz w:val="18"/>
                <w:szCs w:val="18"/>
                <w:color w:val="auto"/>
              </w:rPr>
              <w:t>(42,146 )</w:t>
            </w:r>
          </w:p>
        </w:tc>
        <w:tc>
          <w:tcPr>
            <w:tcW w:w="420" w:type="dxa"/>
            <w:vAlign w:val="bottom"/>
            <w:shd w:val="clear" w:color="auto" w:fill="CFF0FC"/>
          </w:tcPr>
          <w:p>
            <w:pPr>
              <w:jc w:val="center"/>
              <w:ind w:right="2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(5,171 )</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year ended December 31, 2024, net cash used in operating activities was $97.2 million. This consisted primarily of a net loss of $96.9 million, partially offset by non-cash charges of $11.7 million and an increase in our net operating assets of $12.0 million. The non-cash charges primarily consisted of stock-based compensation expense, depreciation expense, and amortization of premiums and accretion of discounts on our available-for-sale securities. The increase in our net operating assets was primarily due to a decrease in the accrual for legal settlement expenses related to the securities class action litigation and a net decrease in accounts payable and accrued expenses, partially offset by decreases in prepaid expenses and other current and long-term assets, and the insurance recovery receivable related to the securities class action litigation.</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During the year ended December 31, 2023, net cash used in operating activities was $100.8 million. This consisted primarily of a net loss of $117.7 million, partially offset by non-cash charges of $10.4 million and a decrease in our net operating assets of $ 6.5 million. The non-cash charges primarily consisted of stock-based compensation expense, depreciation expense, and amortization of premiums and accretion of discounts on our available-for-sale securities. The decrease in our net operating assets was primarily due to a decrease in unbilled grant receivable and an increase in accounts payable and accrued expenses, partially offset by the recognition of an insurance recovery receivable related to the securities class action litigation.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2024, net cash provided by investing was $54.8 million. This consisted of maturities of available-for-sale securities of $69.0 million, partially offset by purchases of available-for-sale securities of $14.1 million and property and equipment of less than $0.1 million.</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2023, net cash provided by investing was $95.1 million. This consisted of maturities of available-for-sale securities of $123.1 million, partially offset by purchases of available-for-sale securities of $27.7 million and property and equipment of $0.3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 ended December 31, 2024, net cash provided by financing activities was $0.2 million, consisting of proceeds received from participation in the Company's employee stock purchase plan and exercises of stock options.</w:t>
      </w:r>
    </w:p>
    <w:p>
      <w:pPr>
        <w:spacing w:after="0" w:line="15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 ended December 31, 2023, net cash provided by financing activities was $0.5 million, consisting of proceeds received from participation in the Company's employee stock purchase plan and exercises of stock options.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46" w:lineRule="exact"/>
        <w:rPr>
          <w:sz w:val="20"/>
          <w:szCs w:val="20"/>
          <w:color w:val="auto"/>
        </w:rPr>
      </w:pPr>
    </w:p>
    <w:p>
      <w:pPr>
        <w:ind w:left="1020" w:right="20" w:hanging="503"/>
        <w:spacing w:after="0" w:line="270"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The fair value of each share of common stock is based on the closing price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or other relevant determination date, as reported on The Nasdaq Global Select Market.</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were privately held prior to September 2020 and do not yet have sufficient trading history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5" w:lineRule="exact"/>
        <w:rPr>
          <w:sz w:val="20"/>
          <w:szCs w:val="20"/>
          <w:color w:val="auto"/>
        </w:rPr>
      </w:pPr>
    </w:p>
    <w:p>
      <w:pPr>
        <w:jc w:val="both"/>
        <w:ind w:left="1020" w:hanging="503"/>
        <w:spacing w:after="0" w:line="252" w:lineRule="auto"/>
        <w:tabs>
          <w:tab w:leader="none" w:pos="10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See Note 9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recorded stock-based compensation expense of $11.0 million and $10.6 million for the years ended December 31, 2024 and 2023, respectively. As of December 31, 2024, there was $9.8 million of total unrecognized stock-based compensation expense related to non-vested stock options which we expect to recognize over a remaining weighted-average period of 1.99 years. We expect to continue to grant stock options and other equity-based awards in the future, and to the extent that we do, our stock-based compensation expense recognized in future periods will likely increase.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2024, we had $9.5 million of federal NOL carryforwards and $16.5 million of tax credit carryforwards which expire over a period of 7 to 13 years. As of December 31, 2024, we had $196.0 million of such NOLs that do not expire. As of December 31, 2024, we also had state net operating loss carryforwards of $3.9 million, which expire over a period of 17 to 20 years.</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to our consolidated financial statements included elsewhere in this report for additional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center"/>
        <w:ind w:left="50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Index to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0000FF"/>
              </w:rPr>
              <w:t>Report of Independent Registered Public Accounting Firm (PCAOB ID: 42)</w:t>
            </w:r>
          </w:p>
        </w:tc>
        <w:tc>
          <w:tcPr>
            <w:tcW w:w="28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2480" w:type="dxa"/>
            <w:vAlign w:val="bottom"/>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6060" w:type="dxa"/>
            <w:vAlign w:val="bottom"/>
            <w:gridSpan w:val="6"/>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2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FF"/>
              </w:rPr>
              <w:t>Consolidated Statements of Stockholders' Equity</w:t>
            </w:r>
          </w:p>
        </w:tc>
        <w:tc>
          <w:tcPr>
            <w:tcW w:w="3180" w:type="dxa"/>
            <w:vAlign w:val="bottom"/>
            <w:gridSpan w:val="2"/>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38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FF"/>
              </w:rPr>
              <w:t>Consolidated Statements of Cash Flows</w:t>
            </w:r>
          </w:p>
        </w:tc>
        <w:tc>
          <w:tcPr>
            <w:tcW w:w="4540" w:type="dxa"/>
            <w:vAlign w:val="bottom"/>
            <w:gridSpan w:val="3"/>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2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gridSpan w:val="7"/>
          </w:tcPr>
          <w:p>
            <w:pPr>
              <w:spacing w:after="0" w:line="182" w:lineRule="exact"/>
              <w:rPr>
                <w:sz w:val="20"/>
                <w:szCs w:val="20"/>
                <w:color w:val="auto"/>
              </w:rPr>
            </w:pPr>
            <w:r>
              <w:rPr>
                <w:rFonts w:ascii="Arial" w:cs="Arial" w:eastAsia="Arial" w:hAnsi="Arial"/>
                <w:sz w:val="18"/>
                <w:szCs w:val="18"/>
                <w:color w:val="0000FF"/>
              </w:rPr>
              <w:t>Notes to Consolidated Financial Statements</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8"/>
        </w:trPr>
        <w:tc>
          <w:tcPr>
            <w:tcW w:w="20" w:type="dxa"/>
            <w:vAlign w:val="bottom"/>
          </w:tcPr>
          <w:p>
            <w:pPr>
              <w:spacing w:after="0"/>
              <w:rPr>
                <w:sz w:val="24"/>
                <w:szCs w:val="24"/>
                <w:color w:val="auto"/>
              </w:rPr>
            </w:pPr>
          </w:p>
        </w:tc>
        <w:tc>
          <w:tcPr>
            <w:tcW w:w="3500" w:type="dxa"/>
            <w:vAlign w:val="bottom"/>
            <w:tcBorders>
              <w:top w:val="single" w:sz="8" w:color="0000EE"/>
            </w:tcBorders>
            <w:gridSpan w:val="3"/>
          </w:tcPr>
          <w:p>
            <w:pPr>
              <w:spacing w:after="0"/>
              <w:rPr>
                <w:sz w:val="24"/>
                <w:szCs w:val="24"/>
                <w:color w:val="auto"/>
              </w:rPr>
            </w:pP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119</w:t>
            </w: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ind w:right="3140" w:firstLine="3132"/>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Athira Pharma,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have audited the accompanying consolidated balance sheets of Athira Pharma, Inc.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9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48,438</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90,584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2,837</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56,835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3,566</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280"/>
              <w:spacing w:after="0" w:line="183" w:lineRule="exact"/>
              <w:rPr>
                <w:sz w:val="20"/>
                <w:szCs w:val="20"/>
                <w:color w:val="auto"/>
              </w:rPr>
            </w:pPr>
            <w:r>
              <w:rPr>
                <w:rFonts w:ascii="Arial" w:cs="Arial" w:eastAsia="Arial" w:hAnsi="Arial"/>
                <w:sz w:val="18"/>
                <w:szCs w:val="18"/>
                <w:color w:val="auto"/>
              </w:rPr>
              <w:t>Insurance recovery receivable related to legal</w:t>
            </w:r>
          </w:p>
        </w:tc>
        <w:tc>
          <w:tcPr>
            <w:tcW w:w="400" w:type="dxa"/>
            <w:vAlign w:val="bottom"/>
          </w:tcPr>
          <w:p>
            <w:pPr>
              <w:spacing w:after="0"/>
              <w:rPr>
                <w:sz w:val="15"/>
                <w:szCs w:val="15"/>
                <w:color w:val="auto"/>
              </w:rPr>
            </w:pPr>
          </w:p>
        </w:tc>
        <w:tc>
          <w:tcPr>
            <w:tcW w:w="15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100" w:type="dxa"/>
            <w:vAlign w:val="bottom"/>
          </w:tcPr>
          <w:p>
            <w:pPr>
              <w:ind w:left="420"/>
              <w:spacing w:after="0"/>
              <w:rPr>
                <w:sz w:val="20"/>
                <w:szCs w:val="20"/>
                <w:color w:val="auto"/>
              </w:rPr>
            </w:pPr>
            <w:r>
              <w:rPr>
                <w:rFonts w:ascii="Arial" w:cs="Arial" w:eastAsia="Arial" w:hAnsi="Arial"/>
                <w:sz w:val="18"/>
                <w:szCs w:val="18"/>
                <w:color w:val="auto"/>
              </w:rPr>
              <w:t>settlement (Note 7)</w:t>
            </w:r>
          </w:p>
        </w:tc>
        <w:tc>
          <w:tcPr>
            <w:tcW w:w="4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54,841</w:t>
            </w:r>
          </w:p>
        </w:tc>
        <w:tc>
          <w:tcPr>
            <w:tcW w:w="2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154,729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2,444</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808</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520"/>
              <w:spacing w:after="0" w:line="196" w:lineRule="exact"/>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58,779</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12,402</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legal settlement (Note 7)</w:t>
            </w:r>
          </w:p>
        </w:tc>
        <w:tc>
          <w:tcPr>
            <w:tcW w:w="4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Current operating lease liability</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13,135</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less current portion</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13,938</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Common stock, $0.0001 par value; 900,000,000 shares</w:t>
            </w: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authorized at December 31, 2024 and December 31, 2023,</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respectively; 39,040,945 and 38,172,603 shares issued</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and outstanding at December 31, 2024 and December 31,</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1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2023, respectively</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450,982</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439,739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7"/>
                <w:szCs w:val="17"/>
                <w:color w:val="auto"/>
              </w:rPr>
            </w:pP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(406,146 )</w:t>
            </w:r>
          </w:p>
        </w:tc>
        <w:tc>
          <w:tcPr>
            <w:tcW w:w="68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(309,206 )</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44,841</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130,188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5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58,779</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-2802890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-1464945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-162560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6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70,682</w:t>
            </w:r>
          </w:p>
        </w:tc>
        <w:tc>
          <w:tcPr>
            <w:tcW w:w="3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93,790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26,093</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Legal expense</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4,127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Insurance recovery related to legal settlement</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(1,628 )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100,902</w:t>
            </w: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125,466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(100,902 )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(125,466 )</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Grant income</w:t>
            </w:r>
          </w:p>
        </w:tc>
        <w:tc>
          <w:tcPr>
            <w:tcW w:w="380" w:type="dxa"/>
            <w:vAlign w:val="bottom"/>
          </w:tcPr>
          <w:p>
            <w:pPr>
              <w:spacing w:after="0"/>
              <w:rPr>
                <w:sz w:val="17"/>
                <w:szCs w:val="17"/>
                <w:color w:val="auto"/>
              </w:rPr>
            </w:pPr>
          </w:p>
        </w:tc>
        <w:tc>
          <w:tcPr>
            <w:tcW w:w="15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3,962</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(96,940 )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(117,672 )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Unrealized gain on available-for-sale securities</w:t>
            </w:r>
          </w:p>
        </w:tc>
        <w:tc>
          <w:tcPr>
            <w:tcW w:w="3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350</w:t>
            </w:r>
          </w:p>
        </w:tc>
        <w:tc>
          <w:tcPr>
            <w:tcW w:w="3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1,607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 attributable to common stockholders</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(96,590 )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(116,065 )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8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(2.52 )</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21"/>
        </w:trPr>
        <w:tc>
          <w:tcPr>
            <w:tcW w:w="7680" w:type="dxa"/>
            <w:vAlign w:val="bottom"/>
            <w:shd w:val="clear" w:color="auto" w:fill="CFF0FC"/>
          </w:tcPr>
          <w:p>
            <w:pPr>
              <w:ind w:left="180"/>
              <w:spacing w:after="0" w:line="161" w:lineRule="exact"/>
              <w:rPr>
                <w:sz w:val="20"/>
                <w:szCs w:val="20"/>
                <w:color w:val="auto"/>
              </w:rPr>
            </w:pPr>
            <w:r>
              <w:rPr>
                <w:rFonts w:ascii="Arial" w:cs="Arial" w:eastAsia="Arial" w:hAnsi="Arial"/>
                <w:sz w:val="18"/>
                <w:szCs w:val="18"/>
                <w:color w:val="auto"/>
              </w:rPr>
              <w:t>stockholders, basic and diluted</w:t>
            </w:r>
          </w:p>
        </w:tc>
        <w:tc>
          <w:tcPr>
            <w:tcW w:w="380" w:type="dxa"/>
            <w:vAlign w:val="bottom"/>
            <w:vMerge w:val="continue"/>
            <w:shd w:val="clear" w:color="auto" w:fill="CFF0FC"/>
          </w:tcPr>
          <w:p>
            <w:pPr>
              <w:spacing w:after="0"/>
              <w:rPr>
                <w:sz w:val="19"/>
                <w:szCs w:val="19"/>
                <w:color w:val="auto"/>
              </w:rPr>
            </w:pPr>
          </w:p>
        </w:tc>
        <w:tc>
          <w:tcPr>
            <w:tcW w:w="150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680" w:type="dxa"/>
            <w:vAlign w:val="bottom"/>
            <w:tcBorders>
              <w:top w:val="single" w:sz="8" w:color="CFF0FC"/>
            </w:tcBorders>
          </w:tcPr>
          <w:p>
            <w:pPr>
              <w:ind w:left="20"/>
              <w:spacing w:after="0" w:line="164" w:lineRule="exact"/>
              <w:rPr>
                <w:sz w:val="20"/>
                <w:szCs w:val="20"/>
                <w:color w:val="auto"/>
              </w:rPr>
            </w:pPr>
            <w:r>
              <w:rPr>
                <w:rFonts w:ascii="Arial" w:cs="Arial" w:eastAsia="Arial" w:hAnsi="Arial"/>
                <w:sz w:val="18"/>
                <w:szCs w:val="18"/>
                <w:color w:val="auto"/>
              </w:rPr>
              <w:t>Weighted-average shares used in computing</w:t>
            </w: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38,480,875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38,020,182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180"/>
              <w:spacing w:after="0" w:line="161" w:lineRule="exact"/>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-1628140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-1096645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-805180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-410845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-393700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14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01"/>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01"/>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42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rPr>
              <w:t>Comprehensive</w:t>
            </w:r>
          </w:p>
        </w:tc>
        <w:tc>
          <w:tcPr>
            <w:tcW w:w="124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10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1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January 1, 2023</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37,877,387</w:t>
            </w:r>
          </w:p>
        </w:tc>
        <w:tc>
          <w:tcPr>
            <w:tcW w:w="1040" w:type="dxa"/>
            <w:vAlign w:val="bottom"/>
            <w:gridSpan w:val="2"/>
            <w:shd w:val="clear" w:color="auto" w:fill="CFF0FC"/>
          </w:tcPr>
          <w:p>
            <w:pPr>
              <w:jc w:val="right"/>
              <w:ind w:right="622"/>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428,623</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(1,956 )</w:t>
            </w:r>
          </w:p>
        </w:tc>
        <w:tc>
          <w:tcPr>
            <w:tcW w:w="180" w:type="dxa"/>
            <w:vAlign w:val="bottom"/>
            <w:shd w:val="clear" w:color="auto" w:fill="CFF0FC"/>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(191,534 )</w:t>
            </w:r>
          </w:p>
        </w:tc>
        <w:tc>
          <w:tcPr>
            <w:tcW w:w="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235,137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0"/>
              <w:spacing w:after="0" w:line="175" w:lineRule="exact"/>
              <w:rPr>
                <w:sz w:val="20"/>
                <w:szCs w:val="20"/>
                <w:color w:val="auto"/>
              </w:rPr>
            </w:pPr>
            <w:r>
              <w:rPr>
                <w:rFonts w:ascii="Arial" w:cs="Arial" w:eastAsia="Arial" w:hAnsi="Arial"/>
                <w:sz w:val="16"/>
                <w:szCs w:val="16"/>
                <w:color w:val="auto"/>
              </w:rPr>
              <w:t>Issuance of common stock upon exercise of</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40"/>
              <w:spacing w:after="0"/>
              <w:rPr>
                <w:sz w:val="20"/>
                <w:szCs w:val="20"/>
                <w:color w:val="auto"/>
              </w:rPr>
            </w:pPr>
            <w:r>
              <w:rPr>
                <w:rFonts w:ascii="Arial" w:cs="Arial" w:eastAsia="Arial" w:hAnsi="Arial"/>
                <w:sz w:val="16"/>
                <w:szCs w:val="16"/>
                <w:color w:val="auto"/>
              </w:rPr>
              <w:t>common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128,534</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Issuance of common stock under</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employee stock 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166,682</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Unrealized gain on available-for-sale</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(117,672 )</w:t>
            </w:r>
          </w:p>
        </w:tc>
        <w:tc>
          <w:tcPr>
            <w:tcW w:w="2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(117,672 )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December 31, 2023</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38,172,603</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2"/>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439,739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(349 )</w:t>
            </w:r>
          </w:p>
        </w:tc>
        <w:tc>
          <w:tcPr>
            <w:tcW w:w="180" w:type="dxa"/>
            <w:vAlign w:val="bottom"/>
            <w:shd w:val="clear" w:color="auto" w:fill="CFF0FC"/>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(309,206 )</w:t>
            </w:r>
          </w:p>
        </w:tc>
        <w:tc>
          <w:tcPr>
            <w:tcW w:w="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130,188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00" w:type="dxa"/>
            <w:vAlign w:val="bottom"/>
            <w:tcBorders>
              <w:top w:val="single" w:sz="8" w:color="CFF0FC"/>
            </w:tcBorders>
          </w:tcPr>
          <w:p>
            <w:pPr>
              <w:ind w:left="200"/>
              <w:spacing w:after="0" w:line="155" w:lineRule="exact"/>
              <w:rPr>
                <w:sz w:val="20"/>
                <w:szCs w:val="20"/>
                <w:color w:val="auto"/>
              </w:rPr>
            </w:pPr>
            <w:r>
              <w:rPr>
                <w:rFonts w:ascii="Arial" w:cs="Arial" w:eastAsia="Arial" w:hAnsi="Arial"/>
                <w:sz w:val="16"/>
                <w:szCs w:val="16"/>
                <w:color w:val="auto"/>
              </w:rPr>
              <w:t>Issuance of common stock upon exercise of</w:t>
            </w:r>
          </w:p>
        </w:tc>
        <w:tc>
          <w:tcPr>
            <w:tcW w:w="11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40"/>
              <w:spacing w:after="0"/>
              <w:rPr>
                <w:sz w:val="20"/>
                <w:szCs w:val="20"/>
                <w:color w:val="auto"/>
              </w:rPr>
            </w:pPr>
            <w:r>
              <w:rPr>
                <w:rFonts w:ascii="Arial" w:cs="Arial" w:eastAsia="Arial" w:hAnsi="Arial"/>
                <w:sz w:val="16"/>
                <w:szCs w:val="16"/>
                <w:color w:val="auto"/>
              </w:rPr>
              <w:t>common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75,660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Issuance of common stock upon vesting of</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620,668</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600" w:type="dxa"/>
            <w:vAlign w:val="bottom"/>
          </w:tcPr>
          <w:p>
            <w:pPr>
              <w:ind w:left="200"/>
              <w:spacing w:after="0" w:line="175" w:lineRule="exact"/>
              <w:rPr>
                <w:sz w:val="20"/>
                <w:szCs w:val="20"/>
                <w:color w:val="auto"/>
              </w:rPr>
            </w:pPr>
            <w:r>
              <w:rPr>
                <w:rFonts w:ascii="Arial" w:cs="Arial" w:eastAsia="Arial" w:hAnsi="Arial"/>
                <w:sz w:val="16"/>
                <w:szCs w:val="16"/>
                <w:color w:val="auto"/>
              </w:rPr>
              <w:t>Issuance of common stock under</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40"/>
              <w:spacing w:after="0"/>
              <w:rPr>
                <w:sz w:val="20"/>
                <w:szCs w:val="20"/>
                <w:color w:val="auto"/>
              </w:rPr>
            </w:pPr>
            <w:r>
              <w:rPr>
                <w:rFonts w:ascii="Arial" w:cs="Arial" w:eastAsia="Arial" w:hAnsi="Arial"/>
                <w:sz w:val="16"/>
                <w:szCs w:val="16"/>
                <w:color w:val="auto"/>
              </w:rPr>
              <w:t>employee stock purchase plan</w:t>
            </w:r>
          </w:p>
        </w:tc>
        <w:tc>
          <w:tcPr>
            <w:tcW w:w="1100" w:type="dxa"/>
            <w:vAlign w:val="bottom"/>
          </w:tcPr>
          <w:p>
            <w:pPr>
              <w:jc w:val="right"/>
              <w:spacing w:after="0"/>
              <w:rPr>
                <w:sz w:val="20"/>
                <w:szCs w:val="20"/>
                <w:color w:val="auto"/>
              </w:rPr>
            </w:pPr>
            <w:r>
              <w:rPr>
                <w:rFonts w:ascii="Arial" w:cs="Arial" w:eastAsia="Arial" w:hAnsi="Arial"/>
                <w:sz w:val="16"/>
                <w:szCs w:val="16"/>
                <w:color w:val="auto"/>
              </w:rPr>
              <w:t>172,014</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0"/>
              <w:spacing w:after="0" w:line="175" w:lineRule="exact"/>
              <w:rPr>
                <w:sz w:val="20"/>
                <w:szCs w:val="20"/>
                <w:color w:val="auto"/>
              </w:rPr>
            </w:pPr>
            <w:r>
              <w:rPr>
                <w:rFonts w:ascii="Arial" w:cs="Arial" w:eastAsia="Arial" w:hAnsi="Arial"/>
                <w:sz w:val="16"/>
                <w:szCs w:val="16"/>
                <w:color w:val="auto"/>
              </w:rPr>
              <w:t>Unrealized gain on available-for-sale</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(96,940 )</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(96,940 )</w:t>
            </w: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December 31, 2024</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39,040,945</w:t>
            </w:r>
          </w:p>
        </w:tc>
        <w:tc>
          <w:tcPr>
            <w:tcW w:w="240" w:type="dxa"/>
            <w:vAlign w:val="bottom"/>
          </w:tcPr>
          <w:p>
            <w:pPr>
              <w:spacing w:after="0"/>
              <w:rPr>
                <w:sz w:val="15"/>
                <w:szCs w:val="15"/>
                <w:color w:val="auto"/>
              </w:rPr>
            </w:pPr>
          </w:p>
        </w:tc>
        <w:tc>
          <w:tcPr>
            <w:tcW w:w="800" w:type="dxa"/>
            <w:vAlign w:val="bottom"/>
          </w:tcPr>
          <w:p>
            <w:pPr>
              <w:jc w:val="right"/>
              <w:ind w:right="622"/>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450,982</w:t>
            </w:r>
          </w:p>
        </w:tc>
        <w:tc>
          <w:tcPr>
            <w:tcW w:w="22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180" w:type="dxa"/>
            <w:vAlign w:val="bottom"/>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(406,146 )</w:t>
            </w:r>
          </w:p>
        </w:tc>
        <w:tc>
          <w:tcPr>
            <w:tcW w:w="2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44,841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-1379220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-1362710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-1379220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-1362710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-1379220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-1362710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-1379220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-1362710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-1379220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-1362710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-153670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-153670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-153670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-153670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5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ind w:right="759"/>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(96,940 )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(117,672 )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52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11,049</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10,623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Depreciation expense</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970</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520"/>
              <w:spacing w:after="0" w:line="202" w:lineRule="exact"/>
              <w:rPr>
                <w:sz w:val="20"/>
                <w:szCs w:val="20"/>
                <w:color w:val="auto"/>
              </w:rPr>
            </w:pPr>
            <w:r>
              <w:rPr>
                <w:rFonts w:ascii="Arial" w:cs="Arial" w:eastAsia="Arial" w:hAnsi="Arial"/>
                <w:sz w:val="18"/>
                <w:szCs w:val="18"/>
                <w:color w:val="auto"/>
              </w:rPr>
              <w:t>Non-cash lease expense</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80" w:type="dxa"/>
            <w:vAlign w:val="bottom"/>
            <w:shd w:val="clear" w:color="auto" w:fill="CFF0FC"/>
          </w:tcPr>
          <w:p>
            <w:pPr>
              <w:ind w:left="520"/>
              <w:spacing w:after="0" w:line="183" w:lineRule="exact"/>
              <w:rPr>
                <w:sz w:val="20"/>
                <w:szCs w:val="20"/>
                <w:color w:val="auto"/>
              </w:rPr>
            </w:pPr>
            <w:r>
              <w:rPr>
                <w:rFonts w:ascii="Arial" w:cs="Arial" w:eastAsia="Arial" w:hAnsi="Arial"/>
                <w:sz w:val="18"/>
                <w:szCs w:val="18"/>
                <w:color w:val="auto"/>
              </w:rPr>
              <w:t>Amortization of premiums and accretion of discounts on</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680" w:type="dxa"/>
            <w:vAlign w:val="bottom"/>
            <w:shd w:val="clear" w:color="auto" w:fill="CFF0FC"/>
          </w:tcPr>
          <w:p>
            <w:pPr>
              <w:ind w:left="680"/>
              <w:spacing w:after="0"/>
              <w:rPr>
                <w:sz w:val="20"/>
                <w:szCs w:val="20"/>
                <w:color w:val="auto"/>
              </w:rPr>
            </w:pPr>
            <w:r>
              <w:rPr>
                <w:rFonts w:ascii="Arial" w:cs="Arial" w:eastAsia="Arial" w:hAnsi="Arial"/>
                <w:sz w:val="18"/>
                <w:szCs w:val="18"/>
                <w:color w:val="auto"/>
              </w:rPr>
              <w:t>available-for-sale securities, net</w:t>
            </w: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(515 )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(1,414 )</w:t>
            </w:r>
          </w:p>
        </w:tc>
        <w:tc>
          <w:tcPr>
            <w:tcW w:w="0" w:type="dxa"/>
            <w:vAlign w:val="bottom"/>
          </w:tcPr>
          <w:p>
            <w:pPr>
              <w:spacing w:after="0"/>
              <w:rPr>
                <w:sz w:val="1"/>
                <w:szCs w:val="1"/>
                <w:color w:val="auto"/>
              </w:rPr>
            </w:pPr>
          </w:p>
        </w:tc>
      </w:tr>
      <w:tr>
        <w:trPr>
          <w:trHeight w:val="203"/>
        </w:trPr>
        <w:tc>
          <w:tcPr>
            <w:tcW w:w="7680" w:type="dxa"/>
            <w:vAlign w:val="bottom"/>
          </w:tcPr>
          <w:p>
            <w:pPr>
              <w:ind w:left="520"/>
              <w:spacing w:after="0" w:line="202" w:lineRule="exact"/>
              <w:rPr>
                <w:sz w:val="20"/>
                <w:szCs w:val="20"/>
                <w:color w:val="auto"/>
              </w:rPr>
            </w:pPr>
            <w:r>
              <w:rPr>
                <w:rFonts w:ascii="Arial" w:cs="Arial" w:eastAsia="Arial" w:hAnsi="Arial"/>
                <w:sz w:val="18"/>
                <w:szCs w:val="18"/>
                <w:color w:val="auto"/>
              </w:rPr>
              <w:t>Loss on disposal of equipment</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780"/>
              <w:spacing w:after="0" w:line="202" w:lineRule="exact"/>
              <w:rPr>
                <w:sz w:val="20"/>
                <w:szCs w:val="20"/>
                <w:color w:val="auto"/>
              </w:rPr>
            </w:pPr>
            <w:r>
              <w:rPr>
                <w:rFonts w:ascii="Arial" w:cs="Arial" w:eastAsia="Arial" w:hAnsi="Arial"/>
                <w:sz w:val="18"/>
                <w:szCs w:val="18"/>
                <w:color w:val="auto"/>
              </w:rPr>
              <w:t>Unbilled grant receivable</w:t>
            </w:r>
          </w:p>
        </w:tc>
        <w:tc>
          <w:tcPr>
            <w:tcW w:w="96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Prepaid expenses and other current and long-term assets, net</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2,509</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3"/>
        </w:trPr>
        <w:tc>
          <w:tcPr>
            <w:tcW w:w="7680" w:type="dxa"/>
            <w:vAlign w:val="bottom"/>
          </w:tcPr>
          <w:p>
            <w:pPr>
              <w:ind w:left="780"/>
              <w:spacing w:after="0" w:line="202" w:lineRule="exact"/>
              <w:rPr>
                <w:sz w:val="20"/>
                <w:szCs w:val="20"/>
                <w:color w:val="auto"/>
              </w:rPr>
            </w:pPr>
            <w:r>
              <w:rPr>
                <w:rFonts w:ascii="Arial" w:cs="Arial" w:eastAsia="Arial" w:hAnsi="Arial"/>
                <w:sz w:val="18"/>
                <w:szCs w:val="18"/>
                <w:color w:val="auto"/>
              </w:rPr>
              <w:t>Insurance recovery receivable related to legal settlement</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1,628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(1,628 )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Accounts payable and accrued liabilities</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(5,751 )</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780"/>
              <w:spacing w:after="0" w:line="202" w:lineRule="exact"/>
              <w:rPr>
                <w:sz w:val="20"/>
                <w:szCs w:val="20"/>
                <w:color w:val="auto"/>
              </w:rPr>
            </w:pPr>
            <w:r>
              <w:rPr>
                <w:rFonts w:ascii="Arial" w:cs="Arial" w:eastAsia="Arial" w:hAnsi="Arial"/>
                <w:sz w:val="18"/>
                <w:szCs w:val="18"/>
                <w:color w:val="auto"/>
              </w:rPr>
              <w:t>Accrued legal settlement</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(10,000 )</w:t>
            </w:r>
          </w:p>
        </w:tc>
        <w:tc>
          <w:tcPr>
            <w:tcW w:w="36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Operating lease liability</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(368 )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Pr>
          <w:p>
            <w:pPr>
              <w:ind w:left="1020"/>
              <w:spacing w:after="0" w:line="196" w:lineRule="exact"/>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4"/>
              </w:rPr>
              <w:t>(97,170 )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(100,753 )</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Purchases of available-for-sale securities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(14,134 )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(27,671 )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Maturities of available-for-sale securities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68,997</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123,064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102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54,830</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95,089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Proceeds from exercise of common stock options and issuance</w:t>
            </w:r>
          </w:p>
        </w:tc>
        <w:tc>
          <w:tcPr>
            <w:tcW w:w="96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68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of common stock under employee stock purchase plan</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0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w w:val="94"/>
              </w:rPr>
              <w:t>(42,146 )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(5,171 )</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91,215</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49,069</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91,215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-1748155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-951230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-565150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ind w:left="520" w:right="8980" w:hanging="512"/>
        <w:spacing w:after="0" w:line="381" w:lineRule="auto"/>
        <w:tabs>
          <w:tab w:leader="none" w:pos="211"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b w:val="1"/>
          <w:bCs w:val="1"/>
          <w:i w:val="1"/>
          <w:iCs w:val="1"/>
          <w:color w:val="auto"/>
        </w:rPr>
        <w:t>Organization</w:t>
      </w:r>
    </w:p>
    <w:p>
      <w:pPr>
        <w:jc w:val="both"/>
        <w:ind w:firstLine="509"/>
        <w:spacing w:after="0" w:line="247" w:lineRule="auto"/>
        <w:rPr>
          <w:sz w:val="20"/>
          <w:szCs w:val="20"/>
          <w:color w:val="auto"/>
        </w:rPr>
      </w:pPr>
      <w:r>
        <w:rPr>
          <w:rFonts w:ascii="Arial" w:cs="Arial" w:eastAsia="Arial" w:hAnsi="Arial"/>
          <w:sz w:val="18"/>
          <w:szCs w:val="18"/>
          <w:color w:val="auto"/>
        </w:rPr>
        <w:t>Athira Pharma, Inc., or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clinical-stage biopharmaceutical company focused on developing small molecules to restore neuronal health and slow neurodegeneration.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2024, it has raised aggregate net cash proceeds of $407.4 million primarily from the issuance of its common stock (excluding option exercises), convertible preferred stock, common stock warrants, and convertible notes.</w:t>
      </w:r>
    </w:p>
    <w:p>
      <w:pPr>
        <w:spacing w:after="0" w:line="68"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of December 31, 2024, the Company had cash, cash equivalents and investments of $51.3 million. The Company’s net loss for the year ended December 31, 2024 was $96.9 million and cash used in operations for the year ended December 31, 2024 was $97.2 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Based upon the Company’s current operating plan, it estimates that its $51.3 million of cash, cash equivalents and investments at December 31, 2024 will be sufficient to fund its operating expenses and capital expenditure requirements through at least the next 12 months following the date of the Company’s Annual Report on Form 10-K. Historically, the Company has incurred net losses from continuing operations and negative operating cash flows. The Company has not yet established an ongoing source of revenue sufficient to cover its operating costs; therefore, the Company expects it will need to continue to raise additional capital to accomplish its operating plan. The Company has a sales agreement in place with Cantor Fitzgerald &amp; Co., or Cantor Fitzgerald, and BTIG, LLC, or BTIG, for an “at the market” equity offering facility through which it may offer and sell shares of its common stock equaling an aggregate amount up to $75.0 million, subject to applicable limitations on sales pursuant to SEC rules and regulations pertaining to the Company’s Registration Statement on Form S-3.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w:t>
      </w:r>
    </w:p>
    <w:p>
      <w:pPr>
        <w:spacing w:after="0" w:line="291" w:lineRule="exact"/>
        <w:rPr>
          <w:sz w:val="20"/>
          <w:szCs w:val="20"/>
          <w:color w:val="auto"/>
        </w:rPr>
      </w:pPr>
    </w:p>
    <w:p>
      <w:pPr>
        <w:ind w:left="520" w:right="8340" w:hanging="512"/>
        <w:spacing w:after="0" w:line="381" w:lineRule="auto"/>
        <w:tabs>
          <w:tab w:leader="none" w:pos="211"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b w:val="1"/>
          <w:bCs w:val="1"/>
          <w:i w:val="1"/>
          <w:iCs w:val="1"/>
          <w:color w:val="auto"/>
        </w:rPr>
        <w:t>Basis of Presentation</w:t>
      </w:r>
    </w:p>
    <w:p>
      <w:pPr>
        <w:jc w:val="both"/>
        <w:ind w:firstLine="509"/>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or U.S. GAAP. The consolidated financial statements include the operations of Athira Pharma, Inc., and its wholly owned Australian subsidiary. All intercompany balances and transactions have been eliminated upon consolidation.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Restricted cash consists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48,438</w:t>
            </w:r>
          </w:p>
        </w:tc>
        <w:tc>
          <w:tcPr>
            <w:tcW w:w="62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90,584</w:t>
            </w:r>
          </w:p>
        </w:tc>
        <w:tc>
          <w:tcPr>
            <w:tcW w:w="8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w:t>
            </w:r>
          </w:p>
        </w:tc>
        <w:tc>
          <w:tcPr>
            <w:tcW w:w="80" w:type="dxa"/>
            <w:vAlign w:val="bottom"/>
          </w:tcPr>
          <w:p>
            <w:pPr>
              <w:spacing w:after="0"/>
              <w:rPr>
                <w:sz w:val="17"/>
                <w:szCs w:val="17"/>
                <w:color w:val="auto"/>
              </w:rPr>
            </w:pPr>
          </w:p>
        </w:tc>
      </w:tr>
      <w:tr>
        <w:trPr>
          <w:trHeight w:val="236"/>
        </w:trPr>
        <w:tc>
          <w:tcPr>
            <w:tcW w:w="6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49,069</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91,215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and short-term investments on the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Property and equipment consist of computer equipment, computer software, laboratory equipment, leasehold improvements and furniture and office equipment. Property and equipment, excluding leasehold improvements, are recorded at cost and depreciation is recognized using the straight-line method based on estimated useful life, generally three to five years. Leasehold improvements are amortized over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shorter of their useful life or the remaining lease term. Maintenance and repairs are charged to expense as incurred, and costs of improvements are capitalized.</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reviews long-lived assets for impairment whenever events or circumstances indicate the carrying amount of an asset group may not be recoverable. Should an impairment exist, the impairment 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 impairment losses in the years ended December 31, 2024 and 2023 as there have been no events warranting an impairment analysis.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2020, the Company accepted a grant from the National Institute on Aging, or the NIA, of the National Institutes of Health, or the NIH, to support its ACT-AD Phase 2 clinical trial for fosgonimeton (then-named ATH-1017), the Company’s lead therapeutic candidate being developed for the treatment of individuals with mild-to-moderate Alzheimer’s disease. The Company recognizes income related to the NIH grant in the accompanying consolidated statements of operations and comprehensive loss as qualifying expenses under the grant agreement are incurred. As of December 31, 2024, the Company has recognized aggregate grant income of $15.2 million in connection with the NIH grant, equal to the total grant amount approved. The Company will not recognize any additional grant income in connection with the NIH grant in the future.</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2023, the Company recognized grant income of $0.2 million, and received cash of $1.4 million, in connection with the NIH grant. There was no grant income recognized or cash received in connection with the NIH grant during the year ended December 31, 2024.</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Company adopted Accounting Standards Codification, or ASC, </w:t>
      </w:r>
      <w:r>
        <w:rPr>
          <w:rFonts w:ascii="Arial" w:cs="Arial" w:eastAsia="Arial" w:hAnsi="Arial"/>
          <w:sz w:val="18"/>
          <w:szCs w:val="18"/>
          <w:i w:val="1"/>
          <w:iCs w:val="1"/>
          <w:color w:val="auto"/>
        </w:rPr>
        <w:t>Topic 842 – Leases</w:t>
      </w:r>
      <w:r>
        <w:rPr>
          <w:rFonts w:ascii="Arial" w:cs="Arial" w:eastAsia="Arial" w:hAnsi="Arial"/>
          <w:sz w:val="18"/>
          <w:szCs w:val="18"/>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or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 Attributable to Common Stockholders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 Remeasurement Adjustments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net in the consolidated statement of operations and comprehensive loss. The functional currency of the Company’s Australian subsidiary is the U.S. dollar.</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Corporate Restructuring</w:t>
      </w:r>
    </w:p>
    <w:p>
      <w:pPr>
        <w:spacing w:after="0" w:line="23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September 15, 2024, the Company committed to a workforce reduction that resulted in the termination of approximately 70% of the Company’s workforce, or the Restructuring. In connection with the Restructuring, the Company incurred costs of $2.9 million, consisting primarily of cash severance costs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termination benefits, which the Company recognized during the year ended December 31, 2024. The Company substantially completed the Restructuring by December 31, 2024.</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is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November 2023, the Financial Accounting Standards Board, or FASB, issued Accounting Standards Update, or ASU, 2023-07, Segment Reporting (Topic 280), Improvements to Reportable Segment Disclosures to improve reportable segment disclosure requirements through enhanced disclosures about significant segment expenses on an interim and annual basis. All disclosure requirements of ASU 2023-07 are required for entities with a single reportable segment. ASU 2023-07 is effective for fiscal years beginning after December 15, 2023, and interim periods for the fiscal years beginning after December 15, 2024, and should be applied on a retrospective basis to all periods presented. Early adoption is permitted. The Company adopted the guidance in the fiscal year beginning January 1, 2024, including the additional required disclosures in Note 6.</w:t>
      </w:r>
    </w:p>
    <w:p>
      <w:pPr>
        <w:spacing w:after="0" w:line="7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and the amendments should be applied on a prospective basis. The Company does not expect the adoption of this new guidance to have a material impact on its consolidated financial statements and is currently evaluating the effect of adopting the ASU on its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4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4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4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reliable and verifiable, not proprietary, and provided by independent sources that are actively involved in the relevant market.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reflect the Company’s financial asset balances measured at fair value on a recurring basis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2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Money market fund</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gridSpan w:val="2"/>
            <w:shd w:val="clear" w:color="auto" w:fill="CFF0FC"/>
          </w:tcPr>
          <w:p>
            <w:pPr>
              <w:ind w:left="280"/>
              <w:spacing w:after="0" w:line="183" w:lineRule="exact"/>
              <w:rPr>
                <w:sz w:val="20"/>
                <w:szCs w:val="20"/>
                <w:color w:val="auto"/>
              </w:rPr>
            </w:pPr>
            <w:r>
              <w:rPr>
                <w:rFonts w:ascii="Arial" w:cs="Arial" w:eastAsia="Arial" w:hAnsi="Arial"/>
                <w:sz w:val="18"/>
                <w:szCs w:val="18"/>
                <w:color w:val="auto"/>
              </w:rPr>
              <w:t>U.S. government debt and agency</w:t>
            </w:r>
          </w:p>
        </w:tc>
        <w:tc>
          <w:tcPr>
            <w:tcW w:w="1120" w:type="dxa"/>
            <w:vAlign w:val="bottom"/>
            <w:shd w:val="clear" w:color="auto" w:fill="CFF0FC"/>
          </w:tcPr>
          <w:p>
            <w:pPr>
              <w:jc w:val="center"/>
              <w:spacing w:after="0" w:line="183" w:lineRule="exact"/>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19,394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(1 )</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cash equivalents</w:t>
            </w: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29,721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40" w:type="dxa"/>
            <w:vAlign w:val="bottom"/>
            <w:tcBorders>
              <w:top w:val="single" w:sz="8" w:color="CFF0FC"/>
              <w:bottom w:val="single" w:sz="8" w:color="auto"/>
            </w:tcBorders>
          </w:tcPr>
          <w:p>
            <w:pPr>
              <w:ind w:left="20"/>
              <w:spacing w:after="0" w:line="183"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tcPr>
          <w:p>
            <w:pPr>
              <w:spacing w:after="0"/>
              <w:rPr>
                <w:sz w:val="15"/>
                <w:szCs w:val="15"/>
                <w:color w:val="auto"/>
              </w:rPr>
            </w:pPr>
          </w:p>
        </w:tc>
        <w:tc>
          <w:tcPr>
            <w:tcW w:w="1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6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gridSpan w:val="2"/>
          </w:tcPr>
          <w:p>
            <w:pPr>
              <w:ind w:left="280"/>
              <w:spacing w:after="0" w:line="183" w:lineRule="exact"/>
              <w:rPr>
                <w:sz w:val="20"/>
                <w:szCs w:val="20"/>
                <w:color w:val="auto"/>
              </w:rPr>
            </w:pPr>
            <w:r>
              <w:rPr>
                <w:rFonts w:ascii="Arial" w:cs="Arial" w:eastAsia="Arial" w:hAnsi="Arial"/>
                <w:sz w:val="18"/>
                <w:szCs w:val="18"/>
                <w:color w:val="auto"/>
              </w:rPr>
              <w:t>U.S. government debt and agency</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2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Money market fund</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59,227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(30 )</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59,197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 cash equivalents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59,290</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(30 )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59,260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Commercial paper</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6,431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(4 )</w:t>
            </w: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6,427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gridSpan w:val="2"/>
            <w:shd w:val="clear" w:color="auto" w:fill="CFF0FC"/>
          </w:tcPr>
          <w:p>
            <w:pPr>
              <w:ind w:left="280"/>
              <w:spacing w:after="0" w:line="183" w:lineRule="exact"/>
              <w:rPr>
                <w:sz w:val="20"/>
                <w:szCs w:val="20"/>
                <w:color w:val="auto"/>
              </w:rPr>
            </w:pPr>
            <w:r>
              <w:rPr>
                <w:rFonts w:ascii="Arial" w:cs="Arial" w:eastAsia="Arial" w:hAnsi="Arial"/>
                <w:sz w:val="18"/>
                <w:szCs w:val="18"/>
                <w:color w:val="auto"/>
              </w:rPr>
              <w:t>U.S. government debt and agency</w:t>
            </w: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50,723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(315 )</w:t>
            </w:r>
          </w:p>
        </w:tc>
        <w:tc>
          <w:tcPr>
            <w:tcW w:w="22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50,408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57,154</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(319 )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56,835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-3051175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-2390775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-2373630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-2390775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-2373630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-2390775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-2373630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-1713865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-1696720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-1713865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-1696720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-1713865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-1696720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-1105535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-839470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-839470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-839470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-548005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-162560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-162560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-162560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All the commercial paper and U.S. government debt and agency securities designated as short-term investments have an effective maturity date that is equal to or less than one year from the respective balance sheet date.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6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 equipment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705</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688</w:t>
            </w:r>
          </w:p>
        </w:tc>
        <w:tc>
          <w:tcPr>
            <w:tcW w:w="100" w:type="dxa"/>
            <w:vAlign w:val="bottom"/>
            <w:shd w:val="clear" w:color="auto" w:fill="CFF0FC"/>
          </w:tcPr>
          <w:p>
            <w:pPr>
              <w:spacing w:after="0"/>
              <w:rPr>
                <w:sz w:val="17"/>
                <w:szCs w:val="17"/>
                <w:color w:val="auto"/>
              </w:rPr>
            </w:pPr>
          </w:p>
        </w:tc>
      </w:tr>
      <w:tr>
        <w:trPr>
          <w:trHeight w:val="184"/>
        </w:trPr>
        <w:tc>
          <w:tcPr>
            <w:tcW w:w="6100" w:type="dxa"/>
            <w:vAlign w:val="bottom"/>
          </w:tcPr>
          <w:p>
            <w:pPr>
              <w:spacing w:after="0" w:line="183" w:lineRule="exact"/>
              <w:rPr>
                <w:sz w:val="20"/>
                <w:szCs w:val="20"/>
                <w:color w:val="auto"/>
              </w:rPr>
            </w:pPr>
            <w:r>
              <w:rPr>
                <w:rFonts w:ascii="Arial" w:cs="Arial" w:eastAsia="Arial" w:hAnsi="Arial"/>
                <w:sz w:val="18"/>
                <w:szCs w:val="18"/>
                <w:color w:val="auto"/>
              </w:rPr>
              <w:t>Office furniture, fixtures,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6100" w:type="dxa"/>
            <w:vAlign w:val="bottom"/>
          </w:tcPr>
          <w:p>
            <w:pPr>
              <w:ind w:left="16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r>
      <w:tr>
        <w:trPr>
          <w:trHeight w:val="203"/>
        </w:trPr>
        <w:tc>
          <w:tcPr>
            <w:tcW w:w="6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4,322</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spacing w:after="0" w:line="196" w:lineRule="exact"/>
              <w:rPr>
                <w:sz w:val="20"/>
                <w:szCs w:val="20"/>
                <w:color w:val="auto"/>
              </w:rPr>
            </w:pPr>
            <w:r>
              <w:rPr>
                <w:rFonts w:ascii="Arial" w:cs="Arial" w:eastAsia="Arial" w:hAnsi="Arial"/>
                <w:sz w:val="18"/>
                <w:szCs w:val="18"/>
                <w:color w:val="auto"/>
              </w:rPr>
              <w:t>Property and equipment, at cost</w:t>
            </w:r>
          </w:p>
        </w:tc>
        <w:tc>
          <w:tcPr>
            <w:tcW w:w="2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5,739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5,722</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(3,295 )</w:t>
            </w:r>
          </w:p>
        </w:tc>
        <w:tc>
          <w:tcPr>
            <w:tcW w:w="4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(2,334 )</w:t>
            </w:r>
          </w:p>
        </w:tc>
      </w:tr>
      <w:tr>
        <w:trPr>
          <w:trHeight w:val="196"/>
        </w:trPr>
        <w:tc>
          <w:tcPr>
            <w:tcW w:w="6100" w:type="dxa"/>
            <w:vAlign w:val="bottom"/>
            <w:tcBorders>
              <w:top w:val="single" w:sz="8" w:color="CFF0FC"/>
            </w:tcBorders>
          </w:tcPr>
          <w:p>
            <w:pPr>
              <w:ind w:left="260"/>
              <w:spacing w:after="0" w:line="196" w:lineRule="exact"/>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2,444</w:t>
            </w:r>
          </w:p>
        </w:tc>
        <w:tc>
          <w:tcPr>
            <w:tcW w:w="22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3,388</w:t>
            </w:r>
          </w:p>
        </w:tc>
        <w:tc>
          <w:tcPr>
            <w:tcW w:w="100" w:type="dxa"/>
            <w:vAlign w:val="bottom"/>
            <w:tcBorders>
              <w:top w:val="single" w:sz="8" w:color="CFF0FC"/>
            </w:tcBorders>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-427990</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-427990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-162560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$970,000 and $969,000 for the years ended December 31,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6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3,424</w:t>
            </w:r>
          </w:p>
        </w:tc>
        <w:tc>
          <w:tcPr>
            <w:tcW w:w="62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11,916</w:t>
            </w:r>
          </w:p>
        </w:tc>
        <w:tc>
          <w:tcPr>
            <w:tcW w:w="8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Employee compensation and benefits</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2,990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4,545</w:t>
            </w:r>
          </w:p>
        </w:tc>
        <w:tc>
          <w:tcPr>
            <w:tcW w:w="80" w:type="dxa"/>
            <w:vAlign w:val="bottom"/>
          </w:tcPr>
          <w:p>
            <w:pPr>
              <w:spacing w:after="0"/>
              <w:rPr>
                <w:sz w:val="17"/>
                <w:szCs w:val="17"/>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Legal expense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4,127</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Professional services and other</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1,882</w:t>
            </w:r>
          </w:p>
        </w:tc>
        <w:tc>
          <w:tcPr>
            <w:tcW w:w="80" w:type="dxa"/>
            <w:vAlign w:val="bottom"/>
          </w:tcPr>
          <w:p>
            <w:pPr>
              <w:spacing w:after="0"/>
              <w:rPr>
                <w:sz w:val="17"/>
                <w:szCs w:val="17"/>
                <w:color w:val="auto"/>
              </w:rPr>
            </w:pPr>
          </w:p>
        </w:tc>
      </w:tr>
      <w:tr>
        <w:trPr>
          <w:trHeight w:val="236"/>
        </w:trPr>
        <w:tc>
          <w:tcPr>
            <w:tcW w:w="612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12,402</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18,343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 Reporting</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operates as a single operating segment, which is the business of developing and commercializing therapeutics. The Company’s chief operating decision maker, or CODM, its chief executive officer, reviews financial information on an aggregate basis for the purpose of allocating resources and assessing performance. When deciding how to allocate resources, the CODM reviews the financial results of the Company's drug candidate programs. The measure of segment assets is reported on the consolidated balance sheet as total assets.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is a summary of the segment profit or loss, including significant segment expenses (in thousands):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60"/>
              <w:spacing w:after="0" w:line="202" w:lineRule="exact"/>
              <w:rPr>
                <w:sz w:val="20"/>
                <w:szCs w:val="20"/>
                <w:color w:val="auto"/>
              </w:rPr>
            </w:pPr>
            <w:r>
              <w:rPr>
                <w:rFonts w:ascii="Arial" w:cs="Arial" w:eastAsia="Arial" w:hAnsi="Arial"/>
                <w:sz w:val="18"/>
                <w:szCs w:val="18"/>
                <w:color w:val="auto"/>
              </w:rPr>
              <w:t>Fosgonimeton (ATH-1017)</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41,510</w:t>
            </w:r>
          </w:p>
        </w:tc>
        <w:tc>
          <w:tcPr>
            <w:tcW w:w="26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66,524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ATH-1105</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8,567</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20" w:type="dxa"/>
            <w:vAlign w:val="bottom"/>
          </w:tcPr>
          <w:p>
            <w:pPr>
              <w:ind w:left="260"/>
              <w:spacing w:after="0" w:line="202" w:lineRule="exact"/>
              <w:rPr>
                <w:sz w:val="20"/>
                <w:szCs w:val="20"/>
                <w:color w:val="auto"/>
              </w:rPr>
            </w:pPr>
            <w:r>
              <w:rPr>
                <w:rFonts w:ascii="Arial" w:cs="Arial" w:eastAsia="Arial" w:hAnsi="Arial"/>
                <w:sz w:val="18"/>
                <w:szCs w:val="18"/>
                <w:color w:val="auto"/>
              </w:rPr>
              <w:t>ATH-1020</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Preclinical programs and other costs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260"/>
              <w:spacing w:after="0" w:line="183" w:lineRule="exact"/>
              <w:rPr>
                <w:sz w:val="20"/>
                <w:szCs w:val="20"/>
                <w:color w:val="auto"/>
              </w:rPr>
            </w:pPr>
            <w:r>
              <w:rPr>
                <w:rFonts w:ascii="Arial" w:cs="Arial" w:eastAsia="Arial" w:hAnsi="Arial"/>
                <w:sz w:val="18"/>
                <w:szCs w:val="18"/>
                <w:color w:val="auto"/>
              </w:rPr>
              <w:t>Personnel-related costs, excluding stock-</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12,289</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20" w:type="dxa"/>
            <w:vAlign w:val="bottom"/>
          </w:tcPr>
          <w:p>
            <w:pPr>
              <w:ind w:left="420"/>
              <w:spacing w:after="0"/>
              <w:rPr>
                <w:sz w:val="20"/>
                <w:szCs w:val="20"/>
                <w:color w:val="auto"/>
              </w:rPr>
            </w:pPr>
            <w:r>
              <w:rPr>
                <w:rFonts w:ascii="Arial" w:cs="Arial" w:eastAsia="Arial" w:hAnsi="Arial"/>
                <w:sz w:val="18"/>
                <w:szCs w:val="18"/>
                <w:color w:val="auto"/>
              </w:rPr>
              <w:t>based compensation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66,251</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89,399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line="156" w:lineRule="exact"/>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8"/>
                <w:szCs w:val="18"/>
                <w:color w:val="auto"/>
              </w:rPr>
              <w:t>22,631</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line="156" w:lineRule="exact"/>
              <w:rPr>
                <w:sz w:val="20"/>
                <w:szCs w:val="20"/>
                <w:color w:val="auto"/>
              </w:rPr>
            </w:pPr>
            <w:r>
              <w:rPr>
                <w:rFonts w:ascii="Arial" w:cs="Arial" w:eastAsia="Arial" w:hAnsi="Arial"/>
                <w:sz w:val="18"/>
                <w:szCs w:val="18"/>
                <w:color w:val="auto"/>
              </w:rPr>
              <w:t>24,475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line="243" w:lineRule="exact"/>
              <w:rPr>
                <w:sz w:val="20"/>
                <w:szCs w:val="20"/>
                <w:color w:val="auto"/>
              </w:rPr>
            </w:pPr>
            <w:r>
              <w:rPr>
                <w:rFonts w:ascii="Arial" w:cs="Arial" w:eastAsia="Arial" w:hAnsi="Arial"/>
                <w:sz w:val="18"/>
                <w:szCs w:val="18"/>
                <w:color w:val="auto"/>
              </w:rPr>
              <w:t>Other segment expenses</w:t>
            </w:r>
            <w:r>
              <w:rPr>
                <w:rFonts w:ascii="Arial" w:cs="Arial" w:eastAsia="Arial" w:hAnsi="Arial"/>
                <w:sz w:val="24"/>
                <w:szCs w:val="24"/>
                <w:color w:val="auto"/>
                <w:vertAlign w:val="superscript"/>
              </w:rPr>
              <w:t>(a)</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12,020</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100,902</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125,466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(100,902 )</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(125,466 )</w:t>
            </w:r>
          </w:p>
        </w:tc>
        <w:tc>
          <w:tcPr>
            <w:tcW w:w="0" w:type="dxa"/>
            <w:vAlign w:val="bottom"/>
          </w:tcPr>
          <w:p>
            <w:pPr>
              <w:spacing w:after="0"/>
              <w:rPr>
                <w:sz w:val="1"/>
                <w:szCs w:val="1"/>
                <w:color w:val="auto"/>
              </w:rPr>
            </w:pPr>
          </w:p>
        </w:tc>
      </w:tr>
      <w:tr>
        <w:trPr>
          <w:trHeight w:val="203"/>
        </w:trPr>
        <w:tc>
          <w:tcPr>
            <w:tcW w:w="5620" w:type="dxa"/>
            <w:vAlign w:val="bottom"/>
          </w:tcPr>
          <w:p>
            <w:pPr>
              <w:ind w:left="260"/>
              <w:spacing w:after="0" w:line="202" w:lineRule="exact"/>
              <w:rPr>
                <w:sz w:val="20"/>
                <w:szCs w:val="20"/>
                <w:color w:val="auto"/>
              </w:rPr>
            </w:pPr>
            <w:r>
              <w:rPr>
                <w:rFonts w:ascii="Arial" w:cs="Arial" w:eastAsia="Arial" w:hAnsi="Arial"/>
                <w:sz w:val="18"/>
                <w:szCs w:val="18"/>
                <w:color w:val="auto"/>
              </w:rPr>
              <w:t>Grant income</w:t>
            </w:r>
          </w:p>
        </w:tc>
        <w:tc>
          <w:tcPr>
            <w:tcW w:w="30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3,962</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(96,940 )</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(117,672 )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-950595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-950595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-814070</wp:posOffset>
            </wp:positionV>
            <wp:extent cx="570039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-162560</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59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24"/>
          <w:szCs w:val="24"/>
          <w:color w:val="auto"/>
          <w:vertAlign w:val="superscript"/>
        </w:rPr>
        <w:t>(a)</w:t>
      </w:r>
      <w:r>
        <w:rPr>
          <w:rFonts w:ascii="Arial" w:cs="Arial" w:eastAsia="Arial" w:hAnsi="Arial"/>
          <w:sz w:val="18"/>
          <w:szCs w:val="18"/>
          <w:color w:val="auto"/>
        </w:rPr>
        <w:t>Other segment expenses includes stock-based compensation and depreciation expenses.</w:t>
      </w:r>
    </w:p>
    <w:p>
      <w:pPr>
        <w:spacing w:after="0" w:line="258" w:lineRule="exact"/>
        <w:rPr>
          <w:sz w:val="20"/>
          <w:szCs w:val="20"/>
          <w:color w:val="auto"/>
        </w:rPr>
      </w:pPr>
    </w:p>
    <w:p>
      <w:pPr>
        <w:ind w:left="500" w:right="8180" w:hanging="492"/>
        <w:spacing w:after="0" w:line="381" w:lineRule="auto"/>
        <w:tabs>
          <w:tab w:leader="none" w:pos="201"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jc w:val="both"/>
        <w:ind w:firstLine="509"/>
        <w:spacing w:after="0" w:line="253" w:lineRule="auto"/>
        <w:rPr>
          <w:sz w:val="20"/>
          <w:szCs w:val="20"/>
          <w:color w:val="auto"/>
        </w:rPr>
      </w:pPr>
      <w:r>
        <w:rPr>
          <w:rFonts w:ascii="Arial" w:cs="Arial" w:eastAsia="Arial" w:hAnsi="Arial"/>
          <w:sz w:val="18"/>
          <w:szCs w:val="18"/>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Starting in June 2021, putative securities class action lawsuits were filed in the U.S. District Court for the Western District of Washington against the Company and certain of its current and former members of management and the board of directors. After these lawsuits were consolidated and lead plaintiffs were appointed to represent the putative class, lead plaintiffs filed a consolidated amended complaint on January 7, 2022, which asserted violations of Sections 10(b) and 20(a) of the Exchange Act and SEC Rule 10b-5 and Sections 11, 12, and 15 of the Securities Act. The consolidated amended complaint alleged that the IPO and SPO registration statements and/or other public statements were materially false and misleading because they omitted to state that certain of the Company's former CEO’s published doctoral research papers at WSU contained allegedly improperly altered images. Lead plaintiffs sought unspecified compensatory damages, as well as equitable and injunctive relief on behalf of themselves and the purported class. On July 29, 2022, the court issued an order granting in part and denying in part the defendants’ motion to dismiss. The order dismissed the Section 10(b) and Section 20(a) claims arising under the Exchange Act, dismissed the Section 11 claim arising under the Securities Act as to all defendants other than the Company and its former CEO, dismissed the Section 12(a)(2) claim arising under the Securities Act as to the lead plaintiffs, and dismissed the Section 15 claim arising under the Securities Act against all defendants other than the Company's former CEO.</w:t>
      </w:r>
    </w:p>
    <w:p>
      <w:pPr>
        <w:spacing w:after="0" w:line="1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November 4, 2022, the Company and its former CEO filed their individual answers to the consolidated amended complaint. In mid-November 2022, the parties began conducting fact discovery.</w:t>
      </w:r>
    </w:p>
    <w:p>
      <w:pPr>
        <w:spacing w:after="0" w:line="15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March 29, 2024, following a mediation and the parties’ agreement in the fourth quarter of 2022 to settle the securities class action for $10 million subject to the court’s approval, the court entered an order preliminarily approving a settlement of the securities class action.</w:t>
      </w:r>
    </w:p>
    <w:p>
      <w:pPr>
        <w:spacing w:after="0" w:line="15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November 1, 2024, following class notice and a final approval hearing, the court entered a final written judgment and order granting final approval of the settlement and closed the case.</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a result of the foregoing, the Company recorded a legal settlement expense of $10.0 million in operating expenses in the fourth quarter of 2022. An accrued liability of $10.0 million was recorded on the accompanying condensed consolidated balance sheets as of December 31, 2023. Additionally, the Company recorded an insurance recovery of $1.6 million in operating expenses in the fourth quarter of 2023 and an insurance recovery receivable of $1.6 million on the accompanying condensed consolidated balance sheets as of December 31, 2023. This insurance recovery represents the amount of the settlement covered by the Company's insurers. The Company and its insurance providers paid the settlement fee during 2024 and no further liability exists following the court granting final approval of the settlement and closing the case in November 2024.</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Shareholder Derivative Actions</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Starting in April 2022, shareholder derivative actions were filed in the U.S. District Court for the Western District of Washington against certain current and former members of the Company’s board of directors. The derivative complaints alleged that the Company’s board of directors breached its fiduciary duties by failing to prevent alleged misstatements in the Company’s public filings, failing to discover altered images in certain research papers, and failing to take appropriate action. The derivative complaints asserted claims for violations of Section 14(a) of the Exchange Act as well as claims for breach of fiduciary duty, contribution and indemnification, aiding and abetting, and waste of corporate assets.</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On May 26, 2022, the court issued an order consolidating the derivative cases and staying them until further order of the court. On March 18, 2024, following a mediation and the parties entering into a stipulation of settlement to settle the consolidated derivative action for certain corporate governance reforms and the payment of a fee and expense award to plaintiffs’ counsel, plaintiffs filed an unopposed motion for preliminary approval of a settlement of the derivative action. On July 18, 2024, the court entered an order and judgment granting plaintiffs’ motion for final approval of derivative settlement, finding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settlement to be fair, reasonable, and adequate to the settling parties and the Company’s shareholders, and dismissing the derivative action with prejudice.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paid the fee and expense award related to this shareholder derivative action settlement during the third quarter of 2024.</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Government Investigation</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November 2022, the Company received a Civil Investigative Demand from the Civil Division of the Department of Justice, or the Demand. The Demand sought documents and information relating to the Company’s relationship with WSU, certain of its grant applications in 2016 and 2019 with the NIH, and the Company’s receipt of an NIH grant in 2020. The Company cooperated with the Department of Justice with respect to the Demand.</w:t>
      </w:r>
    </w:p>
    <w:p>
      <w:pPr>
        <w:spacing w:after="0" w:line="6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In September 2024, the Company reached an agreement in principle (subject to approvals within the Department of Justice and the Office of Inspector General of the U.S. Department of Health and Humans Service) to settle the Department of Justice’s claims, including alleged violations of the False Claims Act in connection with the NIH grant applications and the Company’s receipt of an NIH grant in connection with one of those applications. This agreement also included the same claims alleged in a confidential, sealed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On December 31, 2024, the Company entered into a settlement agreement with the Department of Justice, OIG-HHS, and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relator in which the Company agreed to pay approximately $4.1 million.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recorded a legal expense of $4.1 million based on developments in the third quarter of 2024 and a corresponding accrued liability on the accompanying consolidated balance sheets as of December 31, 2024. The Company paid the $4.1 million settlement in January 2025.</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December 31, 2024, the Company was not party to any finance leases.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Total undiscounted lease payments</w:t>
            </w: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3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Present value adjustment for minimum lease</w:t>
            </w:r>
          </w:p>
        </w:tc>
        <w:tc>
          <w:tcPr>
            <w:tcW w:w="160" w:type="dxa"/>
            <w:vAlign w:val="bottom"/>
            <w:shd w:val="clear" w:color="auto" w:fill="CFF0FC"/>
          </w:tcPr>
          <w:p>
            <w:pPr>
              <w:spacing w:after="0"/>
              <w:rPr>
                <w:sz w:val="15"/>
                <w:szCs w:val="15"/>
                <w:color w:val="auto"/>
              </w:rPr>
            </w:pPr>
          </w:p>
        </w:tc>
        <w:tc>
          <w:tcPr>
            <w:tcW w:w="13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8"/>
        </w:trPr>
        <w:tc>
          <w:tcPr>
            <w:tcW w:w="6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commitments</w:t>
            </w:r>
          </w:p>
        </w:tc>
        <w:tc>
          <w:tcPr>
            <w:tcW w:w="16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FF0FC"/>
            </w:tcBorders>
          </w:tcPr>
          <w:p>
            <w:pPr>
              <w:ind w:left="260"/>
              <w:spacing w:after="0" w:line="196" w:lineRule="exact"/>
              <w:rPr>
                <w:sz w:val="20"/>
                <w:szCs w:val="20"/>
                <w:color w:val="auto"/>
              </w:rPr>
            </w:pPr>
            <w:r>
              <w:rPr>
                <w:rFonts w:ascii="Arial" w:cs="Arial" w:eastAsia="Arial" w:hAnsi="Arial"/>
                <w:sz w:val="18"/>
                <w:szCs w:val="18"/>
                <w:color w:val="auto"/>
              </w:rPr>
              <w:t>Net lease liability</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-548005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80" w:type="dxa"/>
            <w:vAlign w:val="bottom"/>
          </w:tcPr>
          <w:p>
            <w:pPr>
              <w:spacing w:after="0"/>
              <w:rPr>
                <w:sz w:val="14"/>
                <w:szCs w:val="14"/>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r>
      <w:tr>
        <w:trPr>
          <w:trHeight w:val="196"/>
        </w:trPr>
        <w:tc>
          <w:tcPr>
            <w:tcW w:w="6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1580" w:type="dxa"/>
            <w:vAlign w:val="bottom"/>
            <w:shd w:val="clear" w:color="auto" w:fill="CFF0FC"/>
          </w:tcPr>
          <w:p>
            <w:pPr>
              <w:ind w:left="1300"/>
              <w:spacing w:after="0" w:line="196" w:lineRule="exact"/>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7"/>
                <w:szCs w:val="17"/>
                <w:color w:val="auto"/>
              </w:rPr>
            </w:pPr>
          </w:p>
        </w:tc>
      </w:tr>
      <w:tr>
        <w:trPr>
          <w:trHeight w:val="239"/>
        </w:trPr>
        <w:tc>
          <w:tcPr>
            <w:tcW w:w="60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80" w:type="dxa"/>
            <w:vAlign w:val="bottom"/>
            <w:gridSpan w:val="2"/>
          </w:tcPr>
          <w:p>
            <w:pPr>
              <w:ind w:left="1300"/>
              <w:spacing w:after="0"/>
              <w:rPr>
                <w:sz w:val="20"/>
                <w:szCs w:val="20"/>
                <w:color w:val="auto"/>
              </w:rPr>
            </w:pPr>
            <w:r>
              <w:rPr>
                <w:rFonts w:ascii="Arial" w:cs="Arial" w:eastAsia="Arial" w:hAnsi="Arial"/>
                <w:sz w:val="18"/>
                <w:szCs w:val="18"/>
                <w:color w:val="auto"/>
                <w:w w:val="99"/>
              </w:rPr>
              <w:t>8.1 %</w:t>
            </w:r>
          </w:p>
        </w:tc>
      </w:tr>
    </w:tbl>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Operating lease expense was $353,000 and $353,000 for the years ended December 31, 2024 and 2023, respectively. Separately, variable lease expense was $149,000 and $186,000 for operating leases during the years ended December 31, 2024 and 2023,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38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72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Shares issuable upon the exercise of outstanding</w:t>
            </w: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common stock options and the vesting of</w:t>
            </w: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outstanding common restricted stock</w:t>
            </w: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units granted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10,234,971</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7,130,956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line="183" w:lineRule="exact"/>
              <w:rPr>
                <w:sz w:val="20"/>
                <w:szCs w:val="20"/>
                <w:color w:val="auto"/>
              </w:rPr>
            </w:pPr>
            <w:r>
              <w:rPr>
                <w:rFonts w:ascii="Arial" w:cs="Arial" w:eastAsia="Arial" w:hAnsi="Arial"/>
                <w:sz w:val="18"/>
                <w:szCs w:val="18"/>
                <w:color w:val="auto"/>
              </w:rPr>
              <w:t>Shares available for future grant under the 2020</w:t>
            </w: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20" w:type="dxa"/>
            <w:vAlign w:val="bottom"/>
          </w:tcPr>
          <w:p>
            <w:pPr>
              <w:ind w:left="160"/>
              <w:spacing w:after="0"/>
              <w:rPr>
                <w:sz w:val="20"/>
                <w:szCs w:val="20"/>
                <w:color w:val="auto"/>
              </w:rPr>
            </w:pPr>
            <w:r>
              <w:rPr>
                <w:rFonts w:ascii="Arial" w:cs="Arial" w:eastAsia="Arial" w:hAnsi="Arial"/>
                <w:sz w:val="18"/>
                <w:szCs w:val="18"/>
                <w:color w:val="auto"/>
              </w:rPr>
              <w:t>Equity Incentive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1,666,381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3,158,094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available for future grant under the</w:t>
            </w: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Employee Stock Purchase Plan</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1,338,444</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1,128,732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line="183" w:lineRule="exact"/>
              <w:rPr>
                <w:sz w:val="20"/>
                <w:szCs w:val="20"/>
                <w:color w:val="auto"/>
              </w:rPr>
            </w:pPr>
            <w:r>
              <w:rPr>
                <w:rFonts w:ascii="Arial" w:cs="Arial" w:eastAsia="Arial" w:hAnsi="Arial"/>
                <w:sz w:val="18"/>
                <w:szCs w:val="18"/>
                <w:color w:val="auto"/>
              </w:rPr>
              <w:t>Shares available for future grant under the 2024</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720" w:type="dxa"/>
            <w:vAlign w:val="bottom"/>
          </w:tcPr>
          <w:p>
            <w:pPr>
              <w:ind w:left="160"/>
              <w:spacing w:after="0"/>
              <w:rPr>
                <w:sz w:val="20"/>
                <w:szCs w:val="20"/>
                <w:color w:val="auto"/>
              </w:rPr>
            </w:pPr>
            <w:r>
              <w:rPr>
                <w:rFonts w:ascii="Arial" w:cs="Arial" w:eastAsia="Arial" w:hAnsi="Arial"/>
                <w:sz w:val="18"/>
                <w:szCs w:val="18"/>
                <w:color w:val="auto"/>
              </w:rPr>
              <w:t>Inducement Equity Incentive Plan</w:t>
            </w:r>
          </w:p>
        </w:tc>
        <w:tc>
          <w:tcPr>
            <w:tcW w:w="1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13,589,796</w:t>
            </w:r>
          </w:p>
        </w:tc>
        <w:tc>
          <w:tcPr>
            <w:tcW w:w="2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11,417,782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2020 Equity Incentive Plan, or the 2020 Plan, provides for annual increases in the number of shares that may be issued under the 2020 Plan on January 1, 2021 and each subsequent January 1, thereafter, by a number of shares equal to the least of (1) 3,230,000 shares, (2) 5%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number of shares of common stock issued and outstanding on the immediately preceding December 31, and (3) an amount determined by the Company’s board of directors.</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Company’s 2020 Employee Stock Purchase Plan, or the ESPP, provides for annual increases in the number of shares that may be issued under the ESPP on January 1, 2021 and each subsequent January 1, thereafter, by a number of shares equal to the least of (1) 646,000 shares, (2) 1% of the number of shares of common stock issued and outstanding on the immediately preceding December 31, and (3) an amount determined by the Company’s board of directors.</w:t>
      </w:r>
    </w:p>
    <w:p>
      <w:pPr>
        <w:spacing w:after="0" w:line="22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Effective January 1, 2024, the Company’s 2020 Plan and ESPP reserves increased by 1,908,630 shares and 381,726 shares, respectively.</w:t>
      </w:r>
    </w:p>
    <w:p>
      <w:pPr>
        <w:spacing w:after="0" w:line="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February 2024, the board of directors adopted the Athira Pharma, Inc. 2024 Inducement Equity Incentive Plan, or the 2024 Inducement Plan, and, subject to the adjustment provisions of the 2024 Inducement Plan, reserved 750,000 shares of the Company's common stock for issuance pursuant to equity awards granted under the 2024 Inducement Plan.</w:t>
      </w:r>
    </w:p>
    <w:p>
      <w:pPr>
        <w:spacing w:after="0" w:line="1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Effective January 1, 2025, the Company’s 2020 Plan and ESPP reserves increased by 1,952,047 shares and 390,409 shares,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6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3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4,043</w:t>
            </w:r>
          </w:p>
        </w:tc>
        <w:tc>
          <w:tcPr>
            <w:tcW w:w="46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4,003</w:t>
            </w:r>
          </w:p>
        </w:tc>
        <w:tc>
          <w:tcPr>
            <w:tcW w:w="8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7,006</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6,620</w:t>
            </w:r>
          </w:p>
        </w:tc>
        <w:tc>
          <w:tcPr>
            <w:tcW w:w="80" w:type="dxa"/>
            <w:vAlign w:val="bottom"/>
          </w:tcPr>
          <w:p>
            <w:pPr>
              <w:spacing w:after="0"/>
              <w:rPr>
                <w:sz w:val="17"/>
                <w:szCs w:val="17"/>
                <w:color w:val="auto"/>
              </w:rPr>
            </w:pPr>
          </w:p>
        </w:tc>
      </w:tr>
      <w:tr>
        <w:trPr>
          <w:trHeight w:val="236"/>
        </w:trPr>
        <w:tc>
          <w:tcPr>
            <w:tcW w:w="530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11,049</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10,623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46" w:lineRule="exact"/>
        <w:rPr>
          <w:sz w:val="20"/>
          <w:szCs w:val="20"/>
          <w:color w:val="auto"/>
        </w:rPr>
      </w:pPr>
    </w:p>
    <w:p>
      <w:pPr>
        <w:ind w:left="1020" w:right="20" w:hanging="503"/>
        <w:spacing w:after="0" w:line="270" w:lineRule="auto"/>
        <w:tabs>
          <w:tab w:leader="none" w:pos="10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each share of common stock is based on the closing price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or other relevant determination date, as reported on The Nasdaq Global Select Market.</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85" w:lineRule="exact"/>
        <w:rPr>
          <w:sz w:val="20"/>
          <w:szCs w:val="20"/>
          <w:color w:val="auto"/>
        </w:rPr>
      </w:pPr>
    </w:p>
    <w:p>
      <w:pPr>
        <w:ind w:left="1020" w:hanging="503"/>
        <w:spacing w:after="0" w:line="270" w:lineRule="auto"/>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114" w:lineRule="exact"/>
        <w:rPr>
          <w:sz w:val="20"/>
          <w:szCs w:val="20"/>
          <w:color w:val="auto"/>
        </w:rPr>
      </w:pPr>
    </w:p>
    <w:p>
      <w:pPr>
        <w:jc w:val="both"/>
        <w:ind w:right="20" w:firstLine="509"/>
        <w:spacing w:after="0" w:line="241"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2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4.13 %</w:t>
            </w:r>
          </w:p>
        </w:tc>
        <w:tc>
          <w:tcPr>
            <w:tcW w:w="13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3.54 %</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97.21 %</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99.18 %</w:t>
            </w: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w:t>
            </w:r>
          </w:p>
        </w:tc>
        <w:tc>
          <w:tcPr>
            <w:tcW w:w="200" w:type="dxa"/>
            <w:vAlign w:val="bottom"/>
            <w:shd w:val="clear" w:color="auto" w:fill="CFF0FC"/>
          </w:tcPr>
          <w:p>
            <w:pPr>
              <w:spacing w:after="0"/>
              <w:rPr>
                <w:sz w:val="17"/>
                <w:szCs w:val="17"/>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grant date fair value of restricted stock units is based upon the fair market value of the Company’s common stock based on its closing price as reported on the date of grant on the Nasdaq Global Select Market.</w:t>
      </w:r>
    </w:p>
    <w:p>
      <w:pPr>
        <w:spacing w:after="0" w:line="20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fair value of options granted during the years ended December 31, 2024 and 2023 was $10.6 million and $9.8 million, respectively. The fair value of restricted stock units granted during the year ended December 31, 2024 and 2023 was $0.4 million and $0.5 million,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Changes in shares available for grant under the 2020 Plan and the 2024 Inducement Plan during the year ended December 31, 2024 were as follows: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Grant</w:t>
            </w:r>
          </w:p>
        </w:tc>
        <w:tc>
          <w:tcPr>
            <w:tcW w:w="0" w:type="dxa"/>
            <w:vAlign w:val="bottom"/>
          </w:tcPr>
          <w:p>
            <w:pPr>
              <w:spacing w:after="0"/>
              <w:rPr>
                <w:sz w:val="1"/>
                <w:szCs w:val="1"/>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Shares available for grant at December 31, 2023</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3,158,094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2020 Plan reserve increase on January 1, 2024</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1,908,630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reserved upon adoption of the</w:t>
            </w: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2024 Inducement Plan</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Options and restricted stock units granted</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(5,986,613 )</w:t>
            </w:r>
          </w:p>
        </w:tc>
        <w:tc>
          <w:tcPr>
            <w:tcW w:w="0" w:type="dxa"/>
            <w:vAlign w:val="bottom"/>
          </w:tcPr>
          <w:p>
            <w:pPr>
              <w:spacing w:after="0"/>
              <w:rPr>
                <w:sz w:val="1"/>
                <w:szCs w:val="1"/>
                <w:color w:val="auto"/>
              </w:rPr>
            </w:pPr>
          </w:p>
        </w:tc>
      </w:tr>
      <w:tr>
        <w:trPr>
          <w:trHeight w:val="184"/>
        </w:trPr>
        <w:tc>
          <w:tcPr>
            <w:tcW w:w="6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Options and restricted stock units forfeited,</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2,186,270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cancelled, or expired</w:t>
            </w:r>
          </w:p>
        </w:tc>
        <w:tc>
          <w:tcPr>
            <w:tcW w:w="13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line="196" w:lineRule="exact"/>
              <w:rPr>
                <w:sz w:val="20"/>
                <w:szCs w:val="20"/>
                <w:color w:val="auto"/>
              </w:rPr>
            </w:pPr>
            <w:r>
              <w:rPr>
                <w:rFonts w:ascii="Arial" w:cs="Arial" w:eastAsia="Arial" w:hAnsi="Arial"/>
                <w:sz w:val="18"/>
                <w:szCs w:val="18"/>
                <w:color w:val="auto"/>
              </w:rPr>
              <w:t>Shares available for grant at December 31, 2024</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2,016,381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-162560</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 summary of stock option activity under the 2020 Plan and the 2024 Inducement Plan for the year ended December 31, 2024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280"/>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280"/>
              <w:spacing w:after="0"/>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280"/>
              <w:spacing w:after="0"/>
              <w:rPr>
                <w:sz w:val="20"/>
                <w:szCs w:val="20"/>
                <w:color w:val="auto"/>
              </w:rPr>
            </w:pPr>
            <w:r>
              <w:rPr>
                <w:rFonts w:ascii="Arial" w:cs="Arial" w:eastAsia="Arial" w:hAnsi="Arial"/>
                <w:sz w:val="14"/>
                <w:szCs w:val="14"/>
                <w:b w:val="1"/>
                <w:bCs w:val="1"/>
                <w:color w:val="auto"/>
              </w:rPr>
              <w:t>price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2023</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6,820,869</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0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7.97</w:t>
            </w:r>
          </w:p>
        </w:tc>
        <w:tc>
          <w:tcPr>
            <w:tcW w:w="15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8.24</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387</w:t>
            </w: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5,052,871</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6"/>
              </w:rPr>
              <w:t>2.64</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(75,660 )</w:t>
            </w: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0.16</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Forfeited/expired</w:t>
            </w: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(2,185,770 )</w:t>
            </w:r>
          </w:p>
        </w:tc>
        <w:tc>
          <w:tcPr>
            <w:tcW w:w="9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6"/>
              </w:rPr>
              <w:t>4.21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8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2024</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9,612,310</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0"/>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6"/>
              </w:rPr>
              <w:t>6.08</w:t>
            </w:r>
          </w:p>
        </w:tc>
        <w:tc>
          <w:tcPr>
            <w:tcW w:w="15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8.08</w:t>
            </w:r>
          </w:p>
        </w:tc>
        <w:tc>
          <w:tcPr>
            <w:tcW w:w="46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183"/>
        </w:trPr>
        <w:tc>
          <w:tcPr>
            <w:tcW w:w="580" w:type="dxa"/>
            <w:vAlign w:val="bottom"/>
          </w:tcPr>
          <w:p>
            <w:pPr>
              <w:spacing w:after="0"/>
              <w:rPr>
                <w:sz w:val="15"/>
                <w:szCs w:val="15"/>
                <w:color w:val="auto"/>
              </w:rPr>
            </w:pPr>
          </w:p>
        </w:tc>
        <w:tc>
          <w:tcPr>
            <w:tcW w:w="3820" w:type="dxa"/>
            <w:vAlign w:val="bottom"/>
          </w:tcPr>
          <w:p>
            <w:pPr>
              <w:spacing w:after="0" w:line="182" w:lineRule="exact"/>
              <w:rPr>
                <w:sz w:val="20"/>
                <w:szCs w:val="20"/>
                <w:color w:val="auto"/>
              </w:rPr>
            </w:pPr>
            <w:r>
              <w:rPr>
                <w:rFonts w:ascii="Arial" w:cs="Arial" w:eastAsia="Arial" w:hAnsi="Arial"/>
                <w:sz w:val="18"/>
                <w:szCs w:val="18"/>
                <w:color w:val="auto"/>
              </w:rPr>
              <w:t>Expected to vest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4,055,037</w:t>
            </w:r>
          </w:p>
        </w:tc>
        <w:tc>
          <w:tcPr>
            <w:tcW w:w="240" w:type="dxa"/>
            <w:vAlign w:val="bottom"/>
          </w:tcPr>
          <w:p>
            <w:pPr>
              <w:spacing w:after="0"/>
              <w:rPr>
                <w:sz w:val="15"/>
                <w:szCs w:val="15"/>
                <w:color w:val="auto"/>
              </w:rPr>
            </w:pPr>
          </w:p>
        </w:tc>
        <w:tc>
          <w:tcPr>
            <w:tcW w:w="980" w:type="dxa"/>
            <w:vAlign w:val="bottom"/>
          </w:tcPr>
          <w:p>
            <w:pPr>
              <w:jc w:val="right"/>
              <w:ind w:right="800"/>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w w:val="96"/>
              </w:rPr>
              <w:t>3.79</w:t>
            </w:r>
          </w:p>
        </w:tc>
        <w:tc>
          <w:tcPr>
            <w:tcW w:w="1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8.82</w:t>
            </w:r>
          </w:p>
        </w:tc>
        <w:tc>
          <w:tcPr>
            <w:tcW w:w="4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Options exercisable</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5,557,273</w:t>
            </w: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800"/>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6"/>
              </w:rPr>
              <w:t>7.75</w:t>
            </w:r>
          </w:p>
        </w:tc>
        <w:tc>
          <w:tcPr>
            <w:tcW w:w="15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7.53</w:t>
            </w:r>
          </w:p>
        </w:tc>
        <w:tc>
          <w:tcPr>
            <w:tcW w:w="46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862"/>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-1379220</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-1362075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-1070610</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-1053465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2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total fair value of options granted that vested during the years ended December 31, 2024 and 2023 was $11.0 million and $9.8 million, respectively.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December 31, 2024. The aggregate intrinsic value of options exercised was $0.2 million and $0.2 million during the year ended December 31, 2024 and 2023, respectively, determined as of the date of option exercise. As of December 31, 2024, there was $9.8 million of total unrecognized compensation cost related to non-vested stock options. The Company expects to recognize this cost over a remaining weighted-average period of 1.99 years. The Company utilizes newly issued shares to satisfy option exercises.</w:t>
      </w:r>
    </w:p>
    <w:p>
      <w:pPr>
        <w:spacing w:after="0" w:line="17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Stock options outstanding and exercisable under the 2020 Plan and the 2024 Inducement Plan consisted of the following at December 31, 2024:</w:t>
      </w:r>
    </w:p>
    <w:p>
      <w:pPr>
        <w:spacing w:after="0" w:line="312"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455"/>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00" w:type="dxa"/>
            <w:vAlign w:val="bottom"/>
          </w:tcPr>
          <w:p>
            <w:pPr>
              <w:jc w:val="right"/>
              <w:ind w:right="295"/>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196"/>
        </w:trPr>
        <w:tc>
          <w:tcPr>
            <w:tcW w:w="12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0.43 to 0.71</w:t>
            </w:r>
          </w:p>
        </w:tc>
        <w:tc>
          <w:tcPr>
            <w:tcW w:w="318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964,067</w:t>
            </w:r>
          </w:p>
        </w:tc>
        <w:tc>
          <w:tcPr>
            <w:tcW w:w="22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310,581</w:t>
            </w:r>
          </w:p>
        </w:tc>
        <w:tc>
          <w:tcPr>
            <w:tcW w:w="80" w:type="dxa"/>
            <w:vAlign w:val="bottom"/>
            <w:shd w:val="clear" w:color="auto" w:fill="CFF0FC"/>
          </w:tcPr>
          <w:p>
            <w:pPr>
              <w:spacing w:after="0"/>
              <w:rPr>
                <w:sz w:val="17"/>
                <w:szCs w:val="17"/>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1.04 to 4.22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5,771,807</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2,834,921</w:t>
            </w:r>
          </w:p>
        </w:tc>
        <w:tc>
          <w:tcPr>
            <w:tcW w:w="80" w:type="dxa"/>
            <w:vAlign w:val="bottom"/>
          </w:tcPr>
          <w:p>
            <w:pPr>
              <w:spacing w:after="0"/>
              <w:rPr>
                <w:sz w:val="17"/>
                <w:szCs w:val="17"/>
                <w:color w:val="auto"/>
              </w:rPr>
            </w:pPr>
          </w:p>
        </w:tc>
      </w:tr>
      <w:tr>
        <w:trPr>
          <w:trHeight w:val="203"/>
        </w:trPr>
        <w:tc>
          <w:tcPr>
            <w:tcW w:w="43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8.93 to 19.94</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2,528,788</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2,136,223</w:t>
            </w:r>
          </w:p>
        </w:tc>
        <w:tc>
          <w:tcPr>
            <w:tcW w:w="80" w:type="dxa"/>
            <w:vAlign w:val="bottom"/>
            <w:shd w:val="clear" w:color="auto" w:fill="CFF0FC"/>
          </w:tcPr>
          <w:p>
            <w:pPr>
              <w:spacing w:after="0"/>
              <w:rPr>
                <w:sz w:val="17"/>
                <w:szCs w:val="17"/>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20.55 to 29.41</w:t>
            </w: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347,648</w:t>
            </w:r>
          </w:p>
        </w:tc>
        <w:tc>
          <w:tcPr>
            <w:tcW w:w="22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275,548</w:t>
            </w:r>
          </w:p>
        </w:tc>
        <w:tc>
          <w:tcPr>
            <w:tcW w:w="80" w:type="dxa"/>
            <w:vAlign w:val="bottom"/>
          </w:tcPr>
          <w:p>
            <w:pPr>
              <w:spacing w:after="0"/>
              <w:rPr>
                <w:sz w:val="17"/>
                <w:szCs w:val="17"/>
                <w:color w:val="auto"/>
              </w:rPr>
            </w:pPr>
          </w:p>
        </w:tc>
      </w:tr>
      <w:tr>
        <w:trPr>
          <w:trHeight w:val="236"/>
        </w:trPr>
        <w:tc>
          <w:tcPr>
            <w:tcW w:w="4380" w:type="dxa"/>
            <w:vAlign w:val="bottom"/>
            <w:tcBorders>
              <w:bottom w:val="single" w:sz="8" w:color="CFF0FC"/>
            </w:tcBorders>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9,612,310</w:t>
            </w:r>
          </w:p>
        </w:tc>
        <w:tc>
          <w:tcPr>
            <w:tcW w:w="2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5,557,273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Restricted Stock Unit Activity</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A summary of restricted stock unit, or RSU, activity for the year ended December 31, 2024 is as follows: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30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530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Equivalent</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at December 31, 2023</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310,087</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11.44</w:t>
            </w:r>
          </w:p>
        </w:tc>
        <w:tc>
          <w:tcPr>
            <w:tcW w:w="8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933,742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0.46</w:t>
            </w:r>
          </w:p>
        </w:tc>
        <w:tc>
          <w:tcPr>
            <w:tcW w:w="8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Cancelled</w:t>
            </w:r>
          </w:p>
        </w:tc>
        <w:tc>
          <w:tcPr>
            <w:tcW w:w="13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(500 )</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8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(620,668 )</w:t>
            </w: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80" w:type="dxa"/>
            <w:vAlign w:val="bottom"/>
          </w:tcPr>
          <w:p>
            <w:pPr>
              <w:spacing w:after="0"/>
              <w:rPr>
                <w:sz w:val="17"/>
                <w:szCs w:val="17"/>
                <w:color w:val="auto"/>
              </w:rPr>
            </w:pPr>
          </w:p>
        </w:tc>
      </w:tr>
      <w:tr>
        <w:trPr>
          <w:trHeight w:val="236"/>
        </w:trPr>
        <w:tc>
          <w:tcPr>
            <w:tcW w:w="5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Non-vested at December 31, 2024</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622,661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As of December 31, 2024, there was $0.2 million of total unrecognized compensation cost related to non-vested RSUs. The Company expects to recognize this cost over a remaining weighted-average period of 0.77 years.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Employee Stock Purchase Plan</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Under the ESPP, eligible employees can authorize payroll deductions for amounts up to the lesser of 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shares of our common stock at a price per share that is 85% of the lesser of the fair market value of the shares at (1) the first day of the offering period or (2) the end of each purchase period within the offering period. A maximum of 10,000 shares of common stock may be purchased by each participant at the purchase date during the offering period. The fair market value of the ESPP options granted is determined using the Black-Scholes model and is amortized on a straight-line basis. Stock-based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121"/>
        </w:rPr>
        <w:t xml:space="preserve">compensation expense recognized during the years ended December 31, 2024 and 2023 associated with the ESPP was $0.1 million and $0.1 million, respectively. </w:t>
      </w:r>
      <w:r>
        <w:rPr>
          <w:rFonts w:ascii="Arial" w:cs="Arial" w:eastAsia="Arial" w:hAnsi="Arial"/>
          <w:sz w:val="18"/>
          <w:szCs w:val="18"/>
          <w:color w:val="000000"/>
        </w:rPr>
        <w:t>During the year ended December 31, 2024, the Company issued 172,014 shares of common stock to employees</w:t>
      </w:r>
      <w:r>
        <w:rPr>
          <w:rFonts w:ascii="Arial" w:cs="Arial" w:eastAsia="Arial" w:hAnsi="Arial"/>
          <w:sz w:val="18"/>
          <w:szCs w:val="18"/>
          <w:color w:val="212121"/>
        </w:rPr>
        <w:t xml:space="preserve"> </w:t>
      </w:r>
      <w:r>
        <w:rPr>
          <w:rFonts w:ascii="Arial" w:cs="Arial" w:eastAsia="Arial" w:hAnsi="Arial"/>
          <w:sz w:val="18"/>
          <w:szCs w:val="18"/>
          <w:color w:val="000000"/>
        </w:rPr>
        <w:t>under the ESPP.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10. Income Taxes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did not record a provision (benefit) for income taxes for the years ended December 31, 2024 and 2023. Net loss is attributable to the following tax jurisdictions (in thousands):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(96,910 )</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(117,440 )</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(30 )</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(232 )</w:t>
            </w:r>
          </w:p>
        </w:tc>
      </w:tr>
      <w:tr>
        <w:trPr>
          <w:trHeight w:val="20"/>
        </w:trPr>
        <w:tc>
          <w:tcPr>
            <w:tcW w:w="5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8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(96,940 )</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(117,672 )</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1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4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21.0 %</w:t>
            </w:r>
          </w:p>
        </w:tc>
        <w:tc>
          <w:tcPr>
            <w:tcW w:w="13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State taxes</w:t>
            </w: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4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(1.8 )</w:t>
            </w:r>
          </w:p>
        </w:tc>
        <w:tc>
          <w:tcPr>
            <w:tcW w:w="1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(1.1 )</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Non-deductible expenses and others</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(0.9 )</w:t>
            </w: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(0.1 )</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credits</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(21.4 )</w:t>
            </w: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(24.0 )</w:t>
            </w:r>
          </w:p>
        </w:tc>
      </w:tr>
      <w:tr>
        <w:trPr>
          <w:trHeight w:val="20"/>
        </w:trPr>
        <w:tc>
          <w:tcPr>
            <w:tcW w:w="5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Effective income tax rate</w:t>
            </w:r>
          </w:p>
        </w:tc>
        <w:tc>
          <w:tcPr>
            <w:tcW w:w="14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 %</w:t>
            </w:r>
          </w:p>
        </w:tc>
        <w:tc>
          <w:tcPr>
            <w:tcW w:w="13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 %</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120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1200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The components of the Company’s deferred tax assets and liabilities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tcPr>
          <w:p>
            <w:pPr>
              <w:ind w:left="260"/>
              <w:spacing w:after="0" w:line="202" w:lineRule="exact"/>
              <w:rPr>
                <w:sz w:val="20"/>
                <w:szCs w:val="20"/>
                <w:color w:val="auto"/>
              </w:rPr>
            </w:pPr>
            <w:r>
              <w:rPr>
                <w:rFonts w:ascii="Arial" w:cs="Arial" w:eastAsia="Arial" w:hAnsi="Arial"/>
                <w:sz w:val="18"/>
                <w:szCs w:val="18"/>
                <w:color w:val="auto"/>
              </w:rPr>
              <w:t>Net operating loss carryforwards</w:t>
            </w:r>
          </w:p>
        </w:tc>
        <w:tc>
          <w:tcPr>
            <w:tcW w:w="1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43,414</w:t>
            </w:r>
          </w:p>
        </w:tc>
        <w:tc>
          <w:tcPr>
            <w:tcW w:w="220" w:type="dxa"/>
            <w:vAlign w:val="bottom"/>
          </w:tcPr>
          <w:p>
            <w:pPr>
              <w:spacing w:after="0"/>
              <w:rPr>
                <w:sz w:val="17"/>
                <w:szCs w:val="17"/>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31,342</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3560" w:type="dxa"/>
            <w:vAlign w:val="bottom"/>
            <w:shd w:val="clear" w:color="auto" w:fill="CFF0FC"/>
          </w:tcPr>
          <w:p>
            <w:pPr>
              <w:ind w:left="260"/>
              <w:spacing w:after="0" w:line="183" w:lineRule="exact"/>
              <w:rPr>
                <w:sz w:val="20"/>
                <w:szCs w:val="20"/>
                <w:color w:val="auto"/>
              </w:rPr>
            </w:pPr>
            <w:r>
              <w:rPr>
                <w:rFonts w:ascii="Arial" w:cs="Arial" w:eastAsia="Arial" w:hAnsi="Arial"/>
                <w:sz w:val="18"/>
                <w:szCs w:val="18"/>
                <w:color w:val="auto"/>
              </w:rPr>
              <w:t>Research and development tax credit</w:t>
            </w:r>
          </w:p>
        </w:tc>
        <w:tc>
          <w:tcPr>
            <w:tcW w:w="1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5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carryforwards</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9,327</w:t>
            </w:r>
          </w:p>
        </w:tc>
        <w:tc>
          <w:tcPr>
            <w:tcW w:w="10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tcPr>
          <w:p>
            <w:pPr>
              <w:ind w:left="260"/>
              <w:spacing w:after="0" w:line="202" w:lineRule="exact"/>
              <w:rPr>
                <w:sz w:val="20"/>
                <w:szCs w:val="20"/>
                <w:color w:val="auto"/>
              </w:rPr>
            </w:pPr>
            <w:r>
              <w:rPr>
                <w:rFonts w:ascii="Arial" w:cs="Arial" w:eastAsia="Arial" w:hAnsi="Arial"/>
                <w:sz w:val="18"/>
                <w:szCs w:val="18"/>
                <w:color w:val="auto"/>
              </w:rPr>
              <w:t>Accrued liabilities</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2,828</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Stock-based compensation</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2,564</w:t>
            </w: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tcPr>
          <w:p>
            <w:pPr>
              <w:ind w:left="260"/>
              <w:spacing w:after="0" w:line="202" w:lineRule="exact"/>
              <w:rPr>
                <w:sz w:val="20"/>
                <w:szCs w:val="20"/>
                <w:color w:val="auto"/>
              </w:rPr>
            </w:pPr>
            <w:r>
              <w:rPr>
                <w:rFonts w:ascii="Arial" w:cs="Arial" w:eastAsia="Arial" w:hAnsi="Arial"/>
                <w:sz w:val="18"/>
                <w:szCs w:val="18"/>
                <w:color w:val="auto"/>
              </w:rPr>
              <w:t>Operating lease liability</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Other</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tcPr>
          <w:p>
            <w:pPr>
              <w:ind w:left="260"/>
              <w:spacing w:after="0" w:line="202" w:lineRule="exact"/>
              <w:rPr>
                <w:sz w:val="20"/>
                <w:szCs w:val="20"/>
                <w:color w:val="auto"/>
              </w:rPr>
            </w:pPr>
            <w:r>
              <w:rPr>
                <w:rFonts w:ascii="Arial" w:cs="Arial" w:eastAsia="Arial" w:hAnsi="Arial"/>
                <w:sz w:val="18"/>
                <w:szCs w:val="18"/>
                <w:color w:val="auto"/>
              </w:rPr>
              <w:t>Capitalized research and development</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32,540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25,182</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56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deferred tax assets</w:t>
            </w:r>
          </w:p>
        </w:tc>
        <w:tc>
          <w:tcPr>
            <w:tcW w:w="17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92,235</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71,756</w:t>
            </w:r>
          </w:p>
        </w:tc>
        <w:tc>
          <w:tcPr>
            <w:tcW w:w="10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56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Right of use asset</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(170 )</w:t>
            </w: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(221 )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tcPr>
          <w:p>
            <w:pPr>
              <w:ind w:left="260"/>
              <w:spacing w:after="0" w:line="202" w:lineRule="exact"/>
              <w:rPr>
                <w:sz w:val="20"/>
                <w:szCs w:val="20"/>
                <w:color w:val="auto"/>
              </w:rPr>
            </w:pPr>
            <w:r>
              <w:rPr>
                <w:rFonts w:ascii="Arial" w:cs="Arial" w:eastAsia="Arial" w:hAnsi="Arial"/>
                <w:sz w:val="18"/>
                <w:szCs w:val="18"/>
                <w:color w:val="auto"/>
              </w:rPr>
              <w:t>Prepaid expenses and other</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(82 )</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Investments</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(34 )</w:t>
            </w: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(214 )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560" w:type="dxa"/>
            <w:vAlign w:val="bottom"/>
          </w:tcPr>
          <w:p>
            <w:pPr>
              <w:ind w:left="520"/>
              <w:spacing w:after="0" w:line="196" w:lineRule="exact"/>
              <w:rPr>
                <w:sz w:val="20"/>
                <w:szCs w:val="20"/>
                <w:color w:val="auto"/>
              </w:rPr>
            </w:pPr>
            <w:r>
              <w:rPr>
                <w:rFonts w:ascii="Arial" w:cs="Arial" w:eastAsia="Arial" w:hAnsi="Arial"/>
                <w:sz w:val="18"/>
                <w:szCs w:val="18"/>
                <w:color w:val="auto"/>
              </w:rPr>
              <w:t>Total deferred tax liabilities</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(286 )</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(510 )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Less valuation allowance</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(91,949 )</w:t>
            </w: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(71,246 )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560" w:type="dxa"/>
            <w:vAlign w:val="bottom"/>
            <w:tcBorders>
              <w:top w:val="single" w:sz="8" w:color="CFF0FC"/>
            </w:tcBorders>
          </w:tcPr>
          <w:p>
            <w:pPr>
              <w:ind w:left="520"/>
              <w:spacing w:after="0" w:line="196" w:lineRule="exact"/>
              <w:rPr>
                <w:sz w:val="20"/>
                <w:szCs w:val="20"/>
                <w:color w:val="auto"/>
              </w:rPr>
            </w:pPr>
            <w:r>
              <w:rPr>
                <w:rFonts w:ascii="Arial" w:cs="Arial" w:eastAsia="Arial" w:hAnsi="Arial"/>
                <w:sz w:val="18"/>
                <w:szCs w:val="18"/>
                <w:color w:val="auto"/>
              </w:rPr>
              <w:t>Net deferred tax assets</w:t>
            </w:r>
          </w:p>
        </w:tc>
        <w:tc>
          <w:tcPr>
            <w:tcW w:w="17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20" w:type="dxa"/>
            <w:vAlign w:val="bottom"/>
            <w:vMerge w:val="restart"/>
          </w:tcPr>
          <w:p>
            <w:pPr>
              <w:jc w:val="right"/>
              <w:ind w:right="1110"/>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7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-2005330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-2005330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-1482090</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-1482090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-1207770</wp:posOffset>
            </wp:positionV>
            <wp:extent cx="596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-1207770</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2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2024, the Company has recorded a full valuation allowance on its net deferred tax assets as the Company has concluded that it is not more likely than not that such losses or credits will be utilized. The valuation allowance increased by $20.7 million and $28.3 million during 2024 and 2023, respectively.</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212121"/>
        </w:rPr>
        <w:t>At December 31, 2024, the Company has federal net operating loss and tax credit carryforwards of $9.5 million and $16.5 million, respectively, which expire over a period of 7 to 13 years. Net operating loss carryforwards of $196.0 million were generated after 2017, and therefore do not expire. As of December 31, 2024, the Company also had state net operating loss carryforwards of $3.9 million, which expire over a period of 17 to 20 years.</w:t>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121"/>
        </w:rPr>
        <w:t>Uncertain Tax Positions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A reconciliation of the beginning and ending amount of unrecognized tax benefits for uncertain tax positions were as follows (in thousands):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3,109</w:t>
            </w:r>
          </w:p>
        </w:tc>
        <w:tc>
          <w:tcPr>
            <w:tcW w:w="4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line="183" w:lineRule="exact"/>
              <w:rPr>
                <w:sz w:val="20"/>
                <w:szCs w:val="20"/>
                <w:color w:val="auto"/>
              </w:rPr>
            </w:pPr>
            <w:r>
              <w:rPr>
                <w:rFonts w:ascii="Arial" w:cs="Arial" w:eastAsia="Arial" w:hAnsi="Arial"/>
                <w:sz w:val="18"/>
                <w:szCs w:val="18"/>
                <w:color w:val="auto"/>
              </w:rPr>
              <w:t>Additions for tax positions taken in prior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00" w:type="dxa"/>
            <w:vAlign w:val="bottom"/>
          </w:tcPr>
          <w:p>
            <w:pPr>
              <w:ind w:left="160"/>
              <w:spacing w:after="0"/>
              <w:rPr>
                <w:sz w:val="20"/>
                <w:szCs w:val="20"/>
                <w:color w:val="auto"/>
              </w:rPr>
            </w:pPr>
            <w:r>
              <w:rPr>
                <w:rFonts w:ascii="Arial" w:cs="Arial" w:eastAsia="Arial" w:hAnsi="Arial"/>
                <w:sz w:val="18"/>
                <w:szCs w:val="18"/>
                <w:color w:val="auto"/>
              </w:rPr>
              <w:t>years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Additions for tax positions taken in the current</w:t>
            </w:r>
          </w:p>
        </w:tc>
        <w:tc>
          <w:tcPr>
            <w:tcW w:w="2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year</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4,121</w:t>
            </w:r>
          </w:p>
        </w:tc>
        <w:tc>
          <w:tcPr>
            <w:tcW w:w="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3,109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-162560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121"/>
        </w:rPr>
        <w:t>If the unrecognized tax benefits for uncertain tax positions as of December 31, 2024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2024, there were no material interest and penalties on uncertain tax benefits. The Company does not anticipate any significant changes to its unrecognized tax benefits in the next 12 months.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11. Employee Benefit Plans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121"/>
        </w:rPr>
        <w:t>The Company has a 401(k) Plan for all of its employees. The 401(k) Plan allows eligible employees to defer, at the employee’s discretion, up to 100% of their pretax compensation up to the Internal Revenue Service annual limit. The Company made matching contributions of $0.5 million and $0.5 million during the years ended December 31, 2024 and 2023,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12. Net Loss Per Share Attributable to Common Stockholders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080" w:type="dxa"/>
            <w:vAlign w:val="bottom"/>
            <w:gridSpan w:val="4"/>
          </w:tcPr>
          <w:p>
            <w:pPr>
              <w:ind w:left="6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78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9,612,310</w:t>
            </w:r>
          </w:p>
        </w:tc>
        <w:tc>
          <w:tcPr>
            <w:tcW w:w="16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6,820,869</w:t>
            </w:r>
          </w:p>
        </w:tc>
        <w:tc>
          <w:tcPr>
            <w:tcW w:w="8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622,661</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310,087</w:t>
            </w:r>
          </w:p>
        </w:tc>
        <w:tc>
          <w:tcPr>
            <w:tcW w:w="80" w:type="dxa"/>
            <w:vAlign w:val="bottom"/>
          </w:tcPr>
          <w:p>
            <w:pPr>
              <w:spacing w:after="0"/>
              <w:rPr>
                <w:sz w:val="17"/>
                <w:szCs w:val="17"/>
                <w:color w:val="auto"/>
              </w:rPr>
            </w:pPr>
          </w:p>
        </w:tc>
      </w:tr>
      <w:tr>
        <w:trPr>
          <w:trHeight w:val="203"/>
        </w:trPr>
        <w:tc>
          <w:tcPr>
            <w:tcW w:w="4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8,507</w:t>
            </w: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3,495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780" w:type="dxa"/>
            <w:vAlign w:val="bottom"/>
          </w:tcPr>
          <w:p>
            <w:pPr>
              <w:ind w:left="260"/>
              <w:spacing w:after="0" w:line="196" w:lineRule="exact"/>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10,243,478</w:t>
            </w: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7,134,451</w:t>
            </w:r>
          </w:p>
        </w:tc>
        <w:tc>
          <w:tcPr>
            <w:tcW w:w="8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-162560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13. Corporate Restructuring</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212121"/>
        </w:rPr>
        <w:t>The Company currently estimates that it will incur costs of approximately $2.9 million for termination benefits relating to the Restructuring, substantially all of which the Company recognized during the year ended December 31, 2024.</w:t>
      </w:r>
    </w:p>
    <w:p>
      <w:pPr>
        <w:spacing w:after="0" w:line="4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The Company expensed the following costs associated with the termination benefit payments resulting from the Restructuring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140" w:type="dxa"/>
            <w:vAlign w:val="bottom"/>
            <w:gridSpan w:val="2"/>
          </w:tcPr>
          <w:p>
            <w:pPr>
              <w:ind w:left="620"/>
              <w:spacing w:after="0"/>
              <w:rPr>
                <w:sz w:val="20"/>
                <w:szCs w:val="20"/>
                <w:color w:val="auto"/>
              </w:rPr>
            </w:pPr>
            <w:r>
              <w:rPr>
                <w:rFonts w:ascii="Arial" w:cs="Arial" w:eastAsia="Arial" w:hAnsi="Arial"/>
                <w:sz w:val="14"/>
                <w:szCs w:val="14"/>
                <w:b w:val="1"/>
                <w:bCs w:val="1"/>
                <w:color w:val="auto"/>
              </w:rPr>
              <w:t>Year Ended</w:t>
            </w:r>
          </w:p>
        </w:tc>
      </w:tr>
      <w:tr>
        <w:trPr>
          <w:trHeight w:val="155"/>
        </w:trPr>
        <w:tc>
          <w:tcPr>
            <w:tcW w:w="5720" w:type="dxa"/>
            <w:vAlign w:val="bottom"/>
          </w:tcPr>
          <w:p>
            <w:pPr>
              <w:spacing w:after="0"/>
              <w:rPr>
                <w:sz w:val="13"/>
                <w:szCs w:val="13"/>
                <w:color w:val="auto"/>
              </w:rPr>
            </w:pPr>
          </w:p>
        </w:tc>
        <w:tc>
          <w:tcPr>
            <w:tcW w:w="20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December 31, 2024</w:t>
            </w:r>
          </w:p>
        </w:tc>
        <w:tc>
          <w:tcPr>
            <w:tcW w:w="80" w:type="dxa"/>
            <w:vAlign w:val="bottom"/>
          </w:tcPr>
          <w:p>
            <w:pPr>
              <w:spacing w:after="0"/>
              <w:rPr>
                <w:sz w:val="13"/>
                <w:szCs w:val="13"/>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1,495</w:t>
            </w:r>
          </w:p>
        </w:tc>
        <w:tc>
          <w:tcPr>
            <w:tcW w:w="80" w:type="dxa"/>
            <w:vAlign w:val="bottom"/>
            <w:shd w:val="clear" w:color="auto" w:fill="CFF0FC"/>
          </w:tcPr>
          <w:p>
            <w:pPr>
              <w:spacing w:after="0"/>
              <w:rPr>
                <w:sz w:val="17"/>
                <w:szCs w:val="17"/>
                <w:color w:val="auto"/>
              </w:rPr>
            </w:pPr>
          </w:p>
        </w:tc>
      </w:tr>
      <w:tr>
        <w:trPr>
          <w:trHeight w:val="202"/>
        </w:trPr>
        <w:tc>
          <w:tcPr>
            <w:tcW w:w="57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1,392</w:t>
            </w:r>
          </w:p>
        </w:tc>
        <w:tc>
          <w:tcPr>
            <w:tcW w:w="80" w:type="dxa"/>
            <w:vAlign w:val="bottom"/>
          </w:tcPr>
          <w:p>
            <w:pPr>
              <w:spacing w:after="0"/>
              <w:rPr>
                <w:sz w:val="17"/>
                <w:szCs w:val="17"/>
                <w:color w:val="auto"/>
              </w:rPr>
            </w:pPr>
          </w:p>
        </w:tc>
      </w:tr>
      <w:tr>
        <w:trPr>
          <w:trHeight w:val="236"/>
        </w:trPr>
        <w:tc>
          <w:tcPr>
            <w:tcW w:w="572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severance expense</w:t>
            </w:r>
          </w:p>
        </w:tc>
        <w:tc>
          <w:tcPr>
            <w:tcW w:w="2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121"/>
        </w:rPr>
        <w:t>As of December 31, 2024, the accrued liability balance associated with the Restructuring is $0.4 million and is included in the accrued expenses line of the accompanying consolidated balance sheet. Cash paid during the year ended December 31, 2024 associated with the termination benefits was $2.5 million.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principal financial and accounting officer, as appropriate, to allow timely decisions regarding required disclosure.</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management, with the participation and supervision of our chief executive officer and our principal financial and accounting officer, have evaluated the effectiveness of our disclosure controls and procedures (as defined in Rules 13a-15(e) and 15d-15(e) under the Exchange Act) as of the end of the period covered by this Annual Report on Form 10 -K. Based on such evaluation, our chief executive officer and principal financial and accounting officer have concluded that as of such date, our disclosure controls and procedures were, in design and operation, effective at a reasonable assurance level.</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2024 based on the criteria established in Internal Control - Integrated Framework (2013) issued by the Committee of Sponsoring Organizations of the Treadway Commission. As a result of that assessment, our management has concluded that our internal control over financial reporting was effective as of December 31, 2024.</w:t>
      </w:r>
    </w:p>
    <w:p>
      <w:pPr>
        <w:spacing w:after="0" w:line="6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During our last fiscal quarter, no director or officer, as defined in Rule 16a-1 (f) of the Exchange Act, adopted or terminated a “Rule 10b5-1 trading arrangement” or any “non-Rule 10b5-1 trading arrangement,” each as defined in Item 408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ind w:left="52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maintain a Code of Business Conduct and Ethics that incorporates our code of business conduct and ethics applicable to all employees, including all directors and executive officers. Our Code of Business Conduct and Ethics is published on our Investors website at https://investors.athira.com/ under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6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an Insider Trading Policy that governs the purchase, sale, and other dispositions of our securities by our directors, officers and employees, and the Company itself, that we believe are reasonably designed to promote compliance with insider trading laws, rules and regulations and the listing standards of Nasdaq. A copy of our Insider Trading Policy is filed with this Annual Report on Form 10-K as Exhibit 19.1.</w:t>
      </w:r>
    </w:p>
    <w:p>
      <w:pPr>
        <w:spacing w:after="0" w:line="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remaining information required by this Item 10 of Form 10-K will be included in our definitive proxy statement to be filed with the SEC within 120 days after the end of the fiscal year ended December 31, 2024 in connection with the solicitation of proxies for our 2025 Annual Meeting of Stockholders, or 2025 Proxy Statement, and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11 of Form 10-K will be included in our 2025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information required by this Item 12 of Form 10-K, including with respect to our equity compensation plans, will be included in our 2025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13 of Form 10-K will be included in our 2025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14 of Form 10-K will be included in our 2025 Proxy Statement and is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1020" w:hanging="50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4" w:lineRule="exact"/>
        <w:rPr>
          <w:sz w:val="20"/>
          <w:szCs w:val="20"/>
          <w:color w:val="auto"/>
        </w:rPr>
      </w:pPr>
    </w:p>
    <w:p>
      <w:pPr>
        <w:ind w:left="1540" w:hanging="514"/>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Index to Financial Statements in Part II, Item 8 of this Annual Report on Form 10-K.</w:t>
      </w:r>
    </w:p>
    <w:p>
      <w:pPr>
        <w:spacing w:after="0" w:line="104" w:lineRule="exact"/>
        <w:rPr>
          <w:sz w:val="20"/>
          <w:szCs w:val="20"/>
          <w:color w:val="auto"/>
        </w:rPr>
      </w:pPr>
    </w:p>
    <w:p>
      <w:pPr>
        <w:ind w:left="1540" w:hanging="514"/>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4" w:lineRule="exact"/>
        <w:rPr>
          <w:sz w:val="20"/>
          <w:szCs w:val="20"/>
          <w:color w:val="auto"/>
        </w:rPr>
      </w:pPr>
    </w:p>
    <w:p>
      <w:pPr>
        <w:jc w:val="both"/>
        <w:ind w:left="1000" w:firstLine="509"/>
        <w:spacing w:after="0" w:line="253" w:lineRule="auto"/>
        <w:rPr>
          <w:sz w:val="20"/>
          <w:szCs w:val="20"/>
          <w:color w:val="auto"/>
        </w:rPr>
      </w:pPr>
      <w:r>
        <w:rPr>
          <w:rFonts w:ascii="Arial" w:cs="Arial" w:eastAsia="Arial" w:hAnsi="Arial"/>
          <w:sz w:val="18"/>
          <w:szCs w:val="18"/>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61" w:lineRule="exact"/>
        <w:rPr>
          <w:sz w:val="20"/>
          <w:szCs w:val="20"/>
          <w:color w:val="auto"/>
        </w:rPr>
      </w:pPr>
    </w:p>
    <w:p>
      <w:pPr>
        <w:ind w:left="1540" w:hanging="514"/>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1000" w:firstLine="509"/>
        <w:spacing w:after="0" w:line="271" w:lineRule="auto"/>
        <w:rPr>
          <w:sz w:val="20"/>
          <w:szCs w:val="20"/>
          <w:color w:val="auto"/>
        </w:rPr>
      </w:pPr>
      <w:r>
        <w:rPr>
          <w:rFonts w:ascii="Arial" w:cs="Arial" w:eastAsia="Arial" w:hAnsi="Arial"/>
          <w:sz w:val="18"/>
          <w:szCs w:val="18"/>
          <w:color w:val="auto"/>
        </w:rPr>
        <w:t>The exhibits listed in the following Index to Exhibits are filed, furnished or incorporated by reference as part of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Form</w:t>
            </w: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w:t>
            </w: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0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5380" w:type="dxa"/>
            <w:vAlign w:val="bottom"/>
            <w:gridSpan w:val="12"/>
          </w:tcPr>
          <w:p>
            <w:pPr>
              <w:spacing w:after="0"/>
              <w:rPr>
                <w:rFonts w:ascii="Arial" w:cs="Arial" w:eastAsia="Arial" w:hAnsi="Arial"/>
                <w:sz w:val="18"/>
                <w:szCs w:val="18"/>
                <w:color w:val="0000FF"/>
                <w:w w:val="99"/>
              </w:rPr>
            </w:pPr>
            <w:hyperlink r:id="rId325">
              <w:r>
                <w:rPr>
                  <w:rFonts w:ascii="Arial" w:cs="Arial" w:eastAsia="Arial" w:hAnsi="Arial"/>
                  <w:sz w:val="18"/>
                  <w:szCs w:val="18"/>
                  <w:color w:val="0000FF"/>
                  <w:w w:val="99"/>
                </w:rPr>
                <w:t>Amended and Restated Certificate of Incorporation of the Company</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5380" w:type="dxa"/>
            <w:vAlign w:val="bottom"/>
            <w:gridSpan w:val="12"/>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Certificate of Amendment to the Amended and Restated Certificate</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360" w:type="dxa"/>
            <w:vAlign w:val="bottom"/>
            <w:gridSpan w:val="11"/>
          </w:tcPr>
          <w:p>
            <w:pPr>
              <w:spacing w:after="0" w:line="182" w:lineRule="exact"/>
              <w:rPr>
                <w:rFonts w:ascii="Arial" w:cs="Arial" w:eastAsia="Arial" w:hAnsi="Arial"/>
                <w:sz w:val="18"/>
                <w:szCs w:val="18"/>
                <w:color w:val="0000FF"/>
              </w:rPr>
            </w:pPr>
            <w:hyperlink r:id="rId326">
              <w:r>
                <w:rPr>
                  <w:rFonts w:ascii="Arial" w:cs="Arial" w:eastAsia="Arial" w:hAnsi="Arial"/>
                  <w:sz w:val="18"/>
                  <w:szCs w:val="18"/>
                  <w:color w:val="0000FF"/>
                </w:rPr>
                <w:t>of Incorporation of the Company dated May 23, 2024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650"/>
              <w:spacing w:after="0"/>
              <w:rPr>
                <w:sz w:val="20"/>
                <w:szCs w:val="20"/>
                <w:color w:val="auto"/>
              </w:rPr>
            </w:pPr>
            <w:r>
              <w:rPr>
                <w:rFonts w:ascii="Arial" w:cs="Arial" w:eastAsia="Arial" w:hAnsi="Arial"/>
                <w:sz w:val="18"/>
                <w:szCs w:val="18"/>
                <w:color w:val="auto"/>
              </w:rPr>
              <w:t>3.3</w:t>
            </w:r>
          </w:p>
        </w:tc>
        <w:tc>
          <w:tcPr>
            <w:tcW w:w="5380" w:type="dxa"/>
            <w:vAlign w:val="bottom"/>
            <w:gridSpan w:val="12"/>
          </w:tcPr>
          <w:p>
            <w:pPr>
              <w:spacing w:after="0"/>
              <w:rPr>
                <w:rFonts w:ascii="Arial" w:cs="Arial" w:eastAsia="Arial" w:hAnsi="Arial"/>
                <w:sz w:val="18"/>
                <w:szCs w:val="18"/>
                <w:color w:val="0000FF"/>
              </w:rPr>
            </w:pPr>
            <w:hyperlink r:id="rId327">
              <w:r>
                <w:rPr>
                  <w:rFonts w:ascii="Arial" w:cs="Arial" w:eastAsia="Arial" w:hAnsi="Arial"/>
                  <w:sz w:val="18"/>
                  <w:szCs w:val="18"/>
                  <w:color w:val="0000FF"/>
                </w:rPr>
                <w:t>Amended and Restated Bylaws of the Company</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650"/>
              <w:spacing w:after="0"/>
              <w:rPr>
                <w:sz w:val="20"/>
                <w:szCs w:val="20"/>
                <w:color w:val="auto"/>
              </w:rPr>
            </w:pPr>
            <w:r>
              <w:rPr>
                <w:rFonts w:ascii="Arial" w:cs="Arial" w:eastAsia="Arial" w:hAnsi="Arial"/>
                <w:sz w:val="18"/>
                <w:szCs w:val="18"/>
                <w:color w:val="auto"/>
              </w:rPr>
              <w:t>4.1</w:t>
            </w:r>
          </w:p>
        </w:tc>
        <w:tc>
          <w:tcPr>
            <w:tcW w:w="5380" w:type="dxa"/>
            <w:vAlign w:val="bottom"/>
            <w:gridSpan w:val="12"/>
          </w:tcPr>
          <w:p>
            <w:pPr>
              <w:spacing w:after="0"/>
              <w:rPr>
                <w:rFonts w:ascii="Arial" w:cs="Arial" w:eastAsia="Arial" w:hAnsi="Arial"/>
                <w:sz w:val="18"/>
                <w:szCs w:val="18"/>
                <w:color w:val="0000FF"/>
              </w:rPr>
            </w:pPr>
            <w:hyperlink r:id="rId328">
              <w:r>
                <w:rPr>
                  <w:rFonts w:ascii="Arial" w:cs="Arial" w:eastAsia="Arial" w:hAnsi="Arial"/>
                  <w:sz w:val="18"/>
                  <w:szCs w:val="18"/>
                  <w:color w:val="0000FF"/>
                </w:rPr>
                <w:t>Specimen Common Stock Certificate of the Registrant</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5380" w:type="dxa"/>
            <w:vAlign w:val="bottom"/>
            <w:gridSpan w:val="12"/>
          </w:tcPr>
          <w:p>
            <w:pPr>
              <w:spacing w:after="0"/>
              <w:rPr>
                <w:sz w:val="20"/>
                <w:szCs w:val="20"/>
                <w:color w:val="auto"/>
              </w:rPr>
            </w:pPr>
            <w:r>
              <w:rPr>
                <w:rFonts w:ascii="Arial" w:cs="Arial" w:eastAsia="Arial" w:hAnsi="Arial"/>
                <w:sz w:val="18"/>
                <w:szCs w:val="18"/>
                <w:color w:val="0000FF"/>
              </w:rPr>
              <w:t>Description of Capital Stock</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10.1**</w:t>
            </w:r>
          </w:p>
        </w:tc>
        <w:tc>
          <w:tcPr>
            <w:tcW w:w="5380" w:type="dxa"/>
            <w:vAlign w:val="bottom"/>
            <w:gridSpan w:val="12"/>
          </w:tcPr>
          <w:p>
            <w:pPr>
              <w:spacing w:after="0"/>
              <w:rPr>
                <w:rFonts w:ascii="Arial" w:cs="Arial" w:eastAsia="Arial" w:hAnsi="Arial"/>
                <w:sz w:val="18"/>
                <w:szCs w:val="18"/>
                <w:color w:val="0000FF"/>
              </w:rPr>
            </w:pPr>
            <w:hyperlink r:id="rId329">
              <w:r>
                <w:rPr>
                  <w:rFonts w:ascii="Arial" w:cs="Arial" w:eastAsia="Arial" w:hAnsi="Arial"/>
                  <w:sz w:val="18"/>
                  <w:szCs w:val="18"/>
                  <w:color w:val="0000FF"/>
                </w:rPr>
                <w:t>Form of Director and Executive Officer Indemnification Agreement</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10.2**</w:t>
            </w:r>
          </w:p>
        </w:tc>
        <w:tc>
          <w:tcPr>
            <w:tcW w:w="5380" w:type="dxa"/>
            <w:vAlign w:val="bottom"/>
            <w:gridSpan w:val="12"/>
          </w:tcPr>
          <w:p>
            <w:pPr>
              <w:spacing w:after="0"/>
              <w:rPr>
                <w:rFonts w:ascii="Arial" w:cs="Arial" w:eastAsia="Arial" w:hAnsi="Arial"/>
                <w:sz w:val="18"/>
                <w:szCs w:val="18"/>
                <w:color w:val="0000FF"/>
              </w:rPr>
            </w:pPr>
            <w:hyperlink r:id="rId330">
              <w:r>
                <w:rPr>
                  <w:rFonts w:ascii="Arial" w:cs="Arial" w:eastAsia="Arial" w:hAnsi="Arial"/>
                  <w:sz w:val="18"/>
                  <w:szCs w:val="18"/>
                  <w:color w:val="0000FF"/>
                </w:rPr>
                <w:t>2014 Equity Incentive Plan, as amended</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10.3**</w:t>
            </w:r>
          </w:p>
        </w:tc>
        <w:tc>
          <w:tcPr>
            <w:tcW w:w="5380" w:type="dxa"/>
            <w:vAlign w:val="bottom"/>
            <w:gridSpan w:val="12"/>
          </w:tcPr>
          <w:p>
            <w:pPr>
              <w:spacing w:after="0"/>
              <w:rPr>
                <w:rFonts w:ascii="Arial" w:cs="Arial" w:eastAsia="Arial" w:hAnsi="Arial"/>
                <w:sz w:val="18"/>
                <w:szCs w:val="18"/>
                <w:color w:val="0000FF"/>
              </w:rPr>
            </w:pPr>
            <w:hyperlink r:id="rId331">
              <w:r>
                <w:rPr>
                  <w:rFonts w:ascii="Arial" w:cs="Arial" w:eastAsia="Arial" w:hAnsi="Arial"/>
                  <w:sz w:val="18"/>
                  <w:szCs w:val="18"/>
                  <w:color w:val="0000FF"/>
                </w:rPr>
                <w:t>2020 Equity Incentive Plan</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10.4**</w:t>
            </w:r>
          </w:p>
        </w:tc>
        <w:tc>
          <w:tcPr>
            <w:tcW w:w="5380" w:type="dxa"/>
            <w:vAlign w:val="bottom"/>
            <w:gridSpan w:val="12"/>
          </w:tcPr>
          <w:p>
            <w:pPr>
              <w:spacing w:after="0"/>
              <w:rPr>
                <w:rFonts w:ascii="Arial" w:cs="Arial" w:eastAsia="Arial" w:hAnsi="Arial"/>
                <w:sz w:val="18"/>
                <w:szCs w:val="18"/>
                <w:color w:val="0000FF"/>
              </w:rPr>
            </w:pPr>
            <w:hyperlink r:id="rId332">
              <w:r>
                <w:rPr>
                  <w:rFonts w:ascii="Arial" w:cs="Arial" w:eastAsia="Arial" w:hAnsi="Arial"/>
                  <w:sz w:val="18"/>
                  <w:szCs w:val="18"/>
                  <w:color w:val="0000FF"/>
                </w:rPr>
                <w:t>Form of Stock Option Agreement under the 2020 Equity Incentive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r:id="rId332">
              <w:r>
                <w:rPr>
                  <w:rFonts w:ascii="Arial" w:cs="Arial" w:eastAsia="Arial" w:hAnsi="Arial"/>
                  <w:sz w:val="18"/>
                  <w:szCs w:val="18"/>
                  <w:color w:val="0000FF"/>
                  <w:w w:val="88"/>
                </w:rPr>
                <w:t>Plan</w:t>
              </w:r>
            </w:hyperlink>
          </w:p>
        </w:tc>
        <w:tc>
          <w:tcPr>
            <w:tcW w:w="20" w:type="dxa"/>
            <w:vAlign w:val="bottom"/>
            <w:tcBorders>
              <w:top w:val="single" w:sz="8" w:color="0000FF"/>
              <w:bottom w:val="single" w:sz="8" w:color="0000EE"/>
            </w:tcBorders>
          </w:tcPr>
          <w:p>
            <w:pPr>
              <w:spacing w:after="0"/>
              <w:rPr>
                <w:sz w:val="15"/>
                <w:szCs w:val="15"/>
                <w:color w:val="auto"/>
              </w:rPr>
            </w:pPr>
          </w:p>
        </w:tc>
        <w:tc>
          <w:tcPr>
            <w:tcW w:w="488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20" w:type="dxa"/>
            <w:vAlign w:val="bottom"/>
          </w:tcPr>
          <w:p>
            <w:pPr>
              <w:jc w:val="center"/>
              <w:spacing w:after="0"/>
              <w:rPr>
                <w:sz w:val="20"/>
                <w:szCs w:val="20"/>
                <w:color w:val="auto"/>
              </w:rPr>
            </w:pPr>
            <w:r>
              <w:rPr>
                <w:rFonts w:ascii="Arial" w:cs="Arial" w:eastAsia="Arial" w:hAnsi="Arial"/>
                <w:sz w:val="18"/>
                <w:szCs w:val="18"/>
                <w:color w:val="auto"/>
              </w:rPr>
              <w:t>3.1</w:t>
            </w:r>
          </w:p>
        </w:tc>
        <w:tc>
          <w:tcPr>
            <w:tcW w:w="1740" w:type="dxa"/>
            <w:vAlign w:val="bottom"/>
          </w:tcPr>
          <w:p>
            <w:pPr>
              <w:jc w:val="center"/>
              <w:ind w:left="30"/>
              <w:spacing w:after="0"/>
              <w:rPr>
                <w:sz w:val="20"/>
                <w:szCs w:val="20"/>
                <w:color w:val="auto"/>
              </w:rPr>
            </w:pPr>
            <w:r>
              <w:rPr>
                <w:rFonts w:ascii="Arial" w:cs="Arial" w:eastAsia="Arial" w:hAnsi="Arial"/>
                <w:sz w:val="18"/>
                <w:szCs w:val="18"/>
                <w:color w:val="auto"/>
                <w:w w:val="99"/>
              </w:rPr>
              <w:t>November 12,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20" w:type="dxa"/>
            <w:vAlign w:val="bottom"/>
          </w:tcPr>
          <w:p>
            <w:pPr>
              <w:jc w:val="center"/>
              <w:spacing w:after="0"/>
              <w:rPr>
                <w:sz w:val="20"/>
                <w:szCs w:val="20"/>
                <w:color w:val="auto"/>
              </w:rPr>
            </w:pPr>
            <w:r>
              <w:rPr>
                <w:rFonts w:ascii="Arial" w:cs="Arial" w:eastAsia="Arial" w:hAnsi="Arial"/>
                <w:sz w:val="18"/>
                <w:szCs w:val="18"/>
                <w:color w:val="auto"/>
              </w:rPr>
              <w:t>3.1</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8"/>
              </w:rPr>
              <w:t>May 29, 2024</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20" w:type="dxa"/>
            <w:vAlign w:val="bottom"/>
          </w:tcPr>
          <w:p>
            <w:pPr>
              <w:jc w:val="center"/>
              <w:spacing w:after="0"/>
              <w:rPr>
                <w:sz w:val="20"/>
                <w:szCs w:val="20"/>
                <w:color w:val="auto"/>
              </w:rPr>
            </w:pPr>
            <w:r>
              <w:rPr>
                <w:rFonts w:ascii="Arial" w:cs="Arial" w:eastAsia="Arial" w:hAnsi="Arial"/>
                <w:sz w:val="18"/>
                <w:szCs w:val="18"/>
                <w:color w:val="auto"/>
              </w:rPr>
              <w:t>3.1</w:t>
            </w:r>
          </w:p>
        </w:tc>
        <w:tc>
          <w:tcPr>
            <w:tcW w:w="1740" w:type="dxa"/>
            <w:vAlign w:val="bottom"/>
          </w:tcPr>
          <w:p>
            <w:pPr>
              <w:jc w:val="center"/>
              <w:ind w:left="30"/>
              <w:spacing w:after="0"/>
              <w:rPr>
                <w:sz w:val="20"/>
                <w:szCs w:val="20"/>
                <w:color w:val="auto"/>
              </w:rPr>
            </w:pPr>
            <w:r>
              <w:rPr>
                <w:rFonts w:ascii="Arial" w:cs="Arial" w:eastAsia="Arial" w:hAnsi="Arial"/>
                <w:sz w:val="18"/>
                <w:szCs w:val="18"/>
                <w:color w:val="auto"/>
                <w:w w:val="99"/>
              </w:rPr>
              <w:t>November 18, 2022</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20" w:type="dxa"/>
            <w:vAlign w:val="bottom"/>
          </w:tcPr>
          <w:p>
            <w:pPr>
              <w:jc w:val="center"/>
              <w:spacing w:after="0"/>
              <w:rPr>
                <w:sz w:val="20"/>
                <w:szCs w:val="20"/>
                <w:color w:val="auto"/>
              </w:rPr>
            </w:pPr>
            <w:r>
              <w:rPr>
                <w:rFonts w:ascii="Arial" w:cs="Arial" w:eastAsia="Arial" w:hAnsi="Arial"/>
                <w:sz w:val="18"/>
                <w:szCs w:val="18"/>
                <w:color w:val="auto"/>
              </w:rPr>
              <w:t>4.1</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rPr>
              <w:t>September 14, 2020</w:t>
            </w:r>
          </w:p>
        </w:tc>
      </w:tr>
      <w:tr>
        <w:trPr>
          <w:trHeight w:val="70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rPr>
              <w:t>August 26,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bl>
    <w:p>
      <w:pPr>
        <w:spacing w:after="0" w:line="315" w:lineRule="exact"/>
        <w:rPr>
          <w:sz w:val="20"/>
          <w:szCs w:val="20"/>
          <w:color w:val="auto"/>
        </w:rPr>
      </w:pPr>
    </w:p>
    <w:p>
      <w:pPr>
        <w:sectPr>
          <w:pgSz w:w="11900" w:h="16838" w:orient="portrait"/>
          <w:cols w:equalWidth="0" w:num="2">
            <w:col w:w="6540" w:space="300"/>
            <w:col w:w="440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160" w:type="dxa"/>
            <w:vAlign w:val="bottom"/>
          </w:tcPr>
          <w:p>
            <w:pPr>
              <w:jc w:val="right"/>
              <w:ind w:right="510"/>
              <w:spacing w:after="0"/>
              <w:rPr>
                <w:sz w:val="20"/>
                <w:szCs w:val="20"/>
                <w:color w:val="auto"/>
              </w:rPr>
            </w:pPr>
            <w:r>
              <w:rPr>
                <w:rFonts w:ascii="Arial" w:cs="Arial" w:eastAsia="Arial" w:hAnsi="Arial"/>
                <w:sz w:val="18"/>
                <w:szCs w:val="18"/>
                <w:color w:val="auto"/>
              </w:rPr>
              <w:t>10.5**</w:t>
            </w:r>
          </w:p>
        </w:tc>
        <w:tc>
          <w:tcPr>
            <w:tcW w:w="5300" w:type="dxa"/>
            <w:vAlign w:val="bottom"/>
            <w:gridSpan w:val="3"/>
          </w:tcPr>
          <w:p>
            <w:pPr>
              <w:spacing w:after="0"/>
              <w:rPr>
                <w:rFonts w:ascii="Arial" w:cs="Arial" w:eastAsia="Arial" w:hAnsi="Arial"/>
                <w:sz w:val="18"/>
                <w:szCs w:val="18"/>
                <w:color w:val="0000FF"/>
                <w:w w:val="99"/>
              </w:rPr>
            </w:pPr>
            <w:hyperlink r:id="rId333">
              <w:r>
                <w:rPr>
                  <w:rFonts w:ascii="Arial" w:cs="Arial" w:eastAsia="Arial" w:hAnsi="Arial"/>
                  <w:sz w:val="18"/>
                  <w:szCs w:val="18"/>
                  <w:color w:val="0000FF"/>
                  <w:w w:val="99"/>
                </w:rPr>
                <w:t>Form of Restricted Stock Award Agreement under the 2020 Equity</w:t>
              </w:r>
            </w:hyperlink>
          </w:p>
        </w:tc>
        <w:tc>
          <w:tcPr>
            <w:tcW w:w="1040" w:type="dxa"/>
            <w:vAlign w:val="bottom"/>
          </w:tcPr>
          <w:p>
            <w:pPr>
              <w:ind w:left="38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530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333">
              <w:r>
                <w:rPr>
                  <w:rFonts w:ascii="Arial" w:cs="Arial" w:eastAsia="Arial" w:hAnsi="Arial"/>
                  <w:sz w:val="18"/>
                  <w:szCs w:val="18"/>
                  <w:color w:val="0000FF"/>
                </w:rPr>
                <w:t>Incentive Plan</w:t>
              </w:r>
            </w:hyperlink>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vMerge w:val="restart"/>
          </w:tcPr>
          <w:p>
            <w:pPr>
              <w:ind w:left="380"/>
              <w:spacing w:after="0"/>
              <w:rPr>
                <w:sz w:val="20"/>
                <w:szCs w:val="20"/>
                <w:color w:val="auto"/>
              </w:rPr>
            </w:pPr>
            <w:r>
              <w:rPr>
                <w:rFonts w:ascii="Arial" w:cs="Arial" w:eastAsia="Arial" w:hAnsi="Arial"/>
                <w:sz w:val="18"/>
                <w:szCs w:val="18"/>
                <w:color w:val="auto"/>
              </w:rPr>
              <w:t>S-1/A</w:t>
            </w:r>
          </w:p>
        </w:tc>
        <w:tc>
          <w:tcPr>
            <w:tcW w:w="1340" w:type="dxa"/>
            <w:vAlign w:val="bottom"/>
            <w:vMerge w:val="restart"/>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10.8</w:t>
            </w:r>
          </w:p>
        </w:tc>
        <w:tc>
          <w:tcPr>
            <w:tcW w:w="1760" w:type="dxa"/>
            <w:vAlign w:val="bottom"/>
            <w:vMerge w:val="restart"/>
          </w:tcPr>
          <w:p>
            <w:pPr>
              <w:ind w:left="140"/>
              <w:spacing w:after="0"/>
              <w:rPr>
                <w:sz w:val="20"/>
                <w:szCs w:val="20"/>
                <w:color w:val="auto"/>
              </w:rPr>
            </w:pPr>
            <w:r>
              <w:rPr>
                <w:rFonts w:ascii="Arial" w:cs="Arial" w:eastAsia="Arial" w:hAnsi="Arial"/>
                <w:sz w:val="18"/>
                <w:szCs w:val="18"/>
                <w:color w:val="auto"/>
              </w:rPr>
              <w:t>September 9, 2020</w:t>
            </w:r>
          </w:p>
        </w:tc>
        <w:tc>
          <w:tcPr>
            <w:tcW w:w="0" w:type="dxa"/>
            <w:vAlign w:val="bottom"/>
          </w:tcPr>
          <w:p>
            <w:pPr>
              <w:spacing w:after="0" w:line="20" w:lineRule="exact"/>
              <w:rPr>
                <w:sz w:val="1"/>
                <w:szCs w:val="1"/>
                <w:color w:val="auto"/>
              </w:rPr>
            </w:pPr>
          </w:p>
        </w:tc>
      </w:tr>
      <w:tr>
        <w:trPr>
          <w:trHeight w:val="331"/>
        </w:trPr>
        <w:tc>
          <w:tcPr>
            <w:tcW w:w="1160" w:type="dxa"/>
            <w:vAlign w:val="bottom"/>
          </w:tcPr>
          <w:p>
            <w:pPr>
              <w:jc w:val="right"/>
              <w:ind w:right="510"/>
              <w:spacing w:after="0"/>
              <w:rPr>
                <w:sz w:val="20"/>
                <w:szCs w:val="20"/>
                <w:color w:val="auto"/>
              </w:rPr>
            </w:pPr>
            <w:r>
              <w:rPr>
                <w:rFonts w:ascii="Arial" w:cs="Arial" w:eastAsia="Arial" w:hAnsi="Arial"/>
                <w:sz w:val="18"/>
                <w:szCs w:val="18"/>
                <w:color w:val="auto"/>
              </w:rPr>
              <w:t>10.6**</w:t>
            </w:r>
          </w:p>
        </w:tc>
        <w:tc>
          <w:tcPr>
            <w:tcW w:w="5300" w:type="dxa"/>
            <w:vAlign w:val="bottom"/>
            <w:gridSpan w:val="3"/>
          </w:tcPr>
          <w:p>
            <w:pPr>
              <w:spacing w:after="0"/>
              <w:rPr>
                <w:rFonts w:ascii="Arial" w:cs="Arial" w:eastAsia="Arial" w:hAnsi="Arial"/>
                <w:sz w:val="18"/>
                <w:szCs w:val="18"/>
                <w:color w:val="0000FF"/>
              </w:rPr>
            </w:pPr>
            <w:hyperlink r:id="rId334">
              <w:r>
                <w:rPr>
                  <w:rFonts w:ascii="Arial" w:cs="Arial" w:eastAsia="Arial" w:hAnsi="Arial"/>
                  <w:sz w:val="18"/>
                  <w:szCs w:val="18"/>
                  <w:color w:val="0000FF"/>
                </w:rPr>
                <w:t>Form of RSU Agreement under the 2020 Equity Incentive Plan</w:t>
              </w:r>
            </w:hyperlink>
          </w:p>
        </w:tc>
        <w:tc>
          <w:tcPr>
            <w:tcW w:w="10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08"/>
        </w:trPr>
        <w:tc>
          <w:tcPr>
            <w:tcW w:w="1160" w:type="dxa"/>
            <w:vAlign w:val="bottom"/>
          </w:tcPr>
          <w:p>
            <w:pPr>
              <w:spacing w:after="0"/>
              <w:rPr>
                <w:sz w:val="24"/>
                <w:szCs w:val="24"/>
                <w:color w:val="auto"/>
              </w:rPr>
            </w:pPr>
          </w:p>
        </w:tc>
        <w:tc>
          <w:tcPr>
            <w:tcW w:w="4940" w:type="dxa"/>
            <w:vAlign w:val="bottom"/>
            <w:tcBorders>
              <w:top w:val="single" w:sz="8" w:color="0000FF"/>
            </w:tcBorders>
            <w:gridSpan w:val="2"/>
          </w:tcPr>
          <w:p>
            <w:pPr>
              <w:jc w:val="right"/>
              <w:ind w:right="320"/>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5380" w:type="dxa"/>
            <w:vAlign w:val="bottom"/>
            <w:gridSpan w:val="38"/>
          </w:tcPr>
          <w:p>
            <w:pPr>
              <w:spacing w:after="0"/>
              <w:rPr>
                <w:rFonts w:ascii="Arial" w:cs="Arial" w:eastAsia="Arial" w:hAnsi="Arial"/>
                <w:sz w:val="18"/>
                <w:szCs w:val="18"/>
                <w:color w:val="0000FF"/>
              </w:rPr>
            </w:pPr>
            <w:hyperlink r:id="rId337">
              <w:r>
                <w:rPr>
                  <w:rFonts w:ascii="Arial" w:cs="Arial" w:eastAsia="Arial" w:hAnsi="Arial"/>
                  <w:sz w:val="18"/>
                  <w:szCs w:val="18"/>
                  <w:color w:val="0000FF"/>
                </w:rPr>
                <w:t>2020 Employee Stock Purchase Plan, as amended and Form of</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8"/>
              </w:rPr>
            </w:pPr>
            <w:hyperlink r:id="rId337">
              <w:r>
                <w:rPr>
                  <w:rFonts w:ascii="Arial" w:cs="Arial" w:eastAsia="Arial" w:hAnsi="Arial"/>
                  <w:sz w:val="18"/>
                  <w:szCs w:val="18"/>
                  <w:color w:val="0000FF"/>
                  <w:w w:val="98"/>
                </w:rPr>
                <w:t>Subscription Agreement Thereunder</w:t>
              </w:r>
            </w:hyperlink>
          </w:p>
        </w:tc>
        <w:tc>
          <w:tcPr>
            <w:tcW w:w="20" w:type="dxa"/>
            <w:vAlign w:val="bottom"/>
            <w:tcBorders>
              <w:top w:val="single" w:sz="8" w:color="0000FF"/>
              <w:bottom w:val="single" w:sz="8" w:color="0000EE"/>
            </w:tcBorders>
          </w:tcPr>
          <w:p>
            <w:pPr>
              <w:spacing w:after="0"/>
              <w:rPr>
                <w:sz w:val="15"/>
                <w:szCs w:val="15"/>
                <w:color w:val="auto"/>
              </w:rPr>
            </w:pPr>
          </w:p>
        </w:tc>
        <w:tc>
          <w:tcPr>
            <w:tcW w:w="2220" w:type="dxa"/>
            <w:vAlign w:val="bottom"/>
            <w:tcBorders>
              <w:top w:val="single" w:sz="8" w:color="0000FF"/>
            </w:tcBorders>
            <w:gridSpan w:val="18"/>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5380" w:type="dxa"/>
            <w:vAlign w:val="bottom"/>
            <w:gridSpan w:val="38"/>
          </w:tcPr>
          <w:p>
            <w:pPr>
              <w:spacing w:after="0"/>
              <w:rPr>
                <w:rFonts w:ascii="Arial" w:cs="Arial" w:eastAsia="Arial" w:hAnsi="Arial"/>
                <w:sz w:val="18"/>
                <w:szCs w:val="18"/>
                <w:color w:val="0000FF"/>
              </w:rPr>
            </w:pPr>
            <w:hyperlink r:id="rId338">
              <w:r>
                <w:rPr>
                  <w:rFonts w:ascii="Arial" w:cs="Arial" w:eastAsia="Arial" w:hAnsi="Arial"/>
                  <w:sz w:val="18"/>
                  <w:szCs w:val="18"/>
                  <w:color w:val="0000FF"/>
                </w:rPr>
                <w:t>Lease agreement, dated July 20, 2020, by and between the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9"/>
              </w:rPr>
            </w:pPr>
            <w:hyperlink r:id="rId338">
              <w:r>
                <w:rPr>
                  <w:rFonts w:ascii="Arial" w:cs="Arial" w:eastAsia="Arial" w:hAnsi="Arial"/>
                  <w:sz w:val="18"/>
                  <w:szCs w:val="18"/>
                  <w:color w:val="0000FF"/>
                  <w:w w:val="99"/>
                </w:rPr>
                <w:t>Registrant and North Creek Parkway Center Investors, LP</w:t>
              </w:r>
            </w:hyperlink>
          </w:p>
        </w:tc>
        <w:tc>
          <w:tcPr>
            <w:tcW w:w="1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5380" w:type="dxa"/>
            <w:vAlign w:val="bottom"/>
            <w:gridSpan w:val="38"/>
          </w:tcPr>
          <w:p>
            <w:pPr>
              <w:spacing w:after="0"/>
              <w:rPr>
                <w:sz w:val="20"/>
                <w:szCs w:val="20"/>
                <w:color w:val="auto"/>
              </w:rPr>
            </w:pPr>
            <w:r>
              <w:rPr>
                <w:rFonts w:ascii="Arial" w:cs="Arial" w:eastAsia="Arial" w:hAnsi="Arial"/>
                <w:sz w:val="18"/>
                <w:szCs w:val="18"/>
                <w:color w:val="0000FF"/>
              </w:rPr>
              <w:t>Outside Director Compensation Policy, as amended</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5380" w:type="dxa"/>
            <w:vAlign w:val="bottom"/>
            <w:gridSpan w:val="38"/>
          </w:tcPr>
          <w:p>
            <w:pPr>
              <w:spacing w:after="0"/>
              <w:rPr>
                <w:rFonts w:ascii="Arial" w:cs="Arial" w:eastAsia="Arial" w:hAnsi="Arial"/>
                <w:sz w:val="18"/>
                <w:szCs w:val="18"/>
                <w:color w:val="0000FF"/>
              </w:rPr>
            </w:pPr>
            <w:hyperlink r:id="rId339">
              <w:r>
                <w:rPr>
                  <w:rFonts w:ascii="Arial" w:cs="Arial" w:eastAsia="Arial" w:hAnsi="Arial"/>
                  <w:sz w:val="18"/>
                  <w:szCs w:val="18"/>
                  <w:color w:val="0000FF"/>
                </w:rPr>
                <w:t>Executive Incentive Compensation Plan</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5380" w:type="dxa"/>
            <w:vAlign w:val="bottom"/>
            <w:gridSpan w:val="38"/>
          </w:tcPr>
          <w:p>
            <w:pPr>
              <w:spacing w:after="0"/>
              <w:rPr>
                <w:rFonts w:ascii="Arial" w:cs="Arial" w:eastAsia="Arial" w:hAnsi="Arial"/>
                <w:sz w:val="18"/>
                <w:szCs w:val="18"/>
                <w:color w:val="0000FF"/>
              </w:rPr>
            </w:pPr>
            <w:hyperlink r:id="rId340">
              <w:r>
                <w:rPr>
                  <w:rFonts w:ascii="Arial" w:cs="Arial" w:eastAsia="Arial" w:hAnsi="Arial"/>
                  <w:sz w:val="18"/>
                  <w:szCs w:val="18"/>
                  <w:color w:val="0000FF"/>
                </w:rPr>
                <w:t>Confirmatory Employment Letter between the Registrant and Mark</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6"/>
              </w:rPr>
            </w:pPr>
            <w:hyperlink r:id="rId340">
              <w:r>
                <w:rPr>
                  <w:rFonts w:ascii="Arial" w:cs="Arial" w:eastAsia="Arial" w:hAnsi="Arial"/>
                  <w:sz w:val="18"/>
                  <w:szCs w:val="18"/>
                  <w:color w:val="0000FF"/>
                  <w:w w:val="96"/>
                </w:rPr>
                <w:t>Litton, Ph.D.</w:t>
              </w:r>
            </w:hyperlink>
          </w:p>
        </w:tc>
        <w:tc>
          <w:tcPr>
            <w:tcW w:w="4340" w:type="dxa"/>
            <w:vAlign w:val="bottom"/>
            <w:tcBorders>
              <w:top w:val="single" w:sz="8" w:color="0000FF"/>
            </w:tcBorders>
            <w:gridSpan w:val="29"/>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5380" w:type="dxa"/>
            <w:vAlign w:val="bottom"/>
            <w:gridSpan w:val="38"/>
          </w:tcPr>
          <w:p>
            <w:pPr>
              <w:spacing w:after="0"/>
              <w:rPr>
                <w:rFonts w:ascii="Arial" w:cs="Arial" w:eastAsia="Arial" w:hAnsi="Arial"/>
                <w:sz w:val="18"/>
                <w:szCs w:val="18"/>
                <w:color w:val="0000FF"/>
              </w:rPr>
            </w:pPr>
            <w:hyperlink r:id="rId341">
              <w:r>
                <w:rPr>
                  <w:rFonts w:ascii="Arial" w:cs="Arial" w:eastAsia="Arial" w:hAnsi="Arial"/>
                  <w:sz w:val="18"/>
                  <w:szCs w:val="18"/>
                  <w:color w:val="0000FF"/>
                </w:rPr>
                <w:t>Confirmatory Employment Letter between the Registrant and Kevin</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360" w:type="dxa"/>
            <w:vAlign w:val="bottom"/>
            <w:tcBorders>
              <w:top w:val="single" w:sz="8" w:color="0000FF"/>
            </w:tcBorders>
            <w:gridSpan w:val="37"/>
          </w:tcPr>
          <w:p>
            <w:pPr>
              <w:spacing w:after="0" w:line="182" w:lineRule="exact"/>
              <w:rPr>
                <w:rFonts w:ascii="Arial" w:cs="Arial" w:eastAsia="Arial" w:hAnsi="Arial"/>
                <w:sz w:val="18"/>
                <w:szCs w:val="18"/>
                <w:color w:val="0000FF"/>
              </w:rPr>
            </w:pPr>
            <w:hyperlink r:id="rId341">
              <w:r>
                <w:rPr>
                  <w:rFonts w:ascii="Arial" w:cs="Arial" w:eastAsia="Arial" w:hAnsi="Arial"/>
                  <w:sz w:val="18"/>
                  <w:szCs w:val="18"/>
                  <w:color w:val="0000FF"/>
                </w:rPr>
                <w:t>Church, Ph.D.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5380" w:type="dxa"/>
            <w:vAlign w:val="bottom"/>
            <w:gridSpan w:val="38"/>
          </w:tcPr>
          <w:p>
            <w:pPr>
              <w:spacing w:after="0"/>
              <w:rPr>
                <w:rFonts w:ascii="Arial" w:cs="Arial" w:eastAsia="Arial" w:hAnsi="Arial"/>
                <w:sz w:val="18"/>
                <w:szCs w:val="18"/>
                <w:color w:val="0000FF"/>
              </w:rPr>
            </w:pPr>
            <w:hyperlink r:id="rId342">
              <w:r>
                <w:rPr>
                  <w:rFonts w:ascii="Arial" w:cs="Arial" w:eastAsia="Arial" w:hAnsi="Arial"/>
                  <w:sz w:val="18"/>
                  <w:szCs w:val="18"/>
                  <w:color w:val="0000FF"/>
                </w:rPr>
                <w:t>Amended and Restated Change in Control and Severance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9"/>
              </w:rPr>
            </w:pPr>
            <w:hyperlink r:id="rId342">
              <w:r>
                <w:rPr>
                  <w:rFonts w:ascii="Arial" w:cs="Arial" w:eastAsia="Arial" w:hAnsi="Arial"/>
                  <w:sz w:val="18"/>
                  <w:szCs w:val="18"/>
                  <w:color w:val="0000FF"/>
                  <w:w w:val="99"/>
                </w:rPr>
                <w:t>Agreement between the Registrant and Mark Litton, Ph.D.</w:t>
              </w:r>
            </w:hyperlink>
          </w:p>
        </w:tc>
        <w:tc>
          <w:tcPr>
            <w:tcW w:w="20" w:type="dxa"/>
            <w:vAlign w:val="bottom"/>
            <w:tcBorders>
              <w:top w:val="single" w:sz="8" w:color="0000FF"/>
              <w:bottom w:val="single" w:sz="8" w:color="0000EE"/>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5380" w:type="dxa"/>
            <w:vAlign w:val="bottom"/>
            <w:gridSpan w:val="38"/>
          </w:tcPr>
          <w:p>
            <w:pPr>
              <w:spacing w:after="0"/>
              <w:rPr>
                <w:rFonts w:ascii="Arial" w:cs="Arial" w:eastAsia="Arial" w:hAnsi="Arial"/>
                <w:sz w:val="18"/>
                <w:szCs w:val="18"/>
                <w:color w:val="0000FF"/>
              </w:rPr>
            </w:pPr>
            <w:hyperlink r:id="rId343">
              <w:r>
                <w:rPr>
                  <w:rFonts w:ascii="Arial" w:cs="Arial" w:eastAsia="Arial" w:hAnsi="Arial"/>
                  <w:sz w:val="18"/>
                  <w:szCs w:val="18"/>
                  <w:color w:val="0000FF"/>
                </w:rPr>
                <w:t>Employment Offer Letter between the Registrant and Mark</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7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343">
              <w:r>
                <w:rPr>
                  <w:rFonts w:ascii="Arial" w:cs="Arial" w:eastAsia="Arial" w:hAnsi="Arial"/>
                  <w:sz w:val="18"/>
                  <w:szCs w:val="18"/>
                  <w:color w:val="0000FF"/>
                </w:rPr>
                <w:t>Worthington</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5380" w:type="dxa"/>
            <w:vAlign w:val="bottom"/>
            <w:gridSpan w:val="38"/>
          </w:tcPr>
          <w:p>
            <w:pPr>
              <w:spacing w:after="0"/>
              <w:rPr>
                <w:rFonts w:ascii="Arial" w:cs="Arial" w:eastAsia="Arial" w:hAnsi="Arial"/>
                <w:sz w:val="18"/>
                <w:szCs w:val="18"/>
                <w:color w:val="0000FF"/>
              </w:rPr>
            </w:pPr>
            <w:hyperlink r:id="rId344">
              <w:r>
                <w:rPr>
                  <w:rFonts w:ascii="Arial" w:cs="Arial" w:eastAsia="Arial" w:hAnsi="Arial"/>
                  <w:sz w:val="18"/>
                  <w:szCs w:val="18"/>
                  <w:color w:val="0000FF"/>
                </w:rPr>
                <w:t>Change in Control and Severance Agreement between the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8"/>
              </w:rPr>
            </w:pPr>
            <w:hyperlink r:id="rId344">
              <w:r>
                <w:rPr>
                  <w:rFonts w:ascii="Arial" w:cs="Arial" w:eastAsia="Arial" w:hAnsi="Arial"/>
                  <w:sz w:val="18"/>
                  <w:szCs w:val="18"/>
                  <w:color w:val="0000FF"/>
                  <w:w w:val="98"/>
                </w:rPr>
                <w:t>Registrant and Mark Worthington</w:t>
              </w:r>
            </w:hyperlink>
          </w:p>
        </w:tc>
        <w:tc>
          <w:tcPr>
            <w:tcW w:w="20" w:type="dxa"/>
            <w:vAlign w:val="bottom"/>
            <w:tcBorders>
              <w:top w:val="single" w:sz="8" w:color="0000FF"/>
              <w:bottom w:val="single" w:sz="8" w:color="0000EE"/>
            </w:tcBorders>
          </w:tcPr>
          <w:p>
            <w:pPr>
              <w:spacing w:after="0"/>
              <w:rPr>
                <w:sz w:val="15"/>
                <w:szCs w:val="15"/>
                <w:color w:val="auto"/>
              </w:rPr>
            </w:pPr>
          </w:p>
        </w:tc>
        <w:tc>
          <w:tcPr>
            <w:tcW w:w="2080" w:type="dxa"/>
            <w:vAlign w:val="bottom"/>
            <w:tcBorders>
              <w:top w:val="single" w:sz="8" w:color="0000FF"/>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5380" w:type="dxa"/>
            <w:vAlign w:val="bottom"/>
            <w:gridSpan w:val="38"/>
          </w:tcPr>
          <w:p>
            <w:pPr>
              <w:spacing w:after="0"/>
              <w:rPr>
                <w:rFonts w:ascii="Arial" w:cs="Arial" w:eastAsia="Arial" w:hAnsi="Arial"/>
                <w:sz w:val="18"/>
                <w:szCs w:val="18"/>
                <w:color w:val="0000FF"/>
              </w:rPr>
            </w:pPr>
            <w:hyperlink r:id="rId345">
              <w:r>
                <w:rPr>
                  <w:rFonts w:ascii="Arial" w:cs="Arial" w:eastAsia="Arial" w:hAnsi="Arial"/>
                  <w:sz w:val="18"/>
                  <w:szCs w:val="18"/>
                  <w:color w:val="0000FF"/>
                </w:rPr>
                <w:t>First Amendment to Lease by and between the Registrant and</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31"/>
          </w:tcPr>
          <w:p>
            <w:pPr>
              <w:spacing w:after="0" w:line="182" w:lineRule="exact"/>
              <w:rPr>
                <w:rFonts w:ascii="Arial" w:cs="Arial" w:eastAsia="Arial" w:hAnsi="Arial"/>
                <w:sz w:val="18"/>
                <w:szCs w:val="18"/>
                <w:color w:val="0000FF"/>
              </w:rPr>
            </w:pPr>
            <w:hyperlink r:id="rId345">
              <w:r>
                <w:rPr>
                  <w:rFonts w:ascii="Arial" w:cs="Arial" w:eastAsia="Arial" w:hAnsi="Arial"/>
                  <w:sz w:val="18"/>
                  <w:szCs w:val="18"/>
                  <w:color w:val="0000FF"/>
                </w:rPr>
                <w:t>Nitrogen Propco 2020, L.P., as successor-in-interest to North</w:t>
              </w:r>
            </w:hyperlink>
          </w:p>
        </w:tc>
        <w:tc>
          <w:tcPr>
            <w:tcW w:w="400" w:type="dxa"/>
            <w:vAlign w:val="bottom"/>
            <w:tcBorders>
              <w:bottom w:val="single" w:sz="8" w:color="0000FF"/>
            </w:tcBorders>
            <w:gridSpan w:val="7"/>
          </w:tcPr>
          <w:p>
            <w:pPr>
              <w:spacing w:after="0" w:line="182" w:lineRule="exact"/>
              <w:rPr>
                <w:rFonts w:ascii="Arial" w:cs="Arial" w:eastAsia="Arial" w:hAnsi="Arial"/>
                <w:sz w:val="18"/>
                <w:szCs w:val="18"/>
                <w:color w:val="0000FF"/>
                <w:w w:val="79"/>
              </w:rPr>
            </w:pPr>
            <w:hyperlink r:id="rId345">
              <w:r>
                <w:rPr>
                  <w:rFonts w:ascii="Arial" w:cs="Arial" w:eastAsia="Arial" w:hAnsi="Arial"/>
                  <w:sz w:val="18"/>
                  <w:szCs w:val="18"/>
                  <w:color w:val="0000FF"/>
                  <w:w w:val="79"/>
                </w:rPr>
                <w:t>Creek</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200" w:type="dxa"/>
            <w:vAlign w:val="bottom"/>
            <w:tcBorders>
              <w:bottom w:val="single" w:sz="8" w:color="0000FF"/>
            </w:tcBorders>
            <w:gridSpan w:val="20"/>
          </w:tcPr>
          <w:p>
            <w:pPr>
              <w:spacing w:after="0" w:line="182" w:lineRule="exact"/>
              <w:rPr>
                <w:rFonts w:ascii="Arial" w:cs="Arial" w:eastAsia="Arial" w:hAnsi="Arial"/>
                <w:sz w:val="18"/>
                <w:szCs w:val="18"/>
                <w:color w:val="0000FF"/>
                <w:w w:val="98"/>
              </w:rPr>
            </w:pPr>
            <w:hyperlink r:id="rId345">
              <w:r>
                <w:rPr>
                  <w:rFonts w:ascii="Arial" w:cs="Arial" w:eastAsia="Arial" w:hAnsi="Arial"/>
                  <w:sz w:val="18"/>
                  <w:szCs w:val="18"/>
                  <w:color w:val="0000FF"/>
                  <w:w w:val="98"/>
                </w:rPr>
                <w:t>Parkway Center Investors, L.P., dated June 28, 2021</w:t>
              </w:r>
            </w:hyperlink>
          </w:p>
        </w:tc>
        <w:tc>
          <w:tcPr>
            <w:tcW w:w="20" w:type="dxa"/>
            <w:vAlign w:val="bottom"/>
            <w:tcBorders>
              <w:bottom w:val="single" w:sz="8" w:color="0000EE"/>
            </w:tcBorders>
          </w:tcPr>
          <w:p>
            <w:pPr>
              <w:spacing w:after="0"/>
              <w:rPr>
                <w:sz w:val="15"/>
                <w:szCs w:val="15"/>
                <w:color w:val="auto"/>
              </w:rPr>
            </w:pPr>
          </w:p>
        </w:tc>
        <w:tc>
          <w:tcPr>
            <w:tcW w:w="11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5380" w:type="dxa"/>
            <w:vAlign w:val="bottom"/>
            <w:gridSpan w:val="38"/>
          </w:tcPr>
          <w:p>
            <w:pPr>
              <w:spacing w:after="0"/>
              <w:rPr>
                <w:rFonts w:ascii="Arial" w:cs="Arial" w:eastAsia="Arial" w:hAnsi="Arial"/>
                <w:sz w:val="18"/>
                <w:szCs w:val="18"/>
                <w:color w:val="0000FF"/>
              </w:rPr>
            </w:pPr>
            <w:hyperlink r:id="rId346">
              <w:r>
                <w:rPr>
                  <w:rFonts w:ascii="Arial" w:cs="Arial" w:eastAsia="Arial" w:hAnsi="Arial"/>
                  <w:sz w:val="18"/>
                  <w:szCs w:val="18"/>
                  <w:color w:val="0000FF"/>
                </w:rPr>
                <w:t>Change in Control and Severance Agreement between the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8"/>
              </w:rPr>
            </w:pPr>
            <w:hyperlink r:id="rId346">
              <w:r>
                <w:rPr>
                  <w:rFonts w:ascii="Arial" w:cs="Arial" w:eastAsia="Arial" w:hAnsi="Arial"/>
                  <w:sz w:val="18"/>
                  <w:szCs w:val="18"/>
                  <w:color w:val="0000FF"/>
                  <w:w w:val="98"/>
                </w:rPr>
                <w:t>Registrant and Kevin Church</w:t>
              </w:r>
            </w:hyperlink>
          </w:p>
        </w:tc>
        <w:tc>
          <w:tcPr>
            <w:tcW w:w="20" w:type="dxa"/>
            <w:vAlign w:val="bottom"/>
            <w:tcBorders>
              <w:top w:val="single" w:sz="8" w:color="0000FF"/>
              <w:bottom w:val="single" w:sz="8" w:color="0000EE"/>
            </w:tcBorders>
          </w:tcPr>
          <w:p>
            <w:pPr>
              <w:spacing w:after="0"/>
              <w:rPr>
                <w:sz w:val="15"/>
                <w:szCs w:val="15"/>
                <w:color w:val="auto"/>
              </w:rPr>
            </w:pPr>
          </w:p>
        </w:tc>
        <w:tc>
          <w:tcPr>
            <w:tcW w:w="2420" w:type="dxa"/>
            <w:vAlign w:val="bottom"/>
            <w:tcBorders>
              <w:top w:val="single" w:sz="8" w:color="0000FF"/>
            </w:tcBorders>
            <w:gridSpan w:val="17"/>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0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3480" w:type="dxa"/>
            <w:vAlign w:val="bottom"/>
            <w:gridSpan w:val="17"/>
            <w:vMerge w:val="restart"/>
          </w:tcPr>
          <w:p>
            <w:pPr>
              <w:spacing w:after="0"/>
              <w:rPr>
                <w:rFonts w:ascii="Arial" w:cs="Arial" w:eastAsia="Arial" w:hAnsi="Arial"/>
                <w:sz w:val="18"/>
                <w:szCs w:val="18"/>
                <w:color w:val="0000FF"/>
                <w:w w:val="98"/>
              </w:rPr>
            </w:pPr>
            <w:hyperlink r:id="rId347">
              <w:r>
                <w:rPr>
                  <w:rFonts w:ascii="Arial" w:cs="Arial" w:eastAsia="Arial" w:hAnsi="Arial"/>
                  <w:sz w:val="18"/>
                  <w:szCs w:val="18"/>
                  <w:color w:val="0000FF"/>
                  <w:w w:val="98"/>
                </w:rPr>
                <w:t>Controlled Equity Offering Sales Agreement</w:t>
              </w:r>
            </w:hyperlink>
          </w:p>
        </w:tc>
        <w:tc>
          <w:tcPr>
            <w:tcW w:w="160" w:type="dxa"/>
            <w:vAlign w:val="bottom"/>
            <w:tcBorders>
              <w:bottom w:val="single" w:sz="8" w:color="0000FF"/>
            </w:tcBorders>
          </w:tcPr>
          <w:p>
            <w:pPr>
              <w:spacing w:after="0"/>
              <w:rPr>
                <w:rFonts w:ascii="Arial" w:cs="Arial" w:eastAsia="Arial" w:hAnsi="Arial"/>
                <w:sz w:val="12"/>
                <w:szCs w:val="12"/>
                <w:color w:val="0000FF"/>
                <w:w w:val="77"/>
              </w:rPr>
            </w:pPr>
            <w:hyperlink r:id="rId347">
              <w:r>
                <w:rPr>
                  <w:rFonts w:ascii="Arial" w:cs="Arial" w:eastAsia="Arial" w:hAnsi="Arial"/>
                  <w:sz w:val="12"/>
                  <w:szCs w:val="12"/>
                  <w:color w:val="0000FF"/>
                  <w:w w:val="77"/>
                </w:rPr>
                <w:t>SM</w:t>
              </w:r>
            </w:hyperlink>
          </w:p>
        </w:tc>
        <w:tc>
          <w:tcPr>
            <w:tcW w:w="1740" w:type="dxa"/>
            <w:vAlign w:val="bottom"/>
            <w:gridSpan w:val="20"/>
            <w:vMerge w:val="restart"/>
          </w:tcPr>
          <w:p>
            <w:pPr>
              <w:spacing w:after="0"/>
              <w:rPr>
                <w:rFonts w:ascii="Arial" w:cs="Arial" w:eastAsia="Arial" w:hAnsi="Arial"/>
                <w:sz w:val="18"/>
                <w:szCs w:val="18"/>
                <w:color w:val="0000FF"/>
              </w:rPr>
            </w:pPr>
            <w:hyperlink r:id="rId347">
              <w:r>
                <w:rPr>
                  <w:rFonts w:ascii="Arial" w:cs="Arial" w:eastAsia="Arial" w:hAnsi="Arial"/>
                  <w:sz w:val="18"/>
                  <w:szCs w:val="18"/>
                  <w:color w:val="0000FF"/>
                </w:rPr>
                <w:t>, dated January 6,</w:t>
              </w:r>
            </w:hyperlink>
          </w:p>
        </w:tc>
        <w:tc>
          <w:tcPr>
            <w:tcW w:w="0" w:type="dxa"/>
            <w:vAlign w:val="bottom"/>
          </w:tcPr>
          <w:p>
            <w:pPr>
              <w:spacing w:after="0"/>
              <w:rPr>
                <w:sz w:val="1"/>
                <w:szCs w:val="1"/>
                <w:color w:val="auto"/>
              </w:rPr>
            </w:pPr>
          </w:p>
        </w:tc>
      </w:tr>
      <w:tr>
        <w:trPr>
          <w:trHeight w:val="61"/>
        </w:trPr>
        <w:tc>
          <w:tcPr>
            <w:tcW w:w="1100" w:type="dxa"/>
            <w:vAlign w:val="bottom"/>
            <w:vMerge w:val="continue"/>
          </w:tcPr>
          <w:p>
            <w:pPr>
              <w:spacing w:after="0"/>
              <w:rPr>
                <w:sz w:val="5"/>
                <w:szCs w:val="5"/>
                <w:color w:val="auto"/>
              </w:rPr>
            </w:pPr>
          </w:p>
        </w:tc>
        <w:tc>
          <w:tcPr>
            <w:tcW w:w="3480" w:type="dxa"/>
            <w:vAlign w:val="bottom"/>
            <w:gridSpan w:val="17"/>
            <w:vMerge w:val="continue"/>
          </w:tcPr>
          <w:p>
            <w:pPr>
              <w:spacing w:after="0"/>
              <w:rPr>
                <w:sz w:val="5"/>
                <w:szCs w:val="5"/>
                <w:color w:val="auto"/>
              </w:rPr>
            </w:pPr>
          </w:p>
        </w:tc>
        <w:tc>
          <w:tcPr>
            <w:tcW w:w="160" w:type="dxa"/>
            <w:vAlign w:val="bottom"/>
          </w:tcPr>
          <w:p>
            <w:pPr>
              <w:spacing w:after="0"/>
              <w:rPr>
                <w:sz w:val="5"/>
                <w:szCs w:val="5"/>
                <w:color w:val="auto"/>
              </w:rPr>
            </w:pPr>
          </w:p>
        </w:tc>
        <w:tc>
          <w:tcPr>
            <w:tcW w:w="174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380" w:type="dxa"/>
            <w:vAlign w:val="bottom"/>
            <w:gridSpan w:val="38"/>
          </w:tcPr>
          <w:p>
            <w:pPr>
              <w:spacing w:after="0" w:line="182" w:lineRule="exact"/>
              <w:rPr>
                <w:rFonts w:ascii="Arial" w:cs="Arial" w:eastAsia="Arial" w:hAnsi="Arial"/>
                <w:sz w:val="18"/>
                <w:szCs w:val="18"/>
                <w:color w:val="0000FF"/>
              </w:rPr>
            </w:pPr>
            <w:hyperlink r:id="rId347">
              <w:r>
                <w:rPr>
                  <w:rFonts w:ascii="Arial" w:cs="Arial" w:eastAsia="Arial" w:hAnsi="Arial"/>
                  <w:sz w:val="18"/>
                  <w:szCs w:val="18"/>
                  <w:color w:val="0000FF"/>
                </w:rPr>
                <w:t>2023, among the Registrant, Cantor Fitzgerald &amp; Co. and BTIG,</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10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347">
              <w:r>
                <w:rPr>
                  <w:rFonts w:ascii="Arial" w:cs="Arial" w:eastAsia="Arial" w:hAnsi="Arial"/>
                  <w:sz w:val="18"/>
                  <w:szCs w:val="18"/>
                  <w:color w:val="0000FF"/>
                </w:rPr>
                <w:t>LLC</w:t>
              </w:r>
            </w:hyperlink>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5380" w:type="dxa"/>
            <w:vAlign w:val="bottom"/>
            <w:gridSpan w:val="38"/>
          </w:tcPr>
          <w:p>
            <w:pPr>
              <w:spacing w:after="0"/>
              <w:rPr>
                <w:rFonts w:ascii="Arial" w:cs="Arial" w:eastAsia="Arial" w:hAnsi="Arial"/>
                <w:sz w:val="18"/>
                <w:szCs w:val="18"/>
                <w:color w:val="0000FF"/>
              </w:rPr>
            </w:pPr>
            <w:hyperlink r:id="rId348">
              <w:r>
                <w:rPr>
                  <w:rFonts w:ascii="Arial" w:cs="Arial" w:eastAsia="Arial" w:hAnsi="Arial"/>
                  <w:sz w:val="18"/>
                  <w:szCs w:val="18"/>
                  <w:color w:val="0000FF"/>
                </w:rPr>
                <w:t>2024 Inducement Equity Incentive Plan and related form</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50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348">
              <w:r>
                <w:rPr>
                  <w:rFonts w:ascii="Arial" w:cs="Arial" w:eastAsia="Arial" w:hAnsi="Arial"/>
                  <w:sz w:val="18"/>
                  <w:szCs w:val="18"/>
                  <w:color w:val="0000FF"/>
                </w:rPr>
                <w:t>agreements</w:t>
              </w:r>
            </w:hyperlink>
          </w:p>
        </w:tc>
        <w:tc>
          <w:tcPr>
            <w:tcW w:w="28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1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10.20**</w:t>
            </w:r>
          </w:p>
        </w:tc>
        <w:tc>
          <w:tcPr>
            <w:tcW w:w="5380" w:type="dxa"/>
            <w:vAlign w:val="bottom"/>
            <w:gridSpan w:val="38"/>
          </w:tcPr>
          <w:p>
            <w:pPr>
              <w:spacing w:after="0"/>
              <w:rPr>
                <w:rFonts w:ascii="Arial" w:cs="Arial" w:eastAsia="Arial" w:hAnsi="Arial"/>
                <w:sz w:val="18"/>
                <w:szCs w:val="18"/>
                <w:color w:val="0000FF"/>
              </w:rPr>
            </w:pPr>
            <w:hyperlink r:id="rId349">
              <w:r>
                <w:rPr>
                  <w:rFonts w:ascii="Arial" w:cs="Arial" w:eastAsia="Arial" w:hAnsi="Arial"/>
                  <w:sz w:val="18"/>
                  <w:szCs w:val="18"/>
                  <w:color w:val="0000FF"/>
                </w:rPr>
                <w:t>Employment Offer Letter between the Registrant and Javier San</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349">
              <w:r>
                <w:rPr>
                  <w:rFonts w:ascii="Arial" w:cs="Arial" w:eastAsia="Arial" w:hAnsi="Arial"/>
                  <w:sz w:val="18"/>
                  <w:szCs w:val="18"/>
                  <w:color w:val="0000FF"/>
                  <w:w w:val="91"/>
                </w:rPr>
                <w:t>Martin</w:t>
              </w:r>
            </w:hyperlink>
          </w:p>
        </w:tc>
        <w:tc>
          <w:tcPr>
            <w:tcW w:w="20" w:type="dxa"/>
            <w:vAlign w:val="bottom"/>
            <w:tcBorders>
              <w:top w:val="single" w:sz="8" w:color="0000FF"/>
              <w:bottom w:val="single" w:sz="8" w:color="0000EE"/>
            </w:tcBorders>
          </w:tcPr>
          <w:p>
            <w:pPr>
              <w:spacing w:after="0"/>
              <w:rPr>
                <w:sz w:val="15"/>
                <w:szCs w:val="15"/>
                <w:color w:val="auto"/>
              </w:rPr>
            </w:pPr>
          </w:p>
        </w:tc>
        <w:tc>
          <w:tcPr>
            <w:tcW w:w="4660" w:type="dxa"/>
            <w:vAlign w:val="bottom"/>
            <w:tcBorders>
              <w:top w:val="single" w:sz="8" w:color="0000FF"/>
            </w:tcBorders>
            <w:gridSpan w:val="31"/>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5380" w:type="dxa"/>
            <w:vAlign w:val="bottom"/>
            <w:gridSpan w:val="38"/>
          </w:tcPr>
          <w:p>
            <w:pPr>
              <w:spacing w:after="0"/>
              <w:rPr>
                <w:rFonts w:ascii="Arial" w:cs="Arial" w:eastAsia="Arial" w:hAnsi="Arial"/>
                <w:sz w:val="18"/>
                <w:szCs w:val="18"/>
                <w:color w:val="0000FF"/>
              </w:rPr>
            </w:pPr>
            <w:hyperlink r:id="rId349">
              <w:r>
                <w:rPr>
                  <w:rFonts w:ascii="Arial" w:cs="Arial" w:eastAsia="Arial" w:hAnsi="Arial"/>
                  <w:sz w:val="18"/>
                  <w:szCs w:val="18"/>
                  <w:color w:val="0000FF"/>
                </w:rPr>
                <w:t>Change in Control and Severance Agreement between the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8"/>
              </w:rPr>
            </w:pPr>
            <w:hyperlink r:id="rId349">
              <w:r>
                <w:rPr>
                  <w:rFonts w:ascii="Arial" w:cs="Arial" w:eastAsia="Arial" w:hAnsi="Arial"/>
                  <w:sz w:val="18"/>
                  <w:szCs w:val="18"/>
                  <w:color w:val="0000FF"/>
                  <w:w w:val="98"/>
                </w:rPr>
                <w:t>Registrant and Javier San Martin</w:t>
              </w:r>
            </w:hyperlink>
          </w:p>
        </w:tc>
        <w:tc>
          <w:tcPr>
            <w:tcW w:w="20" w:type="dxa"/>
            <w:vAlign w:val="bottom"/>
            <w:tcBorders>
              <w:top w:val="single" w:sz="8" w:color="0000FF"/>
              <w:bottom w:val="single" w:sz="8" w:color="0000EE"/>
            </w:tcBorders>
          </w:tcPr>
          <w:p>
            <w:pPr>
              <w:spacing w:after="0"/>
              <w:rPr>
                <w:sz w:val="15"/>
                <w:szCs w:val="15"/>
                <w:color w:val="auto"/>
              </w:rPr>
            </w:pPr>
          </w:p>
        </w:tc>
        <w:tc>
          <w:tcPr>
            <w:tcW w:w="2100" w:type="dxa"/>
            <w:vAlign w:val="bottom"/>
            <w:tcBorders>
              <w:top w:val="single" w:sz="8" w:color="0000FF"/>
            </w:tcBorders>
            <w:gridSpan w:val="15"/>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10.22**</w:t>
            </w:r>
          </w:p>
        </w:tc>
        <w:tc>
          <w:tcPr>
            <w:tcW w:w="5380" w:type="dxa"/>
            <w:vAlign w:val="bottom"/>
            <w:gridSpan w:val="38"/>
          </w:tcPr>
          <w:p>
            <w:pPr>
              <w:spacing w:after="0"/>
              <w:rPr>
                <w:rFonts w:ascii="Arial" w:cs="Arial" w:eastAsia="Arial" w:hAnsi="Arial"/>
                <w:sz w:val="18"/>
                <w:szCs w:val="18"/>
                <w:color w:val="0000FF"/>
              </w:rPr>
            </w:pPr>
            <w:hyperlink r:id="rId326">
              <w:r>
                <w:rPr>
                  <w:rFonts w:ascii="Arial" w:cs="Arial" w:eastAsia="Arial" w:hAnsi="Arial"/>
                  <w:sz w:val="18"/>
                  <w:szCs w:val="18"/>
                  <w:color w:val="0000FF"/>
                </w:rPr>
                <w:t>Employment Offer Letter between the Company and Robert</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7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326">
              <w:r>
                <w:rPr>
                  <w:rFonts w:ascii="Arial" w:cs="Arial" w:eastAsia="Arial" w:hAnsi="Arial"/>
                  <w:sz w:val="18"/>
                  <w:szCs w:val="18"/>
                  <w:color w:val="0000FF"/>
                </w:rPr>
                <w:t>Renninger</w:t>
              </w:r>
            </w:hyperlink>
          </w:p>
        </w:tc>
        <w:tc>
          <w:tcPr>
            <w:tcW w:w="1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00" w:type="dxa"/>
            <w:vAlign w:val="bottom"/>
            <w:gridSpan w:val="2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10.23**</w:t>
            </w:r>
          </w:p>
        </w:tc>
        <w:tc>
          <w:tcPr>
            <w:tcW w:w="5380" w:type="dxa"/>
            <w:vAlign w:val="bottom"/>
            <w:gridSpan w:val="38"/>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Change in Control Agreement between the Company and Robert</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20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326">
              <w:r>
                <w:rPr>
                  <w:rFonts w:ascii="Arial" w:cs="Arial" w:eastAsia="Arial" w:hAnsi="Arial"/>
                  <w:sz w:val="18"/>
                  <w:szCs w:val="18"/>
                  <w:color w:val="0000FF"/>
                </w:rPr>
                <w:t>Renninger</w:t>
              </w:r>
            </w:hyperlink>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00" w:type="dxa"/>
            <w:vAlign w:val="bottom"/>
            <w:tcBorders>
              <w:left w:val="single" w:sz="8" w:color="0000EE"/>
            </w:tcBorders>
            <w:gridSpan w:val="25"/>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10.24**</w:t>
            </w:r>
          </w:p>
        </w:tc>
        <w:tc>
          <w:tcPr>
            <w:tcW w:w="5380" w:type="dxa"/>
            <w:vAlign w:val="bottom"/>
            <w:gridSpan w:val="38"/>
          </w:tcPr>
          <w:p>
            <w:pPr>
              <w:spacing w:after="0"/>
              <w:rPr>
                <w:rFonts w:ascii="Arial" w:cs="Arial" w:eastAsia="Arial" w:hAnsi="Arial"/>
                <w:sz w:val="18"/>
                <w:szCs w:val="18"/>
                <w:color w:val="0000FF"/>
              </w:rPr>
            </w:pPr>
            <w:hyperlink r:id="rId350">
              <w:r>
                <w:rPr>
                  <w:rFonts w:ascii="Arial" w:cs="Arial" w:eastAsia="Arial" w:hAnsi="Arial"/>
                  <w:sz w:val="18"/>
                  <w:szCs w:val="18"/>
                  <w:color w:val="0000FF"/>
                </w:rPr>
                <w:t>Employment Offer Letter between the Registrant and Andrew</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90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350">
              <w:r>
                <w:rPr>
                  <w:rFonts w:ascii="Arial" w:cs="Arial" w:eastAsia="Arial" w:hAnsi="Arial"/>
                  <w:sz w:val="18"/>
                  <w:szCs w:val="18"/>
                  <w:color w:val="0000FF"/>
                </w:rPr>
                <w:t>Gengos</w:t>
              </w:r>
            </w:hyperlink>
          </w:p>
        </w:tc>
        <w:tc>
          <w:tcPr>
            <w:tcW w:w="4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673"/>
        </w:trPr>
        <w:tc>
          <w:tcPr>
            <w:tcW w:w="1100" w:type="dxa"/>
            <w:vAlign w:val="bottom"/>
          </w:tcPr>
          <w:p>
            <w:pPr>
              <w:spacing w:after="0"/>
              <w:rPr>
                <w:sz w:val="24"/>
                <w:szCs w:val="24"/>
                <w:color w:val="auto"/>
              </w:rPr>
            </w:pPr>
          </w:p>
        </w:tc>
        <w:tc>
          <w:tcPr>
            <w:tcW w:w="600" w:type="dxa"/>
            <w:vAlign w:val="bottom"/>
            <w:tcBorders>
              <w:top w:val="single" w:sz="8" w:color="0000FF"/>
            </w:tcBorders>
            <w:gridSpan w:val="4"/>
          </w:tcPr>
          <w:p>
            <w:pPr>
              <w:spacing w:after="0"/>
              <w:rPr>
                <w:sz w:val="24"/>
                <w:szCs w:val="24"/>
                <w:color w:val="auto"/>
              </w:rPr>
            </w:pPr>
          </w:p>
        </w:tc>
        <w:tc>
          <w:tcPr>
            <w:tcW w:w="4080" w:type="dxa"/>
            <w:vAlign w:val="bottom"/>
            <w:gridSpan w:val="21"/>
          </w:tcPr>
          <w:p>
            <w:pPr>
              <w:jc w:val="right"/>
              <w:ind w:right="6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March 23, 2023</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4"/>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rPr>
              <w:t>10.10</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March 23, 2023</w:t>
            </w:r>
          </w:p>
        </w:tc>
      </w:tr>
      <w:tr>
        <w:trPr>
          <w:trHeight w:val="351"/>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10.13</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351"/>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10.15</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10.16</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rPr>
              <w:t>January 31, 2022</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55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756"/>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rPr>
              <w:t>10.28</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March 28, 2022</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January 6, 2023</w:t>
            </w:r>
          </w:p>
        </w:tc>
      </w:tr>
      <w:tr>
        <w:trPr>
          <w:trHeight w:val="756"/>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8"/>
              </w:rPr>
              <w:t>10-Q/A</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August 9, 2024</w:t>
            </w:r>
          </w:p>
        </w:tc>
      </w:tr>
      <w:tr>
        <w:trPr>
          <w:trHeight w:val="55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8"/>
              </w:rPr>
              <w:t>10-Q/A</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August 9, 2024</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17, 2024</w:t>
            </w:r>
          </w:p>
        </w:tc>
      </w:tr>
      <w:tr>
        <w:trPr>
          <w:trHeight w:val="553"/>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17, 2024</w:t>
            </w:r>
          </w:p>
        </w:tc>
      </w:tr>
      <w:tr>
        <w:trPr>
          <w:trHeight w:val="55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22, 2023</w:t>
            </w:r>
          </w:p>
        </w:tc>
      </w:tr>
    </w:tbl>
    <w:p>
      <w:pPr>
        <w:sectPr>
          <w:pgSz w:w="11900" w:h="16838" w:orient="portrait"/>
          <w:cols w:equalWidth="0" w:num="2">
            <w:col w:w="6480" w:space="240"/>
            <w:col w:w="4420"/>
          </w:cols>
          <w:pgMar w:left="380" w:top="1417" w:right="379" w:bottom="1440" w:gutter="0" w:footer="0" w:header="0"/>
        </w:sectPr>
      </w:pPr>
    </w:p>
    <w:bookmarkStart w:id="148" w:name="page149"/>
    <w:bookmarkEnd w:id="148"/>
    <w:p>
      <w:pPr>
        <w:spacing w:after="0" w:line="126" w:lineRule="exact"/>
        <w:rPr>
          <w:sz w:val="20"/>
          <w:szCs w:val="20"/>
          <w:color w:val="auto"/>
        </w:rPr>
      </w:pPr>
    </w:p>
    <w:p>
      <w:pPr>
        <w:ind w:left="1128" w:right="740" w:hanging="1069"/>
        <w:spacing w:after="0" w:line="271" w:lineRule="auto"/>
        <w:tabs>
          <w:tab w:leader="none" w:pos="1108"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350">
        <w:r>
          <w:rPr>
            <w:rFonts w:ascii="Arial" w:cs="Arial" w:eastAsia="Arial" w:hAnsi="Arial"/>
            <w:sz w:val="18"/>
            <w:szCs w:val="18"/>
            <w:u w:val="single" w:color="auto"/>
            <w:color w:val="0000FF"/>
          </w:rPr>
          <w:t>Change in Control and Severance Agreement between the</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Registrant and Andrew Gengos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-172720</wp:posOffset>
            </wp:positionV>
            <wp:extent cx="2997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299783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-44450</wp:posOffset>
            </wp:positionV>
            <wp:extent cx="15938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66" w:lineRule="exact"/>
        <w:rPr>
          <w:sz w:val="20"/>
          <w:szCs w:val="20"/>
          <w:color w:val="auto"/>
        </w:rPr>
      </w:pPr>
    </w:p>
    <w:p>
      <w:pPr>
        <w:ind w:left="1128" w:right="120" w:hanging="1069"/>
        <w:spacing w:after="0" w:line="271" w:lineRule="auto"/>
        <w:tabs>
          <w:tab w:leader="none" w:pos="1108"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354">
        <w:r>
          <w:rPr>
            <w:rFonts w:ascii="Arial" w:cs="Arial" w:eastAsia="Arial" w:hAnsi="Arial"/>
            <w:sz w:val="18"/>
            <w:szCs w:val="18"/>
            <w:u w:val="single" w:color="auto"/>
            <w:color w:val="0000FF"/>
          </w:rPr>
          <w:t>Separation Agreement and Release between Andrew Gengos and</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Athira Pharma, Inc. dated October 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-172720</wp:posOffset>
            </wp:positionV>
            <wp:extent cx="33851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338518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-44450</wp:posOffset>
            </wp:positionV>
            <wp:extent cx="21463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2146300" cy="8255"/>
                    </a:xfrm>
                    <a:prstGeom prst="rect">
                      <a:avLst/>
                    </a:prstGeom>
                    <a:noFill/>
                  </pic:spPr>
                </pic:pic>
              </a:graphicData>
            </a:graphic>
          </wp:anchor>
        </w:drawing>
      </w:r>
    </w:p>
    <w:p>
      <w:pPr>
        <w:spacing w:after="0" w:line="66" w:lineRule="exact"/>
        <w:rPr>
          <w:sz w:val="20"/>
          <w:szCs w:val="20"/>
          <w:color w:val="auto"/>
        </w:rPr>
      </w:pPr>
    </w:p>
    <w:p>
      <w:pPr>
        <w:ind w:left="1128" w:right="580" w:hanging="1069"/>
        <w:spacing w:after="0" w:line="271" w:lineRule="auto"/>
        <w:tabs>
          <w:tab w:leader="none" w:pos="1108"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350">
        <w:r>
          <w:rPr>
            <w:rFonts w:ascii="Arial" w:cs="Arial" w:eastAsia="Arial" w:hAnsi="Arial"/>
            <w:sz w:val="18"/>
            <w:szCs w:val="18"/>
            <w:u w:val="single" w:color="auto"/>
            <w:color w:val="0000FF"/>
          </w:rPr>
          <w:t>Employment Offer Letter between the Registrant and Rachel</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Lenington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-172720</wp:posOffset>
            </wp:positionV>
            <wp:extent cx="30924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3092450" cy="825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-44450</wp:posOffset>
            </wp:positionV>
            <wp:extent cx="5016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66" w:lineRule="exact"/>
        <w:rPr>
          <w:sz w:val="20"/>
          <w:szCs w:val="20"/>
          <w:color w:val="auto"/>
        </w:rPr>
      </w:pPr>
    </w:p>
    <w:p>
      <w:pPr>
        <w:ind w:left="1128" w:right="740" w:hanging="1069"/>
        <w:spacing w:after="0" w:line="271" w:lineRule="auto"/>
        <w:tabs>
          <w:tab w:leader="none" w:pos="1108"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350">
        <w:r>
          <w:rPr>
            <w:rFonts w:ascii="Arial" w:cs="Arial" w:eastAsia="Arial" w:hAnsi="Arial"/>
            <w:sz w:val="18"/>
            <w:szCs w:val="18"/>
            <w:u w:val="single" w:color="auto"/>
            <w:color w:val="0000FF"/>
          </w:rPr>
          <w:t>Change in Control and Severance Agreement between the</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Registrant and Rachel Lenington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-172720</wp:posOffset>
            </wp:positionV>
            <wp:extent cx="2997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299783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-44450</wp:posOffset>
            </wp:positionV>
            <wp:extent cx="16643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spacing w:after="0" w:line="66" w:lineRule="exact"/>
        <w:rPr>
          <w:sz w:val="20"/>
          <w:szCs w:val="20"/>
          <w:color w:val="auto"/>
        </w:rPr>
      </w:pPr>
    </w:p>
    <w:p>
      <w:pPr>
        <w:ind w:left="1128" w:right="20" w:hanging="1069"/>
        <w:spacing w:after="0" w:line="271" w:lineRule="auto"/>
        <w:tabs>
          <w:tab w:leader="none" w:pos="1108"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354">
        <w:r>
          <w:rPr>
            <w:rFonts w:ascii="Arial" w:cs="Arial" w:eastAsia="Arial" w:hAnsi="Arial"/>
            <w:sz w:val="18"/>
            <w:szCs w:val="18"/>
            <w:u w:val="single" w:color="auto"/>
            <w:color w:val="0000FF"/>
          </w:rPr>
          <w:t>Separation Agreement and Release between Rachel Lenington and</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Athira Pharma, Inc. dated October 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-172720</wp:posOffset>
            </wp:positionV>
            <wp:extent cx="343217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343217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-44450</wp:posOffset>
            </wp:positionV>
            <wp:extent cx="21463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2146300" cy="8255"/>
                    </a:xfrm>
                    <a:prstGeom prst="rect">
                      <a:avLst/>
                    </a:prstGeom>
                    <a:noFill/>
                  </pic:spPr>
                </pic:pic>
              </a:graphicData>
            </a:graphic>
          </wp:anchor>
        </w:drawing>
      </w:r>
    </w:p>
    <w:p>
      <w:pPr>
        <w:spacing w:after="0" w:line="66" w:lineRule="exact"/>
        <w:rPr>
          <w:sz w:val="20"/>
          <w:szCs w:val="20"/>
          <w:color w:val="auto"/>
        </w:rPr>
      </w:pPr>
    </w:p>
    <w:p>
      <w:pPr>
        <w:ind w:left="1128" w:hanging="1078"/>
        <w:spacing w:after="0"/>
        <w:tabs>
          <w:tab w:leader="none" w:pos="112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0000FF"/>
        </w:rPr>
        <w:t>Insider Trading Policy,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-7620</wp:posOffset>
            </wp:positionV>
            <wp:extent cx="1790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1790700" cy="8890"/>
                    </a:xfrm>
                    <a:prstGeom prst="rect">
                      <a:avLst/>
                    </a:prstGeom>
                    <a:noFill/>
                  </pic:spPr>
                </pic:pic>
              </a:graphicData>
            </a:graphic>
          </wp:anchor>
        </w:drawing>
      </w:r>
    </w:p>
    <w:p>
      <w:pPr>
        <w:spacing w:after="0" w:line="111" w:lineRule="exact"/>
        <w:rPr>
          <w:sz w:val="20"/>
          <w:szCs w:val="20"/>
          <w:color w:val="auto"/>
        </w:rPr>
      </w:pPr>
    </w:p>
    <w:tbl>
      <w:tblPr>
        <w:tblLayout w:type="fixed"/>
        <w:tblInd w:w="48"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5380" w:type="dxa"/>
            <w:vAlign w:val="bottom"/>
            <w:gridSpan w:val="16"/>
          </w:tcPr>
          <w:p>
            <w:pPr>
              <w:spacing w:after="0"/>
              <w:rPr>
                <w:rFonts w:ascii="Arial" w:cs="Arial" w:eastAsia="Arial" w:hAnsi="Arial"/>
                <w:sz w:val="18"/>
                <w:szCs w:val="18"/>
                <w:color w:val="0000FF"/>
              </w:rPr>
            </w:pPr>
            <w:hyperlink r:id="rId364">
              <w:r>
                <w:rPr>
                  <w:rFonts w:ascii="Arial" w:cs="Arial" w:eastAsia="Arial" w:hAnsi="Arial"/>
                  <w:sz w:val="18"/>
                  <w:szCs w:val="18"/>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5380" w:type="dxa"/>
            <w:vAlign w:val="bottom"/>
            <w:gridSpan w:val="16"/>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24.1</w:t>
            </w:r>
          </w:p>
        </w:tc>
        <w:tc>
          <w:tcPr>
            <w:tcW w:w="5380" w:type="dxa"/>
            <w:vAlign w:val="bottom"/>
            <w:gridSpan w:val="16"/>
          </w:tcPr>
          <w:p>
            <w:pPr>
              <w:spacing w:after="0"/>
              <w:rPr>
                <w:sz w:val="20"/>
                <w:szCs w:val="20"/>
                <w:color w:val="auto"/>
              </w:rPr>
            </w:pPr>
            <w:r>
              <w:rPr>
                <w:rFonts w:ascii="Arial" w:cs="Arial" w:eastAsia="Arial" w:hAnsi="Arial"/>
                <w:sz w:val="18"/>
                <w:szCs w:val="18"/>
                <w:color w:val="0000FF"/>
              </w:rPr>
              <w:t>Power of Attorney (included in signature pages hereto)</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538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Pursuant to Rules 13a-</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5"/>
            <w:vMerge w:val="restart"/>
          </w:tcPr>
          <w:p>
            <w:pPr>
              <w:jc w:val="center"/>
              <w:ind w:right="60"/>
              <w:spacing w:after="0" w:line="202" w:lineRule="exact"/>
              <w:rPr>
                <w:sz w:val="20"/>
                <w:szCs w:val="20"/>
                <w:color w:val="auto"/>
              </w:rPr>
            </w:pPr>
            <w:r>
              <w:rPr>
                <w:rFonts w:ascii="Arial" w:cs="Arial" w:eastAsia="Arial" w:hAnsi="Arial"/>
                <w:sz w:val="18"/>
                <w:szCs w:val="18"/>
                <w:color w:val="0000FF"/>
                <w:w w:val="73"/>
              </w:rPr>
              <w:t>as</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180" w:type="dxa"/>
            <w:vAlign w:val="bottom"/>
            <w:gridSpan w:val="11"/>
          </w:tcPr>
          <w:p>
            <w:pPr>
              <w:spacing w:after="0" w:line="182" w:lineRule="exact"/>
              <w:rPr>
                <w:sz w:val="20"/>
                <w:szCs w:val="20"/>
                <w:color w:val="auto"/>
              </w:rPr>
            </w:pPr>
            <w:r>
              <w:rPr>
                <w:rFonts w:ascii="Arial" w:cs="Arial" w:eastAsia="Arial" w:hAnsi="Arial"/>
                <w:sz w:val="18"/>
                <w:szCs w:val="18"/>
                <w:color w:val="0000FF"/>
              </w:rPr>
              <w:t>14(a) and 15d-14(a) under the Securities Exchange Act of 1934,</w:t>
            </w:r>
          </w:p>
        </w:tc>
        <w:tc>
          <w:tcPr>
            <w:tcW w:w="2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38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Adopted Pursuant to Section 302 of the Sarbanes-Oxley Act of</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89"/>
              </w:rPr>
              <w:t>2002</w:t>
            </w:r>
          </w:p>
        </w:tc>
        <w:tc>
          <w:tcPr>
            <w:tcW w:w="20" w:type="dxa"/>
            <w:vAlign w:val="bottom"/>
            <w:tcBorders>
              <w:top w:val="single" w:sz="8" w:color="0000FF"/>
              <w:bottom w:val="single" w:sz="8" w:color="0000EE"/>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5380" w:type="dxa"/>
            <w:vAlign w:val="bottom"/>
            <w:gridSpan w:val="16"/>
          </w:tcPr>
          <w:p>
            <w:pPr>
              <w:spacing w:after="0"/>
              <w:rPr>
                <w:sz w:val="20"/>
                <w:szCs w:val="20"/>
                <w:color w:val="auto"/>
              </w:rPr>
            </w:pPr>
            <w:r>
              <w:rPr>
                <w:rFonts w:ascii="Arial" w:cs="Arial" w:eastAsia="Arial" w:hAnsi="Arial"/>
                <w:sz w:val="18"/>
                <w:szCs w:val="18"/>
                <w:color w:val="0000FF"/>
              </w:rPr>
              <w:t>Certification of Principal Accounting and Financial Officer Pursuant</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32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to Rules 13a-14(a) and 15d-14(a) under the Securities Exchange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20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Act of 1934, as Adopted Pursuant to Section 302 of the Sarbanes</w:t>
            </w:r>
          </w:p>
        </w:tc>
        <w:tc>
          <w:tcPr>
            <w:tcW w:w="80" w:type="dxa"/>
            <w:vAlign w:val="bottom"/>
            <w:gridSpan w:val="2"/>
          </w:tcPr>
          <w:p>
            <w:pPr>
              <w:jc w:val="right"/>
              <w:ind w:right="40"/>
              <w:spacing w:after="0"/>
              <w:rPr>
                <w:sz w:val="20"/>
                <w:szCs w:val="20"/>
                <w:color w:val="auto"/>
              </w:rPr>
            </w:pPr>
            <w:r>
              <w:rPr>
                <w:rFonts w:ascii="Arial" w:cs="Arial" w:eastAsia="Arial" w:hAnsi="Arial"/>
                <w:sz w:val="8"/>
                <w:szCs w:val="8"/>
                <w:color w:val="0000FF"/>
                <w:w w:val="73"/>
              </w:rPr>
              <w:t>-</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240" w:type="dxa"/>
            <w:vAlign w:val="bottom"/>
            <w:gridSpan w:val="13"/>
          </w:tcPr>
          <w:p>
            <w:pPr>
              <w:spacing w:after="0" w:line="182" w:lineRule="exact"/>
              <w:rPr>
                <w:sz w:val="20"/>
                <w:szCs w:val="20"/>
                <w:color w:val="auto"/>
              </w:rPr>
            </w:pPr>
            <w:r>
              <w:rPr>
                <w:rFonts w:ascii="Arial" w:cs="Arial" w:eastAsia="Arial" w:hAnsi="Arial"/>
                <w:sz w:val="18"/>
                <w:szCs w:val="18"/>
                <w:color w:val="0000FF"/>
              </w:rPr>
              <w:t>Oxley Act of 2002</w:t>
            </w:r>
          </w:p>
        </w:tc>
        <w:tc>
          <w:tcPr>
            <w:tcW w:w="4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538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Pursuant to 18 U.S.C.</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18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Section 1350, as Adopted Pursuant to Section 906 of the</w:t>
            </w:r>
          </w:p>
        </w:tc>
        <w:tc>
          <w:tcPr>
            <w:tcW w:w="10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5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Sarbanes-Oxley Act of 2002</w:t>
            </w:r>
          </w:p>
        </w:tc>
        <w:tc>
          <w:tcPr>
            <w:tcW w:w="720" w:type="dxa"/>
            <w:vAlign w:val="bottom"/>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5380" w:type="dxa"/>
            <w:vAlign w:val="bottom"/>
            <w:gridSpan w:val="16"/>
          </w:tcPr>
          <w:p>
            <w:pPr>
              <w:spacing w:after="0"/>
              <w:rPr>
                <w:sz w:val="20"/>
                <w:szCs w:val="20"/>
                <w:color w:val="auto"/>
              </w:rPr>
            </w:pPr>
            <w:r>
              <w:rPr>
                <w:rFonts w:ascii="Arial" w:cs="Arial" w:eastAsia="Arial" w:hAnsi="Arial"/>
                <w:sz w:val="18"/>
                <w:szCs w:val="18"/>
                <w:color w:val="0000FF"/>
              </w:rPr>
              <w:t>Certification of Principal Accounting and Financial Officer Pursuant</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32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to 18 U.S.C. Section 1350, as Adopted Pursuant to Section 906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28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128" w:hanging="1128"/>
        <w:spacing w:after="0"/>
        <w:tabs>
          <w:tab w:leader="none" w:pos="112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0000FF"/>
        </w:rPr>
        <w:t>Amended and Restated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-7620</wp:posOffset>
            </wp:positionV>
            <wp:extent cx="28200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4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tcPr>
          <w:p>
            <w:pPr>
              <w:ind w:left="200"/>
              <w:spacing w:after="0"/>
              <w:rPr>
                <w:sz w:val="20"/>
                <w:szCs w:val="20"/>
                <w:color w:val="auto"/>
              </w:rPr>
            </w:pPr>
            <w:r>
              <w:rPr>
                <w:rFonts w:ascii="Arial" w:cs="Arial" w:eastAsia="Arial" w:hAnsi="Arial"/>
                <w:sz w:val="18"/>
                <w:szCs w:val="18"/>
                <w:color w:val="auto"/>
                <w:w w:val="99"/>
              </w:rPr>
              <w:t>Inline XBRL Taxonomy Extension Schema Document</w:t>
            </w:r>
          </w:p>
        </w:tc>
      </w:tr>
    </w:tbl>
    <w:p>
      <w:pPr>
        <w:spacing w:after="0" w:line="200" w:lineRule="exact"/>
        <w:rPr>
          <w:sz w:val="20"/>
          <w:szCs w:val="20"/>
          <w:color w:val="auto"/>
        </w:rPr>
      </w:pPr>
    </w:p>
    <w:p>
      <w:pPr>
        <w:spacing w:after="0" w:line="344" w:lineRule="exact"/>
        <w:rPr>
          <w:sz w:val="20"/>
          <w:szCs w:val="20"/>
          <w:color w:val="auto"/>
        </w:rPr>
      </w:pPr>
    </w:p>
    <w:p>
      <w:pPr>
        <w:ind w:left="5468"/>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001-39503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8"/>
              </w:rPr>
              <w:t>May 22, 2023</w:t>
            </w:r>
          </w:p>
        </w:tc>
      </w:tr>
      <w:tr>
        <w:trPr>
          <w:trHeight w:val="553"/>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001-39503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October 7, 2024</w:t>
            </w:r>
          </w:p>
        </w:tc>
      </w:tr>
      <w:tr>
        <w:trPr>
          <w:trHeight w:val="554"/>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001-39503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rPr>
              <w:t>August 16, 2021</w:t>
            </w:r>
          </w:p>
        </w:tc>
      </w:tr>
      <w:tr>
        <w:trPr>
          <w:trHeight w:val="553"/>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001-39503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rPr>
              <w:t>August 16, 2021</w:t>
            </w:r>
          </w:p>
        </w:tc>
      </w:tr>
      <w:tr>
        <w:trPr>
          <w:trHeight w:val="553"/>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001-39503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October 7, 2024</w:t>
            </w:r>
          </w:p>
        </w:tc>
      </w:tr>
      <w:tr>
        <w:trPr>
          <w:trHeight w:val="904"/>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333-24828</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bl>
    <w:p>
      <w:pPr>
        <w:sectPr>
          <w:pgSz w:w="11900" w:h="16838" w:orient="portrait"/>
          <w:cols w:equalWidth="0" w:num="2">
            <w:col w:w="6528" w:space="300"/>
            <w:col w:w="4300"/>
          </w:cols>
          <w:pgMar w:left="332" w:top="1440" w:right="439" w:bottom="1440" w:gutter="0" w:footer="0" w:header="0"/>
        </w:sectPr>
      </w:pPr>
    </w:p>
    <w:bookmarkStart w:id="149" w:name="page150"/>
    <w:bookmarkEnd w:id="14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tcPr>
          <w:p>
            <w:pPr>
              <w:ind w:left="200"/>
              <w:spacing w:after="0"/>
              <w:rPr>
                <w:sz w:val="20"/>
                <w:szCs w:val="20"/>
                <w:color w:val="auto"/>
              </w:rPr>
            </w:pPr>
            <w:r>
              <w:rPr>
                <w:rFonts w:ascii="Arial" w:cs="Arial" w:eastAsia="Arial" w:hAnsi="Arial"/>
                <w:sz w:val="18"/>
                <w:szCs w:val="18"/>
                <w:color w:val="auto"/>
                <w:w w:val="99"/>
              </w:rPr>
              <w:t>Inline XBRL Taxonomy Extension Presentation Linkbase Document</w:t>
            </w:r>
          </w:p>
        </w:tc>
      </w:tr>
    </w:tbl>
    <w:p>
      <w:pPr>
        <w:spacing w:after="0" w:line="112" w:lineRule="exact"/>
        <w:rPr>
          <w:sz w:val="20"/>
          <w:szCs w:val="20"/>
          <w:color w:val="auto"/>
        </w:rPr>
      </w:pPr>
    </w:p>
    <w:p>
      <w:pPr>
        <w:ind w:left="1140" w:right="5100" w:hanging="1128"/>
        <w:spacing w:after="0" w:line="271"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131" w:lineRule="exact"/>
        <w:rPr>
          <w:rFonts w:ascii="Arial" w:cs="Arial" w:eastAsia="Arial" w:hAnsi="Arial"/>
          <w:sz w:val="18"/>
          <w:szCs w:val="18"/>
          <w:color w:val="auto"/>
        </w:rPr>
      </w:pPr>
    </w:p>
    <w:p>
      <w:pPr>
        <w:ind w:left="320" w:hanging="509"/>
        <w:spacing w:after="0" w:line="257" w:lineRule="auto"/>
        <w:rPr>
          <w:rFonts w:ascii="Arial" w:cs="Arial" w:eastAsia="Arial" w:hAnsi="Arial"/>
          <w:sz w:val="18"/>
          <w:szCs w:val="18"/>
          <w:color w:val="auto"/>
        </w:rPr>
      </w:pPr>
      <w:r>
        <w:rPr>
          <w:rFonts w:ascii="Arial" w:cs="Arial" w:eastAsia="Arial" w:hAnsi="Arial"/>
          <w:sz w:val="19"/>
          <w:szCs w:val="19"/>
          <w:color w:val="auto"/>
          <w:vertAlign w:val="superscript"/>
        </w:rPr>
        <w:t>*</w:t>
      </w:r>
      <w:r>
        <w:rPr>
          <w:rFonts w:ascii="Arial" w:cs="Arial" w:eastAsia="Arial" w:hAnsi="Arial"/>
          <w:sz w:val="14"/>
          <w:szCs w:val="14"/>
          <w:color w:val="auto"/>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76" w:lineRule="exact"/>
        <w:rPr>
          <w:rFonts w:ascii="Arial" w:cs="Arial" w:eastAsia="Arial" w:hAnsi="Arial"/>
          <w:sz w:val="18"/>
          <w:szCs w:val="18"/>
          <w:color w:val="auto"/>
        </w:rPr>
      </w:pPr>
    </w:p>
    <w:p>
      <w:pPr>
        <w:ind w:left="320" w:hanging="312"/>
        <w:spacing w:after="0" w:line="193" w:lineRule="auto"/>
        <w:tabs>
          <w:tab w:leader="none" w:pos="32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15855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Athira Pharma, Inc.</w:t>
      </w:r>
    </w:p>
    <w:p>
      <w:pPr>
        <w:spacing w:after="0" w:line="198" w:lineRule="exact"/>
        <w:rPr>
          <w:sz w:val="20"/>
          <w:szCs w:val="20"/>
          <w:color w:val="auto"/>
        </w:rPr>
      </w:pPr>
    </w:p>
    <w:p>
      <w:pPr>
        <w:ind w:left="20"/>
        <w:spacing w:after="0"/>
        <w:tabs>
          <w:tab w:leader="none" w:pos="5560" w:val="left"/>
          <w:tab w:leader="none" w:pos="8040" w:val="left"/>
        </w:tabs>
        <w:rPr>
          <w:sz w:val="20"/>
          <w:szCs w:val="20"/>
          <w:color w:val="auto"/>
        </w:rPr>
      </w:pPr>
      <w:r>
        <w:rPr>
          <w:rFonts w:ascii="Arial" w:cs="Arial" w:eastAsia="Arial" w:hAnsi="Arial"/>
          <w:sz w:val="18"/>
          <w:szCs w:val="18"/>
          <w:color w:val="auto"/>
        </w:rPr>
        <w:t>Date: February 27,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Mark Litton</w:t>
      </w:r>
    </w:p>
    <w:p>
      <w:pPr>
        <w:ind w:left="6040"/>
        <w:spacing w:after="0" w:line="234" w:lineRule="auto"/>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2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Litton and Robert Renninger,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ectPr>
          <w:pgSz w:w="11900" w:h="16838" w:orient="portrait"/>
          <w:cols w:equalWidth="0" w:num="1">
            <w:col w:w="11240"/>
          </w:cols>
          <w:pgMar w:left="320" w:top="1417" w:right="339" w:bottom="1440" w:gutter="0" w:footer="0" w:header="0"/>
        </w:sectPr>
      </w:pPr>
    </w:p>
    <w:p>
      <w:pPr>
        <w:spacing w:after="0" w:line="150"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885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Mark Litton</w:t>
      </w:r>
    </w:p>
    <w:p>
      <w:pPr>
        <w:spacing w:after="0" w:line="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Robert Renninger</w:t>
      </w:r>
    </w:p>
    <w:p>
      <w:pPr>
        <w:spacing w:after="0" w:line="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Kelly A. Romano</w:t>
      </w:r>
    </w:p>
    <w:p>
      <w:pPr>
        <w:spacing w:after="0" w:line="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Joseph Edelman</w:t>
      </w:r>
    </w:p>
    <w:p>
      <w:pPr>
        <w:spacing w:after="0" w:line="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John M. Fluke, Jr.</w:t>
      </w:r>
    </w:p>
    <w:p>
      <w:pPr>
        <w:spacing w:after="0" w:line="99"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885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James A. Johnson</w:t>
      </w:r>
    </w:p>
    <w:p>
      <w:pPr>
        <w:spacing w:after="0" w:line="9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Barbara Kosacz</w:t>
      </w:r>
    </w:p>
    <w:p>
      <w:pPr>
        <w:spacing w:after="0" w:line="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Michael 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Michael Panzara</w:t>
      </w:r>
    </w:p>
    <w:p>
      <w:pPr>
        <w:spacing w:after="0" w:line="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8854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Grant Pickering</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4"/>
                <w:szCs w:val="14"/>
                <w:color w:val="auto"/>
              </w:rPr>
            </w:pPr>
          </w:p>
        </w:tc>
        <w:tc>
          <w:tcPr>
            <w:tcW w:w="23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r>
      <w:tr>
        <w:trPr>
          <w:trHeight w:val="312"/>
        </w:trPr>
        <w:tc>
          <w:tcPr>
            <w:tcW w:w="47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01"/>
        </w:trPr>
        <w:tc>
          <w:tcPr>
            <w:tcW w:w="4780" w:type="dxa"/>
            <w:vAlign w:val="bottom"/>
          </w:tcPr>
          <w:p>
            <w:pPr>
              <w:ind w:left="20"/>
              <w:spacing w:after="0"/>
              <w:rPr>
                <w:sz w:val="20"/>
                <w:szCs w:val="20"/>
                <w:color w:val="auto"/>
              </w:rPr>
            </w:pPr>
            <w:r>
              <w:rPr>
                <w:rFonts w:ascii="Arial" w:cs="Arial" w:eastAsia="Arial" w:hAnsi="Arial"/>
                <w:sz w:val="18"/>
                <w:szCs w:val="18"/>
                <w:color w:val="auto"/>
              </w:rPr>
              <w:t>Senior Vice President, Finance and Accounting</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8"/>
        </w:trPr>
        <w:tc>
          <w:tcPr>
            <w:tcW w:w="4780" w:type="dxa"/>
            <w:vAlign w:val="bottom"/>
          </w:tcPr>
          <w:p>
            <w:pPr>
              <w:ind w:left="20"/>
              <w:spacing w:after="0"/>
              <w:rPr>
                <w:sz w:val="20"/>
                <w:szCs w:val="20"/>
                <w:color w:val="auto"/>
              </w:rPr>
            </w:pPr>
            <w:r>
              <w:rPr>
                <w:rFonts w:ascii="Arial" w:cs="Arial" w:eastAsia="Arial" w:hAnsi="Arial"/>
                <w:sz w:val="18"/>
                <w:szCs w:val="18"/>
                <w:color w:val="auto"/>
              </w:rPr>
              <w:t>Chairwoman of the Board of Directors</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540"/>
        </w:trPr>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540"/>
        </w:trPr>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540"/>
        </w:trPr>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527"/>
        </w:trPr>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553"/>
        </w:trPr>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r>
        <w:trPr>
          <w:trHeight w:val="540"/>
        </w:trPr>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February 27, 2025</w:t>
            </w:r>
          </w:p>
        </w:tc>
      </w:tr>
    </w:tbl>
    <w:p>
      <w:pPr>
        <w:spacing w:after="0" w:line="388" w:lineRule="exact"/>
        <w:rPr>
          <w:sz w:val="20"/>
          <w:szCs w:val="20"/>
          <w:color w:val="auto"/>
        </w:rPr>
      </w:pPr>
    </w:p>
    <w:p>
      <w:pPr>
        <w:sectPr>
          <w:pgSz w:w="11900" w:h="16838" w:orient="portrait"/>
          <w:cols w:equalWidth="0" w:num="2">
            <w:col w:w="3140" w:space="720"/>
            <w:col w:w="7380"/>
          </w:cols>
          <w:pgMar w:left="320" w:top="1417"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4.2</w:t>
      </w:r>
    </w:p>
    <w:p>
      <w:pPr>
        <w:spacing w:after="0" w:line="207"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DESCRIPTION OF THE REGISTRANT’S SECURITIES</w:t>
      </w:r>
    </w:p>
    <w:p>
      <w:pPr>
        <w:ind w:left="3220"/>
        <w:spacing w:after="0" w:line="231" w:lineRule="auto"/>
        <w:rPr>
          <w:sz w:val="20"/>
          <w:szCs w:val="20"/>
          <w:color w:val="auto"/>
        </w:rPr>
      </w:pPr>
      <w:r>
        <w:rPr>
          <w:rFonts w:ascii="Arial" w:cs="Arial" w:eastAsia="Arial" w:hAnsi="Arial"/>
          <w:sz w:val="20"/>
          <w:szCs w:val="20"/>
          <w:b w:val="1"/>
          <w:bCs w:val="1"/>
          <w:color w:val="auto"/>
        </w:rPr>
        <w:t>REGISTERED PURSUANT TO SECTION 12 OF THE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SECURITIES EXCHANGE ACT OF 1934</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As of December 31, 2024, we had one class of securities, our common stock, registered under Section 12 of the Securities Exchange Act of 1934, as amended. These securities are listed on the Nasdaq Global Select Market under the symbol “ATHA.”</w:t>
      </w:r>
    </w:p>
    <w:p>
      <w:pPr>
        <w:spacing w:after="0" w:line="1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Our authorized capital stock consists of 900,000,000 shares of common stock, par value $0.0001 per share, and 100,000,000 shares of preferred stock, par value $0.0001 per share.</w:t>
      </w:r>
    </w:p>
    <w:p>
      <w:pPr>
        <w:spacing w:after="0" w:line="154" w:lineRule="exact"/>
        <w:rPr>
          <w:sz w:val="20"/>
          <w:szCs w:val="20"/>
          <w:color w:val="auto"/>
        </w:rPr>
      </w:pPr>
    </w:p>
    <w:p>
      <w:pPr>
        <w:ind w:right="520"/>
        <w:spacing w:after="0" w:line="214" w:lineRule="exact"/>
        <w:rPr>
          <w:sz w:val="20"/>
          <w:szCs w:val="20"/>
          <w:color w:val="auto"/>
        </w:rPr>
      </w:pPr>
      <w:r>
        <w:rPr>
          <w:rFonts w:ascii="Arial" w:cs="Arial" w:eastAsia="Arial" w:hAnsi="Arial"/>
          <w:sz w:val="18"/>
          <w:szCs w:val="18"/>
          <w:color w:val="auto"/>
        </w:rPr>
        <w:t>The following is a summary of the rights of our common stock and preferred stock. This summary is not complete. For more detailed information, please see our certificate of incorporation and bylaws, which are filed as exhibits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December 31, 2024, and to the applicable provisions of Delaware and Washington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Each share of common stock held as of the applicable record date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voting power of the shares of common stock present in person or represented by proxy at the meeting of stockholders and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cast affirmatively or negatively, shall be the act of the stockholders, except as otherwise provided by law, our certificate of incorporation, our bylaws or the rules of any applicable stock exchange on which our securities are listed. The holders of a majority of the voting power of the capital stock issued and outstanding and entitled to vote, present in person or represented by proxy, shall constitute a quorum for the transaction of business at all meetings of the stockholders, unless otherwise required by law, our certificate of incorporation, our bylaws or the rules of any applicable stock exchange on which our securities are listed.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1169670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w:t>
      </w:r>
    </w:p>
    <w:p>
      <w:pPr>
        <w:spacing w:after="0" w:line="293" w:lineRule="exact"/>
        <w:rPr>
          <w:sz w:val="20"/>
          <w:szCs w:val="20"/>
          <w:color w:val="auto"/>
        </w:rPr>
      </w:pPr>
    </w:p>
    <w:p>
      <w:pPr>
        <w:ind w:right="2320"/>
        <w:spacing w:after="0" w:line="360"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ind w:right="520"/>
        <w:spacing w:after="0" w:line="253" w:lineRule="auto"/>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61" w:lineRule="exact"/>
        <w:rPr>
          <w:sz w:val="20"/>
          <w:szCs w:val="20"/>
          <w:color w:val="auto"/>
        </w:rPr>
      </w:pPr>
    </w:p>
    <w:p>
      <w:pPr>
        <w:ind w:left="240" w:right="220" w:hanging="107"/>
        <w:spacing w:after="0" w:line="270" w:lineRule="auto"/>
        <w:tabs>
          <w:tab w:leader="none" w:pos="240" w:val="left"/>
        </w:tabs>
        <w:numPr>
          <w:ilvl w:val="1"/>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89" w:lineRule="exact"/>
        <w:rPr>
          <w:rFonts w:ascii="Times New Roman" w:cs="Times New Roman" w:eastAsia="Times New Roman" w:hAnsi="Times New Roman"/>
          <w:sz w:val="18"/>
          <w:szCs w:val="18"/>
          <w:color w:val="auto"/>
        </w:rPr>
      </w:pPr>
    </w:p>
    <w:p>
      <w:pPr>
        <w:ind w:left="240" w:right="120" w:hanging="107"/>
        <w:spacing w:after="0" w:line="243" w:lineRule="auto"/>
        <w:tabs>
          <w:tab w:leader="none" w:pos="240" w:val="left"/>
        </w:tabs>
        <w:numPr>
          <w:ilvl w:val="1"/>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14" w:lineRule="exact"/>
        <w:rPr>
          <w:rFonts w:ascii="Times New Roman" w:cs="Times New Roman" w:eastAsia="Times New Roman" w:hAnsi="Times New Roman"/>
          <w:sz w:val="18"/>
          <w:szCs w:val="18"/>
          <w:color w:val="auto"/>
        </w:rPr>
      </w:pPr>
    </w:p>
    <w:p>
      <w:pPr>
        <w:ind w:left="240" w:right="200" w:hanging="107"/>
        <w:spacing w:after="0" w:line="252" w:lineRule="auto"/>
        <w:tabs>
          <w:tab w:leader="none" w:pos="240" w:val="left"/>
        </w:tabs>
        <w:numPr>
          <w:ilvl w:val="1"/>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305" w:lineRule="exact"/>
        <w:rPr>
          <w:rFonts w:ascii="Times New Roman" w:cs="Times New Roman" w:eastAsia="Times New Roman" w:hAnsi="Times New Roman"/>
          <w:sz w:val="18"/>
          <w:szCs w:val="18"/>
          <w:color w:val="auto"/>
        </w:rPr>
      </w:pPr>
    </w:p>
    <w:p>
      <w:pPr>
        <w:ind w:left="280" w:hanging="160"/>
        <w:spacing w:after="0"/>
        <w:tabs>
          <w:tab w:leader="none" w:pos="28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Section 203 defines a business combination to include:</w:t>
      </w:r>
    </w:p>
    <w:p>
      <w:pPr>
        <w:spacing w:after="0" w:line="359" w:lineRule="exact"/>
        <w:rPr>
          <w:rFonts w:ascii="Times New Roman" w:cs="Times New Roman" w:eastAsia="Times New Roman" w:hAnsi="Times New Roman"/>
          <w:sz w:val="18"/>
          <w:szCs w:val="18"/>
          <w:color w:val="auto"/>
        </w:rPr>
      </w:pPr>
    </w:p>
    <w:p>
      <w:pPr>
        <w:ind w:left="220" w:right="880" w:hanging="100"/>
        <w:spacing w:after="0" w:line="302" w:lineRule="auto"/>
        <w:tabs>
          <w:tab w:leader="none" w:pos="22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 or any other entity if the merger or consolidation is caused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1125220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301" w:lineRule="exact"/>
        <w:rPr>
          <w:sz w:val="20"/>
          <w:szCs w:val="20"/>
          <w:color w:val="auto"/>
        </w:rPr>
      </w:pPr>
    </w:p>
    <w:p>
      <w:pPr>
        <w:ind w:left="220" w:right="680" w:hanging="100"/>
        <w:spacing w:after="0" w:line="270" w:lineRule="auto"/>
        <w:tabs>
          <w:tab w:leader="none" w:pos="22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any sale, lease, exchange, mortgage, transfer, pledge or other disposition involving the interested stockholder of 10% or more of the assets of the corporation or any direct or indirect majority-owned subsidiary of the corporation;</w:t>
      </w:r>
    </w:p>
    <w:p>
      <w:pPr>
        <w:spacing w:after="0" w:line="289" w:lineRule="exact"/>
        <w:rPr>
          <w:rFonts w:ascii="Times New Roman" w:cs="Times New Roman" w:eastAsia="Times New Roman" w:hAnsi="Times New Roman"/>
          <w:sz w:val="18"/>
          <w:szCs w:val="18"/>
          <w:color w:val="auto"/>
        </w:rPr>
      </w:pPr>
    </w:p>
    <w:p>
      <w:pPr>
        <w:ind w:left="220" w:right="620" w:hanging="100"/>
        <w:spacing w:after="0" w:line="270" w:lineRule="auto"/>
        <w:tabs>
          <w:tab w:leader="none" w:pos="22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or any direct or indirect majority-owned subsidiary of the corporation, to the interested stockholder;</w:t>
      </w:r>
    </w:p>
    <w:p>
      <w:pPr>
        <w:spacing w:after="0" w:line="289" w:lineRule="exact"/>
        <w:rPr>
          <w:rFonts w:ascii="Times New Roman" w:cs="Times New Roman" w:eastAsia="Times New Roman" w:hAnsi="Times New Roman"/>
          <w:sz w:val="18"/>
          <w:szCs w:val="18"/>
          <w:color w:val="auto"/>
        </w:rPr>
      </w:pPr>
    </w:p>
    <w:p>
      <w:pPr>
        <w:ind w:left="220" w:right="660" w:hanging="100"/>
        <w:spacing w:after="0" w:line="276" w:lineRule="auto"/>
        <w:tabs>
          <w:tab w:leader="none" w:pos="22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283" w:lineRule="exact"/>
        <w:rPr>
          <w:rFonts w:ascii="Times New Roman" w:cs="Times New Roman" w:eastAsia="Times New Roman" w:hAnsi="Times New Roman"/>
          <w:sz w:val="18"/>
          <w:szCs w:val="18"/>
          <w:color w:val="auto"/>
        </w:rPr>
      </w:pPr>
    </w:p>
    <w:p>
      <w:pPr>
        <w:ind w:left="220" w:right="920" w:hanging="100"/>
        <w:spacing w:after="0" w:line="271" w:lineRule="auto"/>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have the effect of delaying, deferring or preventing changes in control in our Company.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02"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71" w:lineRule="exact"/>
        <w:rPr>
          <w:sz w:val="20"/>
          <w:szCs w:val="20"/>
          <w:color w:val="auto"/>
        </w:rPr>
      </w:pPr>
    </w:p>
    <w:p>
      <w:pPr>
        <w:ind w:left="240" w:hanging="107"/>
        <w:spacing w:after="0"/>
        <w:tabs>
          <w:tab w:leader="none" w:pos="2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59" w:lineRule="exact"/>
        <w:rPr>
          <w:rFonts w:ascii="Times New Roman" w:cs="Times New Roman" w:eastAsia="Times New Roman" w:hAnsi="Times New Roman"/>
          <w:sz w:val="18"/>
          <w:szCs w:val="18"/>
          <w:color w:val="auto"/>
        </w:rPr>
      </w:pPr>
    </w:p>
    <w:p>
      <w:pPr>
        <w:ind w:left="240" w:hanging="107"/>
        <w:spacing w:after="0" w:line="270" w:lineRule="auto"/>
        <w:tabs>
          <w:tab w:leader="none" w:pos="2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w:t>
      </w:r>
    </w:p>
    <w:p>
      <w:pPr>
        <w:spacing w:after="0" w:line="286"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allowing the acquiring person to receive any disproportionate benefit as a stockholder; </w:t>
      </w:r>
      <w:r>
        <w:rPr>
          <w:rFonts w:ascii="Arial" w:cs="Arial" w:eastAsia="Arial" w:hAnsi="Arial"/>
          <w:sz w:val="19"/>
          <w:szCs w:val="19"/>
          <w:color w:val="auto"/>
        </w:rPr>
        <w:t>and</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liquidating or dissolving the target corporation.</w:t>
      </w:r>
    </w:p>
    <w:p>
      <w:pPr>
        <w:spacing w:after="0" w:line="22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5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54" w:name="page155"/>
    <w:bookmarkEnd w:id="154"/>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measured by market value, are located in the state of Washington or we have more than $50 million worth of tangible assets located in the state of Washington; and (3) any one of the following: (a)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than 10% of our stockholders of record are resident in the state of Washington; (b) more than 10% of our shares are owned of record by state residents; or (c) 1,000 or more of our stockholders of record are resident in the state.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66" w:lineRule="exact"/>
        <w:rPr>
          <w:sz w:val="20"/>
          <w:szCs w:val="20"/>
          <w:color w:val="auto"/>
        </w:rPr>
      </w:pPr>
    </w:p>
    <w:p>
      <w:pPr>
        <w:ind w:left="240" w:hanging="107"/>
        <w:spacing w:after="0"/>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59"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359" w:lineRule="exact"/>
        <w:rPr>
          <w:rFonts w:ascii="Times New Roman" w:cs="Times New Roman" w:eastAsia="Times New Roman" w:hAnsi="Times New Roman"/>
          <w:sz w:val="18"/>
          <w:szCs w:val="18"/>
          <w:color w:val="auto"/>
        </w:rPr>
      </w:pPr>
    </w:p>
    <w:p>
      <w:pPr>
        <w:ind w:left="240" w:right="220" w:hanging="107"/>
        <w:spacing w:after="0" w:line="270" w:lineRule="auto"/>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289"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359"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399" w:lineRule="exact"/>
        <w:rPr>
          <w:rFonts w:ascii="Times New Roman" w:cs="Times New Roman" w:eastAsia="Times New Roman" w:hAnsi="Times New Roman"/>
          <w:sz w:val="18"/>
          <w:szCs w:val="18"/>
          <w:color w:val="auto"/>
        </w:rPr>
      </w:pPr>
    </w:p>
    <w:p>
      <w:pPr>
        <w:ind w:left="240" w:right="140" w:hanging="107"/>
        <w:spacing w:after="0" w:line="270" w:lineRule="auto"/>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289" w:lineRule="exact"/>
        <w:rPr>
          <w:rFonts w:ascii="Times New Roman" w:cs="Times New Roman" w:eastAsia="Times New Roman" w:hAnsi="Times New Roman"/>
          <w:sz w:val="18"/>
          <w:szCs w:val="18"/>
          <w:color w:val="auto"/>
        </w:rPr>
      </w:pPr>
    </w:p>
    <w:p>
      <w:pPr>
        <w:ind w:left="240" w:right="220" w:hanging="107"/>
        <w:spacing w:after="0" w:line="252" w:lineRule="auto"/>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305" w:lineRule="exact"/>
        <w:rPr>
          <w:rFonts w:ascii="Times New Roman" w:cs="Times New Roman" w:eastAsia="Times New Roman" w:hAnsi="Times New Roman"/>
          <w:sz w:val="18"/>
          <w:szCs w:val="18"/>
          <w:color w:val="auto"/>
        </w:rPr>
      </w:pPr>
    </w:p>
    <w:p>
      <w:pPr>
        <w:ind w:left="240" w:hanging="107"/>
        <w:spacing w:after="0" w:line="270" w:lineRule="auto"/>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289" w:lineRule="exact"/>
        <w:rPr>
          <w:rFonts w:ascii="Times New Roman" w:cs="Times New Roman" w:eastAsia="Times New Roman" w:hAnsi="Times New Roman"/>
          <w:sz w:val="18"/>
          <w:szCs w:val="18"/>
          <w:color w:val="auto"/>
        </w:rPr>
      </w:pPr>
    </w:p>
    <w:p>
      <w:pPr>
        <w:ind w:left="240" w:right="240" w:hanging="107"/>
        <w:spacing w:after="0" w:line="270" w:lineRule="auto"/>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55" w:name="page156"/>
    <w:bookmarkEnd w:id="155"/>
    <w:p>
      <w:pPr>
        <w:spacing w:after="0" w:line="85" w:lineRule="exact"/>
        <w:rPr>
          <w:sz w:val="20"/>
          <w:szCs w:val="20"/>
          <w:color w:val="auto"/>
        </w:rPr>
      </w:pPr>
    </w:p>
    <w:p>
      <w:pPr>
        <w:ind w:left="240" w:right="100" w:hanging="107"/>
        <w:spacing w:after="0" w:line="270"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w:t>
      </w:r>
    </w:p>
    <w:p>
      <w:pPr>
        <w:spacing w:after="0" w:line="383"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shares then entitled to vote generally in the election of directors, voting together as a single class; and</w:t>
      </w:r>
    </w:p>
    <w:p>
      <w:pPr>
        <w:spacing w:after="0" w:line="360" w:lineRule="exact"/>
        <w:rPr>
          <w:rFonts w:ascii="Times New Roman" w:cs="Times New Roman" w:eastAsia="Times New Roman" w:hAnsi="Times New Roman"/>
          <w:sz w:val="18"/>
          <w:szCs w:val="18"/>
          <w:color w:val="auto"/>
        </w:rPr>
      </w:pPr>
    </w:p>
    <w:p>
      <w:pPr>
        <w:ind w:left="240" w:right="20" w:hanging="107"/>
        <w:spacing w:after="0" w:line="243"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or our stockholders, (3) any action asserting a claim against us arising pursuant to any provision of the Delaware General Corporation Law, our certificate of incorporation and bylaws (as either may be amended from time to time), or (4) any action asserting a claim against us governed by the internal affairs doctrine; and</w:t>
      </w:r>
    </w:p>
    <w:p>
      <w:pPr>
        <w:spacing w:after="0" w:line="314" w:lineRule="exact"/>
        <w:rPr>
          <w:rFonts w:ascii="Times New Roman" w:cs="Times New Roman" w:eastAsia="Times New Roman" w:hAnsi="Times New Roman"/>
          <w:sz w:val="18"/>
          <w:szCs w:val="18"/>
          <w:color w:val="auto"/>
        </w:rPr>
      </w:pPr>
    </w:p>
    <w:p>
      <w:pPr>
        <w:ind w:left="240" w:right="80" w:hanging="107"/>
        <w:spacing w:after="0" w:line="276"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 against any person in connection with any offering of our securities, including, without limitation and for the avoidance of doubt, any auditor, underwriter, expert, control person or other 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-1812925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on September 12, 2024</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Athira Pharma,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the granting of equity and cash compensation to members of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members of the Board, “</w:t>
      </w:r>
      <w:r>
        <w:rPr>
          <w:rFonts w:ascii="Times New Roman" w:cs="Times New Roman" w:eastAsia="Times New Roman" w:hAnsi="Times New Roman"/>
          <w:sz w:val="21"/>
          <w:szCs w:val="21"/>
          <w:u w:val="single" w:color="auto"/>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w:t>
      </w:r>
      <w:r>
        <w:rPr>
          <w:rFonts w:ascii="Times New Roman" w:cs="Times New Roman" w:eastAsia="Times New Roman" w:hAnsi="Times New Roman"/>
          <w:sz w:val="21"/>
          <w:szCs w:val="21"/>
          <w:u w:val="single" w:color="auto"/>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75" w:lineRule="exact"/>
        <w:rPr>
          <w:sz w:val="20"/>
          <w:szCs w:val="20"/>
          <w:color w:val="auto"/>
        </w:rPr>
      </w:pPr>
    </w:p>
    <w:p>
      <w:pPr>
        <w:jc w:val="both"/>
        <w:ind w:firstLine="757"/>
        <w:spacing w:after="0" w:line="239" w:lineRule="auto"/>
        <w:tabs>
          <w:tab w:leader="none" w:pos="101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Policy will be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cs="Times New Roman" w:eastAsia="Times New Roman" w:hAnsi="Times New Roman"/>
          <w:sz w:val="22"/>
          <w:szCs w:val="22"/>
          <w:u w:val="single" w:color="auto"/>
          <w:color w:val="auto"/>
        </w:rPr>
        <w:t>Registration Date</w:t>
      </w:r>
      <w:r>
        <w:rPr>
          <w:rFonts w:ascii="Times New Roman" w:cs="Times New Roman" w:eastAsia="Times New Roman" w:hAnsi="Times New Roman"/>
          <w:sz w:val="22"/>
          <w:szCs w:val="22"/>
          <w:color w:val="auto"/>
        </w:rPr>
        <w:t>,” and the effective date of this Policy,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p>
    <w:p>
      <w:pPr>
        <w:spacing w:after="0" w:line="206" w:lineRule="exact"/>
        <w:rPr>
          <w:sz w:val="20"/>
          <w:szCs w:val="20"/>
          <w:color w:val="auto"/>
        </w:rPr>
      </w:pPr>
    </w:p>
    <w:p>
      <w:pPr>
        <w:jc w:val="both"/>
        <w:ind w:firstLine="1497"/>
        <w:spacing w:after="0" w:line="261" w:lineRule="exact"/>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Board Member Annual Cash Retainer</w:t>
      </w:r>
      <w:r>
        <w:rPr>
          <w:rFonts w:ascii="Times New Roman" w:cs="Times New Roman" w:eastAsia="Times New Roman" w:hAnsi="Times New Roman"/>
          <w:sz w:val="22"/>
          <w:szCs w:val="22"/>
          <w:color w:val="auto"/>
        </w:rPr>
        <w:t>. Following the Effective Date, each Outside Director will be paid an annual cash retainer of $40,000. There are no 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meeting attendance fees for attending Board meetings or meetings of any committee of the Board.</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Additional Annual Cash Retainers</w:t>
      </w:r>
      <w:r>
        <w:rPr>
          <w:rFonts w:ascii="Times New Roman" w:cs="Times New Roman" w:eastAsia="Times New Roman" w:hAnsi="Times New Roman"/>
          <w:sz w:val="22"/>
          <w:szCs w:val="22"/>
          <w:color w:val="auto"/>
        </w:rPr>
        <w:t>. Following the Effective Date, each Outside Director who serves as the Chair of the Board, or the chair or a member of a committee of the Board, will be eligible to earn additional annual fees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Chair of the Board:</w:t>
            </w:r>
          </w:p>
        </w:tc>
        <w:tc>
          <w:tcPr>
            <w:tcW w:w="5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$30,000</w:t>
            </w:r>
          </w:p>
        </w:tc>
      </w:tr>
      <w:tr>
        <w:trPr>
          <w:trHeight w:val="42"/>
        </w:trPr>
        <w:tc>
          <w:tcPr>
            <w:tcW w:w="604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331"/>
        </w:trPr>
        <w:tc>
          <w:tcPr>
            <w:tcW w:w="6040" w:type="dxa"/>
            <w:vAlign w:val="bottom"/>
            <w:tcBorders>
              <w:bottom w:val="single" w:sz="8" w:color="D9D9D9"/>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Audit Committee Chair:</w:t>
            </w:r>
          </w:p>
        </w:tc>
        <w:tc>
          <w:tcPr>
            <w:tcW w:w="5200" w:type="dxa"/>
            <w:vAlign w:val="bottom"/>
            <w:tcBorders>
              <w:bottom w:val="single" w:sz="8" w:color="D9D9D9"/>
            </w:tcBorders>
            <w:shd w:val="clear" w:color="auto" w:fill="D9D9D9"/>
          </w:tcPr>
          <w:p>
            <w:pPr>
              <w:ind w:left="660"/>
              <w:spacing w:after="0"/>
              <w:rPr>
                <w:sz w:val="20"/>
                <w:szCs w:val="20"/>
                <w:color w:val="auto"/>
              </w:rPr>
            </w:pPr>
            <w:r>
              <w:rPr>
                <w:rFonts w:ascii="Times New Roman" w:cs="Times New Roman" w:eastAsia="Times New Roman" w:hAnsi="Times New Roman"/>
                <w:sz w:val="22"/>
                <w:szCs w:val="22"/>
                <w:color w:val="auto"/>
              </w:rPr>
              <w:t>$15,000</w:t>
            </w:r>
          </w:p>
        </w:tc>
      </w:tr>
      <w:tr>
        <w:trPr>
          <w:trHeight w:val="309"/>
        </w:trPr>
        <w:tc>
          <w:tcPr>
            <w:tcW w:w="6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Audit Committee Member:</w:t>
            </w:r>
          </w:p>
        </w:tc>
        <w:tc>
          <w:tcPr>
            <w:tcW w:w="5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$7,500</w:t>
            </w:r>
          </w:p>
        </w:tc>
      </w:tr>
      <w:tr>
        <w:trPr>
          <w:trHeight w:val="42"/>
        </w:trPr>
        <w:tc>
          <w:tcPr>
            <w:tcW w:w="604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331"/>
        </w:trPr>
        <w:tc>
          <w:tcPr>
            <w:tcW w:w="6040" w:type="dxa"/>
            <w:vAlign w:val="bottom"/>
            <w:tcBorders>
              <w:bottom w:val="single" w:sz="8" w:color="D9D9D9"/>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5200" w:type="dxa"/>
            <w:vAlign w:val="bottom"/>
            <w:tcBorders>
              <w:bottom w:val="single" w:sz="8" w:color="D9D9D9"/>
            </w:tcBorders>
            <w:shd w:val="clear" w:color="auto" w:fill="D9D9D9"/>
          </w:tcPr>
          <w:p>
            <w:pPr>
              <w:ind w:left="660"/>
              <w:spacing w:after="0"/>
              <w:rPr>
                <w:sz w:val="20"/>
                <w:szCs w:val="20"/>
                <w:color w:val="auto"/>
              </w:rPr>
            </w:pPr>
            <w:r>
              <w:rPr>
                <w:rFonts w:ascii="Times New Roman" w:cs="Times New Roman" w:eastAsia="Times New Roman" w:hAnsi="Times New Roman"/>
                <w:sz w:val="22"/>
                <w:szCs w:val="22"/>
                <w:color w:val="auto"/>
              </w:rPr>
              <w:t>$10,000</w:t>
            </w:r>
          </w:p>
        </w:tc>
      </w:tr>
      <w:tr>
        <w:trPr>
          <w:trHeight w:val="309"/>
        </w:trPr>
        <w:tc>
          <w:tcPr>
            <w:tcW w:w="6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5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$5,000</w:t>
            </w:r>
          </w:p>
        </w:tc>
      </w:tr>
      <w:tr>
        <w:trPr>
          <w:trHeight w:val="42"/>
        </w:trPr>
        <w:tc>
          <w:tcPr>
            <w:tcW w:w="604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331"/>
        </w:trPr>
        <w:tc>
          <w:tcPr>
            <w:tcW w:w="6040" w:type="dxa"/>
            <w:vAlign w:val="bottom"/>
            <w:tcBorders>
              <w:bottom w:val="single" w:sz="8" w:color="D9D9D9"/>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5200" w:type="dxa"/>
            <w:vAlign w:val="bottom"/>
            <w:tcBorders>
              <w:bottom w:val="single" w:sz="8" w:color="D9D9D9"/>
            </w:tcBorders>
            <w:shd w:val="clear" w:color="auto" w:fill="D9D9D9"/>
          </w:tcPr>
          <w:p>
            <w:pPr>
              <w:ind w:left="660"/>
              <w:spacing w:after="0"/>
              <w:rPr>
                <w:sz w:val="20"/>
                <w:szCs w:val="20"/>
                <w:color w:val="auto"/>
              </w:rPr>
            </w:pPr>
            <w:r>
              <w:rPr>
                <w:rFonts w:ascii="Times New Roman" w:cs="Times New Roman" w:eastAsia="Times New Roman" w:hAnsi="Times New Roman"/>
                <w:sz w:val="22"/>
                <w:szCs w:val="22"/>
                <w:color w:val="auto"/>
              </w:rPr>
              <w:t>$8,000</w:t>
            </w:r>
          </w:p>
        </w:tc>
      </w:tr>
      <w:tr>
        <w:trPr>
          <w:trHeight w:val="309"/>
        </w:trPr>
        <w:tc>
          <w:tcPr>
            <w:tcW w:w="6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5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$4,000</w:t>
            </w:r>
          </w:p>
        </w:tc>
      </w:tr>
      <w:tr>
        <w:trPr>
          <w:trHeight w:val="1453"/>
        </w:trPr>
        <w:tc>
          <w:tcPr>
            <w:tcW w:w="60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331"/>
        </w:trPr>
        <w:tc>
          <w:tcPr>
            <w:tcW w:w="4860" w:type="dxa"/>
            <w:vAlign w:val="bottom"/>
            <w:tcBorders>
              <w:bottom w:val="single" w:sz="8" w:color="D9D9D9"/>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Compliance Committee Chair:</w:t>
            </w:r>
          </w:p>
        </w:tc>
        <w:tc>
          <w:tcPr>
            <w:tcW w:w="6380" w:type="dxa"/>
            <w:vAlign w:val="bottom"/>
            <w:tcBorders>
              <w:bottom w:val="single" w:sz="8" w:color="D9D9D9"/>
            </w:tcBorders>
            <w:shd w:val="clear" w:color="auto" w:fill="D9D9D9"/>
          </w:tcPr>
          <w:p>
            <w:pPr>
              <w:ind w:left="1840"/>
              <w:spacing w:after="0"/>
              <w:rPr>
                <w:sz w:val="20"/>
                <w:szCs w:val="20"/>
                <w:color w:val="auto"/>
              </w:rPr>
            </w:pPr>
            <w:r>
              <w:rPr>
                <w:rFonts w:ascii="Times New Roman" w:cs="Times New Roman" w:eastAsia="Times New Roman" w:hAnsi="Times New Roman"/>
                <w:sz w:val="22"/>
                <w:szCs w:val="22"/>
                <w:color w:val="auto"/>
              </w:rPr>
              <w:t>$10,000</w:t>
            </w:r>
          </w:p>
        </w:tc>
      </w:tr>
      <w:tr>
        <w:trPr>
          <w:trHeight w:val="309"/>
        </w:trPr>
        <w:tc>
          <w:tcPr>
            <w:tcW w:w="4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Compliance Committee Member:</w:t>
            </w:r>
          </w:p>
        </w:tc>
        <w:tc>
          <w:tcPr>
            <w:tcW w:w="638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23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Payment Timing and Proration</w:t>
      </w:r>
      <w:r>
        <w:rPr>
          <w:rFonts w:ascii="Times New Roman" w:cs="Times New Roman" w:eastAsia="Times New Roman" w:hAnsi="Times New Roman"/>
          <w:sz w:val="22"/>
          <w:szCs w:val="22"/>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cs="Times New Roman" w:eastAsia="Times New Roman" w:hAnsi="Times New Roman"/>
          <w:sz w:val="22"/>
          <w:szCs w:val="22"/>
          <w:u w:val="single" w:color="auto"/>
          <w:color w:val="auto"/>
        </w:rPr>
        <w:t>Initial Period</w:t>
      </w:r>
      <w:r>
        <w:rPr>
          <w:rFonts w:ascii="Times New Roman" w:cs="Times New Roman" w:eastAsia="Times New Roman" w:hAnsi="Times New Roman"/>
          <w:sz w:val="22"/>
          <w:szCs w:val="22"/>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87" w:lineRule="exact"/>
        <w:rPr>
          <w:sz w:val="20"/>
          <w:szCs w:val="20"/>
          <w:color w:val="auto"/>
        </w:rPr>
      </w:pPr>
    </w:p>
    <w:p>
      <w:pPr>
        <w:jc w:val="both"/>
        <w:ind w:firstLine="757"/>
        <w:spacing w:after="0" w:line="239" w:lineRule="auto"/>
        <w:tabs>
          <w:tab w:leader="none" w:pos="10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Outside Directors will be eligible to receive all types of Awards (except Incentive Stock 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173"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individual who first becomes an Outside Director following the Effective Date automatically will be granted an award of Options (an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to purchase 41,800 Shares. The grant date of the Initial Award will be the first Trading Day on or after the date on which such individual first becomes an Outside Director (such first date as an Outside Director, the “</w:t>
      </w:r>
      <w:r>
        <w:rPr>
          <w:rFonts w:ascii="Times New Roman" w:cs="Times New Roman" w:eastAsia="Times New Roman" w:hAnsi="Times New Roman"/>
          <w:sz w:val="22"/>
          <w:szCs w:val="22"/>
          <w:u w:val="single" w:color="auto"/>
          <w:color w:val="auto"/>
        </w:rPr>
        <w:t>Initial Start Date</w:t>
      </w:r>
      <w:r>
        <w:rPr>
          <w:rFonts w:ascii="Times New Roman" w:cs="Times New Roman" w:eastAsia="Times New Roman" w:hAnsi="Times New Roman"/>
          <w:sz w:val="22"/>
          <w:szCs w:val="22"/>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58" w:name="page159"/>
    <w:bookmarkEnd w:id="158"/>
    <w:p>
      <w:pPr>
        <w:spacing w:after="0" w:line="18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the first Trading Day immediately following each Annual Meeting of the Company’s stockholders (an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each Outside Director who, as of the date of such Annual Meeting, has been in continuous service as an Outside Director since the date of the most recently preceding Annual Meeting, automatically will be granted an award of Options to purchase 20,900 Shares. An Outside Director who, as of the date of such Annual Meeting, has not been in continuous service as an Outside Director since the date of the most recently preceding Annual Meeting, automatically will be granted a prorated award of Options, with the number of Options granted pursuant to such prorated award equal to the product of 20,900 multiplied by the quotient of (i) the number of whole months of continuous service as an Outside Director completed as of the date of such Annual Meeting divided by (ii) twelve (12), rounded down to the nearest whole share (up to a maximum of 20,900 shares) (the awards described in this Section 3.3, each, an “</w:t>
      </w: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74"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IPO Award</w:t>
      </w:r>
      <w:r>
        <w:rPr>
          <w:rFonts w:ascii="Times New Roman" w:cs="Times New Roman" w:eastAsia="Times New Roman" w:hAnsi="Times New Roman"/>
          <w:sz w:val="22"/>
          <w:szCs w:val="22"/>
          <w:color w:val="auto"/>
        </w:rPr>
        <w:t>. Effective as of the Registration Date, each Outside Director will be granted an award of Options (the “</w:t>
      </w:r>
      <w:r>
        <w:rPr>
          <w:rFonts w:ascii="Times New Roman" w:cs="Times New Roman" w:eastAsia="Times New Roman" w:hAnsi="Times New Roman"/>
          <w:sz w:val="22"/>
          <w:szCs w:val="22"/>
          <w:u w:val="single" w:color="auto"/>
          <w:color w:val="auto"/>
        </w:rPr>
        <w:t>IPO Award</w:t>
      </w:r>
      <w:r>
        <w:rPr>
          <w:rFonts w:ascii="Times New Roman" w:cs="Times New Roman" w:eastAsia="Times New Roman" w:hAnsi="Times New Roman"/>
          <w:sz w:val="22"/>
          <w:szCs w:val="22"/>
          <w:color w:val="auto"/>
        </w:rPr>
        <w:t>”) to purchase 27,742 Shares. Each IPO Award will be scheduled to vest as to one thirty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sixth (1/36</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of the Shares subject to the IPO Award on a monthly basis following the Vesting Commencement Date on the same day of the month as the Vesting Commencement Date (or the last day of the month, if there is no corresponding day in a given month) over a period of three (3) years from the Vesting Commencement Date, so that all of the Shares subject to the IPO Award will be scheduled to be vested by three-year anniversary of the Vesting Commencement Date, subject to the Outside Director remaining a Service Provider through the applicable vesting date. The Vesting Commencement Date of any IPO Award granted to each Outside Director other than James Johnson will be the Registration Date. The Vesting Commencement Date of any IPO Award granted to James Johnson will be August 26, 2020.</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Additional Terms of Initial Awards, Annual Awards and IPO Awards</w:t>
      </w:r>
      <w:r>
        <w:rPr>
          <w:rFonts w:ascii="Times New Roman" w:cs="Times New Roman" w:eastAsia="Times New Roman" w:hAnsi="Times New Roman"/>
          <w:sz w:val="22"/>
          <w:szCs w:val="22"/>
          <w:color w:val="auto"/>
        </w:rPr>
        <w:t>. The terms and conditions of each Initial Award, Annual Award and IPO Award (each, a “</w:t>
      </w:r>
      <w:r>
        <w:rPr>
          <w:rFonts w:ascii="Times New Roman" w:cs="Times New Roman" w:eastAsia="Times New Roman" w:hAnsi="Times New Roman"/>
          <w:sz w:val="22"/>
          <w:szCs w:val="22"/>
          <w:u w:val="single" w:color="auto"/>
          <w:color w:val="auto"/>
        </w:rPr>
        <w:t>Policy Award</w:t>
      </w:r>
      <w:r>
        <w:rPr>
          <w:rFonts w:ascii="Times New Roman" w:cs="Times New Roman" w:eastAsia="Times New Roman" w:hAnsi="Times New Roman"/>
          <w:sz w:val="22"/>
          <w:szCs w:val="22"/>
          <w:color w:val="auto"/>
        </w:rPr>
        <w:t>”) will be as follows.</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3.5.1 The term of each Policy Award will be ten (10) years, subject to earlier termination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in the Plan.</w:t>
      </w:r>
    </w:p>
    <w:p>
      <w:pPr>
        <w:spacing w:after="0" w:line="182" w:lineRule="exact"/>
        <w:rPr>
          <w:sz w:val="20"/>
          <w:szCs w:val="20"/>
          <w:color w:val="auto"/>
        </w:rPr>
      </w:pPr>
    </w:p>
    <w:p>
      <w:pPr>
        <w:jc w:val="both"/>
        <w:ind w:firstLine="2995"/>
        <w:spacing w:after="0" w:line="238" w:lineRule="auto"/>
        <w:rPr>
          <w:sz w:val="20"/>
          <w:szCs w:val="20"/>
          <w:color w:val="auto"/>
        </w:rPr>
      </w:pPr>
      <w:r>
        <w:rPr>
          <w:rFonts w:ascii="Times New Roman" w:cs="Times New Roman" w:eastAsia="Times New Roman" w:hAnsi="Times New Roman"/>
          <w:sz w:val="22"/>
          <w:szCs w:val="22"/>
          <w:color w:val="auto"/>
        </w:rPr>
        <w:t>3.5.2 The per Share exercise price of each Policy Award will be equal to one hundred percent (100%) of the Fair Market Value per Share on such Policy Award’s grant date. For purposes of clarity, the per Share exercise price of an IPO Award will be equal to the initial Share price to the public as set forth in the final prospectus included within the registration statement on Form S-1 filed with the Securities and Exchange Commission for the Company’s initial public offering of its Common Stock.</w:t>
      </w:r>
    </w:p>
    <w:p>
      <w:pPr>
        <w:spacing w:after="0" w:line="177" w:lineRule="exact"/>
        <w:rPr>
          <w:sz w:val="20"/>
          <w:szCs w:val="20"/>
          <w:color w:val="auto"/>
        </w:rPr>
      </w:pPr>
    </w:p>
    <w:p>
      <w:pPr>
        <w:jc w:val="both"/>
        <w:ind w:firstLine="2995"/>
        <w:spacing w:after="0" w:line="244" w:lineRule="auto"/>
        <w:rPr>
          <w:sz w:val="20"/>
          <w:szCs w:val="20"/>
          <w:color w:val="auto"/>
        </w:rPr>
      </w:pPr>
      <w:r>
        <w:rPr>
          <w:rFonts w:ascii="Times New Roman" w:cs="Times New Roman" w:eastAsia="Times New Roman" w:hAnsi="Times New Roman"/>
          <w:sz w:val="22"/>
          <w:szCs w:val="22"/>
          <w:color w:val="auto"/>
        </w:rPr>
        <w:t>3.5.3 Each Policy Award will be granted under and subject to the terms and conditions of the Plan and the applicable form of Award Agreement previously approved by the Board or its Committee, as applicable, for use thereunder.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5" w:lineRule="exact"/>
        <w:rPr>
          <w:sz w:val="20"/>
          <w:szCs w:val="20"/>
          <w:color w:val="auto"/>
        </w:rPr>
      </w:pPr>
    </w:p>
    <w:p>
      <w:pPr>
        <w:jc w:val="both"/>
        <w:ind w:firstLine="2995"/>
        <w:spacing w:after="0" w:line="244" w:lineRule="auto"/>
        <w:rPr>
          <w:sz w:val="20"/>
          <w:szCs w:val="20"/>
          <w:color w:val="auto"/>
        </w:rPr>
      </w:pPr>
      <w:r>
        <w:rPr>
          <w:rFonts w:ascii="Times New Roman" w:cs="Times New Roman" w:eastAsia="Times New Roman" w:hAnsi="Times New Roman"/>
          <w:sz w:val="22"/>
          <w:szCs w:val="22"/>
          <w:color w:val="auto"/>
        </w:rPr>
        <w:t>3.5.4 The Board or its Committee, as applicable and in its discretion, may change and otherwise revise the terms of Policy Awards to be granted in the future pursuant to this Policy, including without limitation the number of Shares subject thereto and type of Award.</w:t>
      </w:r>
    </w:p>
    <w:p>
      <w:pPr>
        <w:spacing w:after="0" w:line="173" w:lineRule="exact"/>
        <w:rPr>
          <w:sz w:val="20"/>
          <w:szCs w:val="20"/>
          <w:color w:val="auto"/>
        </w:rPr>
      </w:pPr>
    </w:p>
    <w:p>
      <w:pPr>
        <w:jc w:val="both"/>
        <w:ind w:firstLine="757"/>
        <w:spacing w:after="0" w:line="244"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each Outside Director will fully vest in his or her outstanding Company equity awards as of immediately prior to the Change in Control, including any Policy Award, provided that the Outside Director continues to be an Outside Director through the date of such Change in Control.</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Compensation Limit</w:t>
      </w:r>
      <w:r>
        <w:rPr>
          <w:rFonts w:ascii="Times New Roman" w:cs="Times New Roman" w:eastAsia="Times New Roman" w:hAnsi="Times New Roman"/>
          <w:sz w:val="22"/>
          <w:szCs w:val="22"/>
          <w:color w:val="auto"/>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83"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Expenses</w:t>
      </w:r>
      <w:r>
        <w:rPr>
          <w:rFonts w:ascii="Times New Roman" w:cs="Times New Roman" w:eastAsia="Times New Roman" w:hAnsi="Times New Roman"/>
          <w:sz w:val="22"/>
          <w:szCs w:val="22"/>
          <w:color w:val="auto"/>
        </w:rPr>
        <w:t>. Each Outside Director’s reasonable, customary and properly documented travel expenses to meetings of the Board and any of its committees, as applicable, will be reimbursed by the Company.</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Policy Awards.</w:t>
      </w:r>
    </w:p>
    <w:p>
      <w:pPr>
        <w:spacing w:after="0" w:line="181"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initial adoption of this Policy will be subject to approval by the Company’s stockholders prior to the Effective Date. Unless otherwise required by applicable law, following such approval, this Policy will not be subject to approval by the Company’s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stockholders, including, for clarity, as a result of or in connection with any action taken with respect to this Policy as contemplated in Section 10.</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83" w:lineRule="exact"/>
        <w:rPr>
          <w:sz w:val="20"/>
          <w:szCs w:val="20"/>
          <w:color w:val="auto"/>
        </w:rPr>
      </w:pPr>
    </w:p>
    <w:p>
      <w:pPr>
        <w:ind w:left="4900"/>
        <w:spacing w:after="0"/>
        <w:tabs>
          <w:tab w:leader="none" w:pos="5580" w:val="left"/>
          <w:tab w:leader="none" w:pos="62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ind w:left="10360"/>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amended and restated on September 12, 2024)</w:t>
      </w:r>
    </w:p>
    <w:p>
      <w:pPr>
        <w:spacing w:after="0" w:line="212" w:lineRule="exact"/>
        <w:rPr>
          <w:sz w:val="20"/>
          <w:szCs w:val="20"/>
          <w:color w:val="auto"/>
        </w:rPr>
      </w:pPr>
    </w:p>
    <w:p>
      <w:pPr>
        <w:ind w:left="760" w:hanging="752"/>
        <w:spacing w:after="0"/>
        <w:tabs>
          <w:tab w:leader="none" w:pos="76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OVERVIEW</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Athira Pharma,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purposes of this Policy, the Company’s General Counsel and Chief Compliance Officer serves as the Compliance Officer. The Compliance Officer may designate others, from time to time, to assist with the execution of his or her duties under this Policy.</w:t>
      </w:r>
    </w:p>
    <w:p>
      <w:pPr>
        <w:spacing w:after="0" w:line="155"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19" w:lineRule="exact"/>
        <w:rPr>
          <w:rFonts w:ascii="Times New Roman" w:cs="Times New Roman" w:eastAsia="Times New Roman" w:hAnsi="Times New Roman"/>
          <w:sz w:val="20"/>
          <w:szCs w:val="20"/>
          <w:b w:val="1"/>
          <w:bCs w:val="1"/>
          <w:color w:val="auto"/>
        </w:rPr>
      </w:pPr>
    </w:p>
    <w:p>
      <w:pPr>
        <w:ind w:left="1140" w:hanging="383"/>
        <w:spacing w:after="0" w:line="295" w:lineRule="auto"/>
        <w:tabs>
          <w:tab w:leader="none" w:pos="1140" w:val="left"/>
        </w:tabs>
        <w:numPr>
          <w:ilvl w:val="1"/>
          <w:numId w:val="8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 Trading on Material Nonpublic Information</w:t>
      </w:r>
      <w:r>
        <w:rPr>
          <w:rFonts w:ascii="Times New Roman" w:cs="Times New Roman" w:eastAsia="Times New Roman" w:hAnsi="Times New Roman"/>
          <w:sz w:val="19"/>
          <w:szCs w:val="19"/>
          <w:color w:val="auto"/>
        </w:rPr>
        <w:t>. It is illegal for anyone to trade in securities on the basis of material nonpublic information. If you are in possession of material nonpublic information about the Company, you are prohibited from:</w:t>
      </w:r>
    </w:p>
    <w:p>
      <w:pPr>
        <w:spacing w:after="0" w:line="137" w:lineRule="exact"/>
        <w:rPr>
          <w:rFonts w:ascii="Times New Roman" w:cs="Times New Roman" w:eastAsia="Times New Roman" w:hAnsi="Times New Roman"/>
          <w:sz w:val="19"/>
          <w:szCs w:val="19"/>
          <w:u w:val="single" w:color="auto"/>
          <w:color w:val="auto"/>
        </w:rPr>
      </w:pPr>
    </w:p>
    <w:p>
      <w:pPr>
        <w:ind w:left="1880" w:hanging="749"/>
        <w:spacing w:after="0"/>
        <w:tabs>
          <w:tab w:leader="none" w:pos="188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5"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Compliance Officer; or</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21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0"/>
          <w:szCs w:val="20"/>
          <w:color w:val="auto"/>
        </w:rPr>
        <w:t>In addition, if you learn of material nonpublic information through your service with the Company that could be expected to affect the trading price of the securities of another company, you cannot (x) use that information to trade, directly or indirectly through others, or</w:t>
      </w:r>
    </w:p>
    <w:p>
      <w:pPr>
        <w:spacing w:after="0" w:line="2" w:lineRule="exact"/>
        <w:rPr>
          <w:sz w:val="20"/>
          <w:szCs w:val="20"/>
          <w:color w:val="auto"/>
        </w:rPr>
      </w:pPr>
    </w:p>
    <w:p>
      <w:pPr>
        <w:ind w:right="20" w:firstLine="8"/>
        <w:spacing w:after="0" w:line="246" w:lineRule="auto"/>
        <w:tabs>
          <w:tab w:leader="none" w:pos="29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information to another person in order to trade, in the securities of that other company. Any such action will be deemed a violation of this Policy.</w:t>
      </w:r>
    </w:p>
    <w:p>
      <w:pPr>
        <w:spacing w:after="0" w:line="181" w:lineRule="exact"/>
        <w:rPr>
          <w:rFonts w:ascii="Times New Roman" w:cs="Times New Roman" w:eastAsia="Times New Roman" w:hAnsi="Times New Roman"/>
          <w:sz w:val="20"/>
          <w:szCs w:val="20"/>
          <w:color w:val="auto"/>
        </w:rPr>
      </w:pPr>
    </w:p>
    <w:p>
      <w:pPr>
        <w:ind w:left="1140" w:right="20" w:hanging="383"/>
        <w:spacing w:after="0" w:line="269" w:lineRule="auto"/>
        <w:tabs>
          <w:tab w:leader="none" w:pos="1140" w:val="left"/>
        </w:tabs>
        <w:numPr>
          <w:ilvl w:val="1"/>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Disclosure of Confidential Information</w:t>
      </w:r>
      <w:r>
        <w:rPr>
          <w:rFonts w:ascii="Times New Roman" w:cs="Times New Roman" w:eastAsia="Times New Roman" w:hAnsi="Times New Roman"/>
          <w:sz w:val="20"/>
          <w:szCs w:val="20"/>
          <w:color w:val="auto"/>
        </w:rPr>
        <w:t>. You may not at any time disclose material nonpublic information about the Company or about another company that you obtained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2" w:name="page163"/>
    <w:bookmarkEnd w:id="162"/>
    <w:p>
      <w:pPr>
        <w:jc w:val="both"/>
        <w:ind w:left="1140"/>
        <w:spacing w:after="0" w:line="249" w:lineRule="auto"/>
        <w:rPr>
          <w:sz w:val="20"/>
          <w:szCs w:val="20"/>
          <w:color w:val="auto"/>
        </w:rPr>
      </w:pPr>
      <w:r>
        <w:rPr>
          <w:rFonts w:ascii="Times New Roman" w:cs="Times New Roman" w:eastAsia="Times New Roman" w:hAnsi="Times New Roman"/>
          <w:sz w:val="20"/>
          <w:szCs w:val="20"/>
          <w:color w:val="auto"/>
        </w:rPr>
        <w:t>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Compliance Officer. Responding to a request yourself may violate this Policy and, in some circumstances, the law. Please consult the Company’s External Communications Policy for more details.</w:t>
      </w:r>
    </w:p>
    <w:p>
      <w:pPr>
        <w:spacing w:after="0" w:line="176" w:lineRule="exact"/>
        <w:rPr>
          <w:sz w:val="20"/>
          <w:szCs w:val="20"/>
          <w:color w:val="auto"/>
        </w:rPr>
      </w:pPr>
    </w:p>
    <w:p>
      <w:pPr>
        <w:jc w:val="both"/>
        <w:ind w:left="1140" w:hanging="383"/>
        <w:spacing w:after="0" w:line="247" w:lineRule="auto"/>
        <w:tabs>
          <w:tab w:leader="none" w:pos="1140" w:val="left"/>
        </w:tabs>
        <w:numPr>
          <w:ilvl w:val="0"/>
          <w:numId w:val="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spacing w:after="0" w:line="18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59" w:lineRule="exact"/>
        <w:rPr>
          <w:sz w:val="20"/>
          <w:szCs w:val="20"/>
          <w:color w:val="auto"/>
        </w:rPr>
      </w:pPr>
    </w:p>
    <w:p>
      <w:pPr>
        <w:jc w:val="both"/>
        <w:ind w:left="1880" w:hanging="749"/>
        <w:spacing w:after="0" w:line="254" w:lineRule="auto"/>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relating to the Company’s preclinical studies or clinical trials, including, without limitation, status, results and communications with regulatory agencies, or relating to intellectual property;</w:t>
      </w:r>
    </w:p>
    <w:p>
      <w:pPr>
        <w:spacing w:after="0" w:line="174"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15"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5"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59" w:lineRule="exact"/>
        <w:rPr>
          <w:rFonts w:ascii="Times New Roman" w:cs="Times New Roman" w:eastAsia="Times New Roman" w:hAnsi="Times New Roman"/>
          <w:sz w:val="20"/>
          <w:szCs w:val="20"/>
          <w:color w:val="auto"/>
        </w:rPr>
      </w:pPr>
    </w:p>
    <w:p>
      <w:pPr>
        <w:jc w:val="both"/>
        <w:ind w:left="1880" w:hanging="749"/>
        <w:spacing w:after="0" w:line="268" w:lineRule="auto"/>
        <w:tabs>
          <w:tab w:leader="none" w:pos="18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a product or service, such as new products or services, major modifications or performance issues, defects or recalls, significant pricing changes or other announcements of a significant nature;</w:t>
      </w:r>
    </w:p>
    <w:p>
      <w:pPr>
        <w:spacing w:after="0" w:line="3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ind w:left="1880" w:hanging="749"/>
        <w:spacing w:after="0" w:line="269" w:lineRule="auto"/>
        <w:tabs>
          <w:tab w:leader="none" w:pos="18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159" w:lineRule="exact"/>
        <w:rPr>
          <w:rFonts w:ascii="Times New Roman" w:cs="Times New Roman" w:eastAsia="Times New Roman" w:hAnsi="Times New Roman"/>
          <w:sz w:val="20"/>
          <w:szCs w:val="20"/>
          <w:color w:val="auto"/>
        </w:rPr>
      </w:pPr>
    </w:p>
    <w:p>
      <w:pPr>
        <w:jc w:val="both"/>
        <w:ind w:left="1880" w:hanging="749"/>
        <w:spacing w:after="0" w:line="254" w:lineRule="auto"/>
        <w:tabs>
          <w:tab w:leader="none" w:pos="18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4"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two full trading days must pass after the dissemination of information before such information is considered public.</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As a rule of thumb, if you think something might be material nonpublic information, it probably is. You can always reach out to the Compliance Officer if you have questions.</w:t>
      </w:r>
    </w:p>
    <w:p>
      <w:pPr>
        <w:spacing w:after="0" w:line="155"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76"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COVERED BY THIS POLICY</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w:t>
      </w:r>
    </w:p>
    <w:p>
      <w:pPr>
        <w:spacing w:after="0" w:line="34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material nonpublic information obtained in connection with your service with the Company. This Policy therefore applies to:</w:t>
      </w:r>
    </w:p>
    <w:p>
      <w:pPr>
        <w:spacing w:after="0" w:line="216" w:lineRule="exact"/>
        <w:rPr>
          <w:sz w:val="20"/>
          <w:szCs w:val="20"/>
          <w:color w:val="auto"/>
        </w:rPr>
      </w:pPr>
    </w:p>
    <w:p>
      <w:pPr>
        <w:jc w:val="both"/>
        <w:ind w:firstLine="757"/>
        <w:spacing w:after="0" w:line="249" w:lineRule="auto"/>
        <w:tabs>
          <w:tab w:leader="none" w:pos="1018" w:val="left"/>
        </w:tabs>
        <w:numPr>
          <w:ilvl w:val="0"/>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79" w:lineRule="exact"/>
        <w:rPr>
          <w:rFonts w:ascii="Times New Roman" w:cs="Times New Roman" w:eastAsia="Times New Roman" w:hAnsi="Times New Roman"/>
          <w:sz w:val="20"/>
          <w:szCs w:val="20"/>
          <w:u w:val="single" w:color="auto"/>
          <w:color w:val="auto"/>
        </w:rPr>
      </w:pPr>
    </w:p>
    <w:p>
      <w:pPr>
        <w:ind w:left="1140" w:hanging="383"/>
        <w:spacing w:after="0"/>
        <w:tabs>
          <w:tab w:leader="none" w:pos="1140" w:val="left"/>
        </w:tabs>
        <w:numPr>
          <w:ilvl w:val="0"/>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15" w:lineRule="exact"/>
        <w:rPr>
          <w:rFonts w:ascii="Times New Roman" w:cs="Times New Roman" w:eastAsia="Times New Roman" w:hAnsi="Times New Roman"/>
          <w:sz w:val="20"/>
          <w:szCs w:val="20"/>
          <w:u w:val="single" w:color="auto"/>
          <w:color w:val="auto"/>
        </w:rPr>
      </w:pPr>
    </w:p>
    <w:p>
      <w:pPr>
        <w:ind w:left="1140" w:hanging="383"/>
        <w:spacing w:after="0"/>
        <w:tabs>
          <w:tab w:leader="none" w:pos="1140" w:val="left"/>
        </w:tabs>
        <w:numPr>
          <w:ilvl w:val="0"/>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15" w:lineRule="exact"/>
        <w:rPr>
          <w:rFonts w:ascii="Times New Roman" w:cs="Times New Roman" w:eastAsia="Times New Roman" w:hAnsi="Times New Roman"/>
          <w:sz w:val="20"/>
          <w:szCs w:val="20"/>
          <w:u w:val="single" w:color="auto"/>
          <w:color w:val="auto"/>
        </w:rPr>
      </w:pPr>
    </w:p>
    <w:p>
      <w:pPr>
        <w:jc w:val="both"/>
        <w:ind w:left="1140" w:hanging="383"/>
        <w:spacing w:after="0" w:line="240" w:lineRule="exact"/>
        <w:tabs>
          <w:tab w:leader="none" w:pos="1140" w:val="left"/>
        </w:tabs>
        <w:numPr>
          <w:ilvl w:val="0"/>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w:t>
      </w:r>
    </w:p>
    <w:p>
      <w:pPr>
        <w:spacing w:after="0" w:line="190"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211"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directors, officers and those employees identified by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“Covered Persons List”).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Quarterly blackout periods will start at the end of the last day of each fiscal quarter and will end at the start of the third full trading day following the Company’s earnings release.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37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ind w:firstLine="749"/>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quarterly blackout periods, and the Compliance Officer may update and revise the Covered Person’s List as appropriate.</w:t>
      </w:r>
    </w:p>
    <w:p>
      <w:pPr>
        <w:spacing w:after="0" w:line="159" w:lineRule="exact"/>
        <w:rPr>
          <w:sz w:val="20"/>
          <w:szCs w:val="20"/>
          <w:color w:val="auto"/>
        </w:rPr>
      </w:pPr>
    </w:p>
    <w:p>
      <w:pPr>
        <w:jc w:val="both"/>
        <w:ind w:left="1140" w:hanging="383"/>
        <w:spacing w:after="0" w:line="243" w:lineRule="auto"/>
        <w:tabs>
          <w:tab w:leader="none" w:pos="1140" w:val="left"/>
        </w:tabs>
        <w:numPr>
          <w:ilvl w:val="1"/>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Special Blackout Periods</w:t>
      </w:r>
      <w:r>
        <w:rPr>
          <w:rFonts w:ascii="Times New Roman" w:cs="Times New Roman" w:eastAsia="Times New Roman" w:hAnsi="Times New Roman"/>
          <w:sz w:val="20"/>
          <w:szCs w:val="20"/>
          <w:color w:val="auto"/>
        </w:rPr>
        <w:t>. The Company always retains the right to impose additional or longer trading blackout periods at any time on any or all of its directors, officers, employees, consultants, contractors and advisors. The Compliance Officer will notify you if you are subject to a special blackout period by providing to you a notice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89" w:lineRule="exact"/>
        <w:rPr>
          <w:rFonts w:ascii="Times New Roman" w:cs="Times New Roman" w:eastAsia="Times New Roman" w:hAnsi="Times New Roman"/>
          <w:sz w:val="20"/>
          <w:szCs w:val="20"/>
          <w:u w:val="single" w:color="auto"/>
          <w:color w:val="auto"/>
        </w:rPr>
      </w:pPr>
    </w:p>
    <w:p>
      <w:pPr>
        <w:jc w:val="both"/>
        <w:ind w:left="1140" w:hanging="383"/>
        <w:spacing w:after="0" w:line="243" w:lineRule="auto"/>
        <w:tabs>
          <w:tab w:leader="none" w:pos="1140" w:val="left"/>
        </w:tabs>
        <w:numPr>
          <w:ilvl w:val="1"/>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Regulation BTR Blackouts</w:t>
      </w:r>
      <w:r>
        <w:rPr>
          <w:rFonts w:ascii="Times New Roman" w:cs="Times New Roman" w:eastAsia="Times New Roman" w:hAnsi="Times New Roman"/>
          <w:sz w:val="20"/>
          <w:szCs w:val="20"/>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81"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 material nonpublic information or not.</w:t>
      </w:r>
    </w:p>
    <w:p>
      <w:pPr>
        <w:spacing w:after="0" w:line="159" w:lineRule="exact"/>
        <w:rPr>
          <w:sz w:val="20"/>
          <w:szCs w:val="20"/>
          <w:color w:val="auto"/>
        </w:rPr>
      </w:pPr>
    </w:p>
    <w:p>
      <w:pPr>
        <w:ind w:firstLine="757"/>
        <w:spacing w:after="0" w:line="269" w:lineRule="auto"/>
        <w:tabs>
          <w:tab w:leader="none" w:pos="1018" w:val="left"/>
        </w:tabs>
        <w:numPr>
          <w:ilvl w:val="0"/>
          <w:numId w:val="9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59" w:lineRule="exact"/>
        <w:rPr>
          <w:rFonts w:ascii="Times New Roman" w:cs="Times New Roman" w:eastAsia="Times New Roman" w:hAnsi="Times New Roman"/>
          <w:sz w:val="20"/>
          <w:szCs w:val="20"/>
          <w:u w:val="single" w:color="auto"/>
          <w:color w:val="auto"/>
        </w:rPr>
      </w:pPr>
    </w:p>
    <w:p>
      <w:pPr>
        <w:jc w:val="both"/>
        <w:ind w:left="1140" w:hanging="383"/>
        <w:spacing w:after="0" w:line="246" w:lineRule="auto"/>
        <w:tabs>
          <w:tab w:leader="none" w:pos="1140" w:val="left"/>
        </w:tabs>
        <w:numPr>
          <w:ilvl w:val="0"/>
          <w:numId w:val="9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w:t>
      </w:r>
    </w:p>
    <w:p>
      <w:pPr>
        <w:spacing w:after="0" w:line="37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ind w:left="1140"/>
        <w:spacing w:after="0" w:line="269" w:lineRule="auto"/>
        <w:rPr>
          <w:sz w:val="20"/>
          <w:szCs w:val="20"/>
          <w:color w:val="auto"/>
        </w:rPr>
      </w:pPr>
      <w:r>
        <w:rPr>
          <w:rFonts w:ascii="Times New Roman" w:cs="Times New Roman" w:eastAsia="Times New Roman" w:hAnsi="Times New Roman"/>
          <w:sz w:val="20"/>
          <w:szCs w:val="20"/>
          <w:color w:val="auto"/>
        </w:rPr>
        <w:t>decrease in the market value of Company equity securities either (i) granted to you by the Company as part of your compensation or (ii) held, directly or indirectly, by you.</w:t>
      </w:r>
    </w:p>
    <w:p>
      <w:pPr>
        <w:spacing w:after="0" w:line="159" w:lineRule="exact"/>
        <w:rPr>
          <w:sz w:val="20"/>
          <w:szCs w:val="20"/>
          <w:color w:val="auto"/>
        </w:rPr>
      </w:pPr>
    </w:p>
    <w:p>
      <w:pPr>
        <w:ind w:left="1140" w:hanging="383"/>
        <w:spacing w:after="0" w:line="269" w:lineRule="auto"/>
        <w:tabs>
          <w:tab w:leader="none" w:pos="1140" w:val="left"/>
        </w:tabs>
        <w:numPr>
          <w:ilvl w:val="1"/>
          <w:numId w:val="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You may not pledge the Company’s securities as collateral for any loan or as part of any other pledging transaction.</w:t>
      </w:r>
    </w:p>
    <w:p>
      <w:pPr>
        <w:spacing w:after="0" w:line="159" w:lineRule="exact"/>
        <w:rPr>
          <w:rFonts w:ascii="Times New Roman" w:cs="Times New Roman" w:eastAsia="Times New Roman" w:hAnsi="Times New Roman"/>
          <w:sz w:val="20"/>
          <w:szCs w:val="20"/>
          <w:u w:val="single" w:color="auto"/>
          <w:color w:val="auto"/>
        </w:rPr>
      </w:pPr>
    </w:p>
    <w:p>
      <w:pPr>
        <w:ind w:left="1140" w:hanging="383"/>
        <w:spacing w:after="0"/>
        <w:tabs>
          <w:tab w:leader="none" w:pos="1140" w:val="left"/>
        </w:tabs>
        <w:numPr>
          <w:ilvl w:val="1"/>
          <w:numId w:val="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You may not hold the Company’s common stock in margin accounts.</w:t>
      </w:r>
    </w:p>
    <w:p>
      <w:pPr>
        <w:spacing w:after="0" w:line="211"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directors and officers and any other persons identified on the Covered Persons List of this Policy as being subject</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to pre-clearance requirements must obtain pre-clearance prior to trading the Company’s securities. If you are subject to pre-clearance requirements, you should submit a pre-clearance request to the Compliance Officer at least two business days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87"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If the Compliance Officer is the requester, then the Company’s President and Chief Executive Officer, or their delegate, must pre-clear or deny any trade. All trades must be executed within two business days of any pre-clearance.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the Compliance Officer may update and revise the Covered Persons List as appropriate.</w:t>
      </w:r>
    </w:p>
    <w:p>
      <w:pPr>
        <w:spacing w:after="0" w:line="155"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Other than the limited exceptions set forth below, any other exceptions to this Policy must be approved by the Compliance Officer, in consultation with the Company’s board of directors or an independent committee of the board of directors.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following are certain limited exceptions to the quarterly and special blackout period restrictions and pre-clearance requirements imposed by the Company under this Policy:</w:t>
      </w:r>
    </w:p>
    <w:p>
      <w:pPr>
        <w:spacing w:after="0" w:line="159" w:lineRule="exact"/>
        <w:rPr>
          <w:sz w:val="20"/>
          <w:szCs w:val="20"/>
          <w:color w:val="auto"/>
        </w:rPr>
      </w:pPr>
    </w:p>
    <w:p>
      <w:pPr>
        <w:ind w:left="1020" w:hanging="263"/>
        <w:spacing w:after="0"/>
        <w:tabs>
          <w:tab w:leader="none" w:pos="1020" w:val="left"/>
        </w:tabs>
        <w:numPr>
          <w:ilvl w:val="0"/>
          <w:numId w:val="1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stock option exercises where the purchase price of such stock options is paid in cash and there is no other associated market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w:t>
      </w:r>
    </w:p>
    <w:p>
      <w:pPr>
        <w:spacing w:after="0" w:line="194" w:lineRule="exact"/>
        <w:rPr>
          <w:sz w:val="20"/>
          <w:szCs w:val="20"/>
          <w:color w:val="auto"/>
        </w:rPr>
      </w:pPr>
    </w:p>
    <w:p>
      <w:pPr>
        <w:ind w:left="1140" w:right="20" w:hanging="383"/>
        <w:spacing w:after="0" w:line="269" w:lineRule="auto"/>
        <w:tabs>
          <w:tab w:leader="none" w:pos="1140" w:val="left"/>
        </w:tabs>
        <w:numPr>
          <w:ilvl w:val="0"/>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 Company;</w:t>
      </w:r>
    </w:p>
    <w:p>
      <w:pPr>
        <w:spacing w:after="0" w:line="34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ind w:left="1140" w:hanging="383"/>
        <w:spacing w:after="0" w:line="269" w:lineRule="auto"/>
        <w:tabs>
          <w:tab w:leader="none" w:pos="1140"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purchases pursuant to the employee stock purchase plan; however, this exception does not apply to subsequent sales of the shares;</w:t>
      </w:r>
    </w:p>
    <w:p>
      <w:pPr>
        <w:spacing w:after="0" w:line="159" w:lineRule="exact"/>
        <w:rPr>
          <w:rFonts w:ascii="Times New Roman" w:cs="Times New Roman" w:eastAsia="Times New Roman" w:hAnsi="Times New Roman"/>
          <w:sz w:val="20"/>
          <w:szCs w:val="20"/>
          <w:u w:val="single" w:color="auto"/>
          <w:color w:val="auto"/>
        </w:rPr>
      </w:pPr>
    </w:p>
    <w:p>
      <w:pPr>
        <w:jc w:val="both"/>
        <w:ind w:left="1140" w:hanging="383"/>
        <w:spacing w:after="0" w:line="246" w:lineRule="auto"/>
        <w:tabs>
          <w:tab w:leader="none" w:pos="1140"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as required by either the Company’s board of directors (or a committee thereof) or award agreement governing such equity award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as you elect, if permitted by the Company, so long as the election is irrevocable and made in writing at a time when a trading blackout is not in place and you are not in possession of material nonpublic information;</w:t>
      </w:r>
    </w:p>
    <w:p>
      <w:pPr>
        <w:spacing w:after="0" w:line="184" w:lineRule="exact"/>
        <w:rPr>
          <w:rFonts w:ascii="Times New Roman" w:cs="Times New Roman" w:eastAsia="Times New Roman" w:hAnsi="Times New Roman"/>
          <w:sz w:val="20"/>
          <w:szCs w:val="20"/>
          <w:u w:val="single" w:color="auto"/>
          <w:color w:val="auto"/>
        </w:rPr>
      </w:pPr>
    </w:p>
    <w:p>
      <w:pPr>
        <w:jc w:val="both"/>
        <w:ind w:left="1140" w:hanging="383"/>
        <w:spacing w:after="0" w:line="263" w:lineRule="auto"/>
        <w:tabs>
          <w:tab w:leader="none" w:pos="1140" w:val="left"/>
        </w:tabs>
        <w:numPr>
          <w:ilvl w:val="0"/>
          <w:numId w:val="10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sell to cover transactions, where shares are sold on your behalf upon vesting of equity awards and sold in order to satisfy tax withholding requirements,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as required by either the Company’s board of directors (or a committee thereof) or the award agreement governing such equity award or (</w:t>
      </w:r>
      <w:r>
        <w:rPr>
          <w:rFonts w:ascii="Times New Roman" w:cs="Times New Roman" w:eastAsia="Times New Roman" w:hAnsi="Times New Roman"/>
          <w:sz w:val="19"/>
          <w:szCs w:val="19"/>
          <w:i w:val="1"/>
          <w:iCs w:val="1"/>
          <w:color w:val="auto"/>
        </w:rPr>
        <w:t>y</w:t>
      </w:r>
      <w:r>
        <w:rPr>
          <w:rFonts w:ascii="Times New Roman" w:cs="Times New Roman" w:eastAsia="Times New Roman" w:hAnsi="Times New Roman"/>
          <w:sz w:val="19"/>
          <w:szCs w:val="19"/>
          <w:color w:val="auto"/>
        </w:rPr>
        <w:t>)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r>
        <w:rPr>
          <w:rFonts w:ascii="Times New Roman" w:cs="Times New Roman" w:eastAsia="Times New Roman" w:hAnsi="Times New Roman"/>
          <w:sz w:val="19"/>
          <w:szCs w:val="19"/>
          <w:u w:val="single" w:color="auto"/>
          <w:color w:val="auto"/>
        </w:rPr>
        <w:t>;</w:t>
      </w:r>
    </w:p>
    <w:p>
      <w:pPr>
        <w:spacing w:after="0" w:line="134" w:lineRule="exact"/>
        <w:rPr>
          <w:rFonts w:ascii="Times New Roman" w:cs="Times New Roman" w:eastAsia="Times New Roman" w:hAnsi="Times New Roman"/>
          <w:sz w:val="19"/>
          <w:szCs w:val="19"/>
          <w:u w:val="single" w:color="auto"/>
          <w:color w:val="auto"/>
        </w:rPr>
      </w:pPr>
    </w:p>
    <w:p>
      <w:pPr>
        <w:ind w:left="1140" w:hanging="383"/>
        <w:spacing w:after="0" w:line="267" w:lineRule="exact"/>
        <w:tabs>
          <w:tab w:leader="none" w:pos="1140"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transactions made pursuant to a valid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 below);</w:t>
      </w:r>
    </w:p>
    <w:p>
      <w:pPr>
        <w:spacing w:after="0" w:line="187" w:lineRule="exact"/>
        <w:rPr>
          <w:rFonts w:ascii="Times New Roman" w:cs="Times New Roman" w:eastAsia="Times New Roman" w:hAnsi="Times New Roman"/>
          <w:sz w:val="20"/>
          <w:szCs w:val="20"/>
          <w:u w:val="single" w:color="auto"/>
          <w:color w:val="auto"/>
        </w:rPr>
      </w:pPr>
    </w:p>
    <w:p>
      <w:pPr>
        <w:jc w:val="both"/>
        <w:ind w:left="1140" w:hanging="383"/>
        <w:spacing w:after="0" w:line="243" w:lineRule="auto"/>
        <w:tabs>
          <w:tab w:leader="none" w:pos="1140"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purchases of the Company’s stock in the 401(k) plan resulting from periodic contributions to the plan based on your payroll contribution election;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89" w:lineRule="exact"/>
        <w:rPr>
          <w:rFonts w:ascii="Times New Roman" w:cs="Times New Roman" w:eastAsia="Times New Roman" w:hAnsi="Times New Roman"/>
          <w:sz w:val="20"/>
          <w:szCs w:val="20"/>
          <w:u w:val="single" w:color="auto"/>
          <w:color w:val="auto"/>
        </w:rPr>
      </w:pPr>
    </w:p>
    <w:p>
      <w:pPr>
        <w:jc w:val="both"/>
        <w:ind w:left="1140" w:hanging="383"/>
        <w:spacing w:after="0" w:line="254" w:lineRule="auto"/>
        <w:tabs>
          <w:tab w:leader="none" w:pos="1140"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spacing w:after="0" w:line="174" w:lineRule="exact"/>
        <w:rPr>
          <w:rFonts w:ascii="Times New Roman" w:cs="Times New Roman" w:eastAsia="Times New Roman" w:hAnsi="Times New Roman"/>
          <w:sz w:val="20"/>
          <w:szCs w:val="20"/>
          <w:u w:val="single" w:color="auto"/>
          <w:color w:val="auto"/>
        </w:rPr>
      </w:pPr>
    </w:p>
    <w:p>
      <w:pPr>
        <w:ind w:left="1140" w:hanging="383"/>
        <w:spacing w:after="0" w:line="269" w:lineRule="auto"/>
        <w:tabs>
          <w:tab w:leader="none" w:pos="1140"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changes in the number of the Company’s securities you hold due to a stock split or a stock dividend that applies equally to all securities of a class, or similar transactions.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70" w:lineRule="exact"/>
        <w:rPr>
          <w:sz w:val="20"/>
          <w:szCs w:val="20"/>
          <w:color w:val="auto"/>
        </w:rPr>
      </w:pPr>
    </w:p>
    <w:p>
      <w:pPr>
        <w:ind w:left="760" w:hanging="752"/>
        <w:spacing w:after="0"/>
        <w:tabs>
          <w:tab w:leader="none" w:pos="7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10B5-1 TRADING PLANS</w:t>
      </w:r>
    </w:p>
    <w:p>
      <w:pPr>
        <w:spacing w:after="0" w:line="188"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0"/>
          <w:szCs w:val="20"/>
          <w:color w:val="auto"/>
        </w:rPr>
        <w:t>The Company permits its directors, officers and employees to adopt written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w:t>
      </w:r>
    </w:p>
    <w:p>
      <w:pPr>
        <w:spacing w:after="0" w:line="37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line="248" w:lineRule="exact"/>
        <w:rPr>
          <w:sz w:val="20"/>
          <w:szCs w:val="20"/>
          <w:color w:val="auto"/>
        </w:rPr>
      </w:pPr>
      <w:r>
        <w:rPr>
          <w:rFonts w:ascii="Times New Roman" w:cs="Times New Roman" w:eastAsia="Times New Roman" w:hAnsi="Times New Roman"/>
          <w:sz w:val="20"/>
          <w:szCs w:val="20"/>
          <w:color w:val="auto"/>
        </w:rPr>
        <w:t>by the Company and qualify for the exception to this Policy, any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1 trading plan adopted by a director, officer or employee must be submitted to the Compliance Officer for approval and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If the Compliance Officer is the requester, then the Company’s Chief Executive Officer, or their delegate, must approve the written 10b5-1 trading plan.</w:t>
      </w:r>
    </w:p>
    <w:p>
      <w:pPr>
        <w:spacing w:after="0" w:line="186"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the Compliance Officer.</w:t>
      </w:r>
    </w:p>
    <w:p>
      <w:pPr>
        <w:spacing w:after="0" w:line="155" w:lineRule="exact"/>
        <w:rPr>
          <w:sz w:val="20"/>
          <w:szCs w:val="20"/>
          <w:color w:val="auto"/>
        </w:rPr>
      </w:pPr>
    </w:p>
    <w:p>
      <w:pPr>
        <w:ind w:left="760" w:hanging="752"/>
        <w:spacing w:after="0"/>
        <w:tabs>
          <w:tab w:leader="none" w:pos="76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w:t>
      </w: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69" w:name="page170"/>
    <w:bookmarkEnd w:id="169"/>
    <w:p>
      <w:pPr>
        <w:ind w:left="760" w:hanging="752"/>
        <w:spacing w:after="0"/>
        <w:tabs>
          <w:tab w:leader="none" w:pos="76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ACTIVITY NOT PROHIBITED</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70" w:lineRule="exact"/>
        <w:rPr>
          <w:sz w:val="20"/>
          <w:szCs w:val="20"/>
          <w:color w:val="auto"/>
        </w:rPr>
      </w:pPr>
    </w:p>
    <w:p>
      <w:pPr>
        <w:ind w:left="760" w:hanging="752"/>
        <w:spacing w:after="0"/>
        <w:tabs>
          <w:tab w:leader="none" w:pos="76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170" w:lineRule="exact"/>
        <w:rPr>
          <w:sz w:val="20"/>
          <w:szCs w:val="20"/>
          <w:color w:val="auto"/>
        </w:rPr>
      </w:pPr>
    </w:p>
    <w:p>
      <w:pPr>
        <w:ind w:left="760" w:hanging="752"/>
        <w:spacing w:after="0"/>
        <w:tabs>
          <w:tab w:leader="none" w:pos="76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36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20" w:lineRule="exact"/>
        <w:rPr>
          <w:sz w:val="20"/>
          <w:szCs w:val="20"/>
          <w:color w:val="auto"/>
        </w:rPr>
      </w:pPr>
    </w:p>
    <w:p>
      <w:pPr>
        <w:jc w:val="both"/>
        <w:ind w:firstLine="749"/>
        <w:spacing w:after="0" w:line="238" w:lineRule="exact"/>
        <w:rPr>
          <w:sz w:val="20"/>
          <w:szCs w:val="20"/>
          <w:color w:val="auto"/>
        </w:rPr>
      </w:pPr>
      <w:r>
        <w:rPr>
          <w:rFonts w:ascii="Times New Roman" w:cs="Times New Roman" w:eastAsia="Times New Roman" w:hAnsi="Times New Roman"/>
          <w:sz w:val="20"/>
          <w:szCs w:val="20"/>
          <w:color w:val="auto"/>
        </w:rPr>
        <w:t>For transactions under a trading plan to be exempt from (A) the prohibitions in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Athira Pharma,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must meet the following requirements (collectively, the “</w:t>
      </w:r>
      <w:r>
        <w:rPr>
          <w:rFonts w:ascii="Times New Roman" w:cs="Times New Roman" w:eastAsia="Times New Roman" w:hAnsi="Times New Roman"/>
          <w:sz w:val="20"/>
          <w:szCs w:val="20"/>
          <w:b w:val="1"/>
          <w:bCs w:val="1"/>
          <w:color w:val="auto"/>
        </w:rPr>
        <w:t>Trading Plan Requirements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020" w:hanging="263"/>
        <w:spacing w:after="0"/>
        <w:tabs>
          <w:tab w:leader="none" w:pos="10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183" w:lineRule="exact"/>
        <w:rPr>
          <w:rFonts w:ascii="Times New Roman" w:cs="Times New Roman" w:eastAsia="Times New Roman" w:hAnsi="Times New Roman"/>
          <w:sz w:val="20"/>
          <w:szCs w:val="20"/>
          <w:color w:val="auto"/>
        </w:rPr>
      </w:pPr>
    </w:p>
    <w:p>
      <w:pPr>
        <w:ind w:right="20" w:firstLine="757"/>
        <w:spacing w:after="0" w:line="267" w:lineRule="exact"/>
        <w:tabs>
          <w:tab w:leader="none" w:pos="101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the person adopting the trading plan must act in good faith with respect to the trading plan.</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740" w:hanging="235"/>
        <w:spacing w:after="0"/>
        <w:tabs>
          <w:tab w:leader="none" w:pos="1740"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5" w:lineRule="exact"/>
        <w:rPr>
          <w:rFonts w:ascii="Times New Roman" w:cs="Times New Roman" w:eastAsia="Times New Roman" w:hAnsi="Times New Roman"/>
          <w:sz w:val="20"/>
          <w:szCs w:val="20"/>
          <w:color w:val="auto"/>
        </w:rPr>
      </w:pPr>
    </w:p>
    <w:p>
      <w:pPr>
        <w:ind w:left="1760" w:hanging="255"/>
        <w:spacing w:after="0"/>
        <w:tabs>
          <w:tab w:leader="none" w:pos="1760"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adopting the trading plan in good faith and not as part of a plan or scheme to evade prohibitions of Rule 10b5-1.</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the date of adoption of the trading plan).</w:t>
      </w:r>
    </w:p>
    <w:p>
      <w:pPr>
        <w:spacing w:after="0" w:line="21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transactions may occur during the term of the trading plan (except for the “Exceptions to Trading Restrictions” identified in the Policy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except for those transactions specified in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spacing w:after="0" w:line="3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71" w:name="page172"/>
    <w:bookmarkEnd w:id="171"/>
    <w:p>
      <w:pPr>
        <w:jc w:val="both"/>
        <w:ind w:firstLine="757"/>
        <w:spacing w:after="0" w:line="249" w:lineRule="auto"/>
        <w:tabs>
          <w:tab w:leader="none" w:pos="107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modifications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must be submitted to the Compliance Officer for approval in accordance with Section I of the Policy and is subject to the same conditions as a new trading plan as set forth in Sections 1 through 8 herein.</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or Modification of a trading plan, a person may not have otherwise adopted or made a Modification to a plan more than once.</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termination of the trading plan, including any suspension of trading under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plan.</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exercise any subsequent influence over how, when or whether to effect purchases or sales under the plan;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exceptions to the Trading Plan Requirements must be approved by the Compliance Officer or, in the case of directors and officers who are subject Section 16 of the Securities Exchange Act of 1934, by the Compliance Officer in consultation with the Company’s board of directors or an independent committee of the board of directors.</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Modification) must meet such other requirements as the Compliance Officer may determine.</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S-3 No. 333-282738 of Athira Pharma, Inc.; and</w:t>
      </w:r>
    </w:p>
    <w:p>
      <w:pPr>
        <w:spacing w:after="0" w:line="215" w:lineRule="exact"/>
        <w:rPr>
          <w:rFonts w:ascii="Times New Roman" w:cs="Times New Roman" w:eastAsia="Times New Roman" w:hAnsi="Times New Roman"/>
          <w:sz w:val="20"/>
          <w:szCs w:val="20"/>
          <w:color w:val="auto"/>
        </w:rPr>
      </w:pPr>
    </w:p>
    <w:p>
      <w:pPr>
        <w:jc w:val="both"/>
        <w:ind w:left="1020" w:hanging="503"/>
        <w:spacing w:after="0" w:line="249" w:lineRule="auto"/>
        <w:tabs>
          <w:tab w:leader="none" w:pos="10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Nos. 333-277276 pertaining to the 2020 Equity Incentive Plan, the 2020 Employee Stock Purchase Plan, and the 2024 Inducement Equity Incentive Plan; 333-270792, 333-263907, and 333-254735 pertaining to the 2020 Equity Incentive Plan and the 2020 Employee Stock Purchase Plan; and 333-248910 pertaining to the 2020 Equity Incentive Plan, the 2020 Employee Stock Purchase Plan, and the 2014 Equity Incentive Plan, as amended, of Athira Pharma, Inc.</w:t>
      </w:r>
    </w:p>
    <w:p>
      <w:pPr>
        <w:spacing w:after="0" w:line="19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of our report dated February 27, 2025, with respect to the consolidated financial statements of Athira Pharma, Inc., included in this Annual Report (Form 10-K) of Athira Pharma, Inc. for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Seattle, Washington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3" w:name="page174"/>
    <w:bookmarkEnd w:id="17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EXCHANGE ACT RULE 13a-14(a)/15d-14(a)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Litton, certify that:</w:t>
      </w:r>
    </w:p>
    <w:p>
      <w:pPr>
        <w:spacing w:after="0" w:line="225" w:lineRule="exact"/>
        <w:rPr>
          <w:sz w:val="20"/>
          <w:szCs w:val="20"/>
          <w:color w:val="auto"/>
        </w:rPr>
      </w:pPr>
    </w:p>
    <w:p>
      <w:pPr>
        <w:ind w:left="760" w:hanging="752"/>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0" w:hanging="752"/>
        <w:spacing w:after="0" w:line="276" w:lineRule="auto"/>
        <w:tabs>
          <w:tab w:leader="none" w:pos="7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743"/>
        <w:spacing w:after="0" w:line="266"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380" w:hanging="743"/>
        <w:spacing w:after="0" w:line="266"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20" w:hanging="743"/>
        <w:spacing w:after="0" w:line="282"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Litton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5" w:name="page176"/>
    <w:bookmarkEnd w:id="17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EXCHANGE ACT RULE 13a-14(a)/15d-14(a)</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Renninger, certify that:</w:t>
      </w:r>
    </w:p>
    <w:p>
      <w:pPr>
        <w:spacing w:after="0" w:line="225" w:lineRule="exact"/>
        <w:rPr>
          <w:sz w:val="20"/>
          <w:szCs w:val="20"/>
          <w:color w:val="auto"/>
        </w:rPr>
      </w:pPr>
    </w:p>
    <w:p>
      <w:pPr>
        <w:ind w:left="760" w:hanging="752"/>
        <w:spacing w:after="0"/>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0" w:hanging="752"/>
        <w:spacing w:after="0" w:line="276" w:lineRule="auto"/>
        <w:tabs>
          <w:tab w:leader="none" w:pos="7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743"/>
        <w:spacing w:after="0" w:line="26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380" w:hanging="743"/>
        <w:spacing w:after="0" w:line="26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20" w:hanging="743"/>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Renninger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Senior Vice President, Finance and Accounting</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Athira Pharma, Inc. (the “Company”) for the fiscal year ended December 31, 2024, as filed with the Securities and Exchange Commission on the date hereof (the “Report”), I, Mark Litton, President and Chief Executive Officer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Officer) </w:t>
      </w:r>
      <w:r>
        <w:rPr>
          <w:rFonts w:ascii="Times New Roman" w:cs="Times New Roman" w:eastAsia="Times New Roman" w:hAnsi="Times New Roman"/>
          <w:sz w:val="18"/>
          <w:szCs w:val="18"/>
          <w:color w:val="auto"/>
        </w:rPr>
        <w:t>of the Company, certify, pursuant to 18 U.S.C. Section 1350, as adopted pursuant to Section 906 of the Sarbanes-Oxley Act of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to my knowledge:</w:t>
      </w:r>
    </w:p>
    <w:p>
      <w:pPr>
        <w:spacing w:after="0" w:line="180" w:lineRule="exact"/>
        <w:rPr>
          <w:sz w:val="20"/>
          <w:szCs w:val="20"/>
          <w:color w:val="auto"/>
        </w:rPr>
      </w:pPr>
    </w:p>
    <w:p>
      <w:pPr>
        <w:ind w:left="1140" w:hanging="758"/>
        <w:spacing w:after="0"/>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Litton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114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11"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Athira Pharma, Inc. (the “Company”) for the fiscal year ended December 31, 2024, as filed with the Securities and Exchange Commission on the date hereof (the “Report”), I, Robert Renninger, Senior Vice President, Finance and Accounting (</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 xml:space="preserve"> of the Company, certify, pursuant to 18 U.S.C. Section 1350, as adopted pursuant to Section 906 of the Sarbanes-Oxley Act of 2002, that to my knowledge:</w:t>
      </w:r>
    </w:p>
    <w:p>
      <w:pPr>
        <w:spacing w:after="0" w:line="180" w:lineRule="exact"/>
        <w:rPr>
          <w:sz w:val="20"/>
          <w:szCs w:val="20"/>
          <w:color w:val="auto"/>
        </w:rPr>
      </w:pPr>
    </w:p>
    <w:p>
      <w:pPr>
        <w:ind w:left="1140" w:hanging="758"/>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Renninger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Finance and Accounting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11"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9" w:name="page180"/>
    <w:bookmarkEnd w:id="179"/>
    <w:p>
      <w:pPr>
        <w:ind w:left="10280"/>
        <w:spacing w:after="0"/>
        <w:rPr>
          <w:sz w:val="20"/>
          <w:szCs w:val="20"/>
          <w:color w:val="auto"/>
        </w:rPr>
      </w:pPr>
      <w:r>
        <w:rPr>
          <w:rFonts w:ascii="Times New Roman" w:cs="Times New Roman" w:eastAsia="Times New Roman" w:hAnsi="Times New Roman"/>
          <w:sz w:val="21"/>
          <w:szCs w:val="21"/>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RECOVERY (“CLAWBACK”) POLICY</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(As amended and restated on September 12, 2024)</w:t>
      </w:r>
    </w:p>
    <w:p>
      <w:pPr>
        <w:spacing w:after="0" w:line="21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Athira Pharma,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is committed to strong corporate governance. As part of this commitment, the Company’s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has adopted this Amended and Restated Compensation Recovery (“</w:t>
      </w:r>
      <w:r>
        <w:rPr>
          <w:rFonts w:ascii="Times New Roman" w:cs="Times New Roman" w:eastAsia="Times New Roman" w:hAnsi="Times New Roman"/>
          <w:sz w:val="19"/>
          <w:szCs w:val="19"/>
          <w:b w:val="1"/>
          <w:bCs w:val="1"/>
          <w:color w:val="auto"/>
        </w:rPr>
        <w:t>Clawback</w:t>
      </w:r>
      <w:r>
        <w:rPr>
          <w:rFonts w:ascii="Times New Roman" w:cs="Times New Roman" w:eastAsia="Times New Roman" w:hAnsi="Times New Roman"/>
          <w:sz w:val="19"/>
          <w:szCs w:val="19"/>
          <w:color w:val="auto"/>
        </w:rPr>
        <w:t>”)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The Policy is intended to further the Company’s pay-for-performance philosophy and to comply with applicable laws by providing rules relating to the reasonably prompt recovery of certain compensation received by Covered Executives in the event of an Accounting Restatement or Retraction of Scientific Results.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spacing w:after="0" w:line="17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Policy is intended to comply with, and will be interpreted in a manner consistent with, Section 10D of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with Exchange Act Rule 10D-1 and with the listing standards of the national securities exchange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on which the securities of the Company are listed, including any official interpretive guidance.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the Policy</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62626"/>
        </w:rPr>
        <w:t>The Policy is binding and enforceable against all Covered Executives. A “</w:t>
      </w:r>
      <w:r>
        <w:rPr>
          <w:rFonts w:ascii="Times New Roman" w:cs="Times New Roman" w:eastAsia="Times New Roman" w:hAnsi="Times New Roman"/>
          <w:sz w:val="20"/>
          <w:szCs w:val="20"/>
          <w:b w:val="1"/>
          <w:bCs w:val="1"/>
          <w:color w:val="262626"/>
        </w:rPr>
        <w:t>Covered Executive</w:t>
      </w:r>
      <w:r>
        <w:rPr>
          <w:rFonts w:ascii="Times New Roman" w:cs="Times New Roman" w:eastAsia="Times New Roman" w:hAnsi="Times New Roman"/>
          <w:sz w:val="20"/>
          <w:szCs w:val="20"/>
          <w:color w:val="262626"/>
        </w:rPr>
        <w:t>” is each individual who is or was ever designated as an “officer” by the Board in accordance with Exchange Act Rule 16a-1(f) (a “</w:t>
      </w:r>
      <w:r>
        <w:rPr>
          <w:rFonts w:ascii="Times New Roman" w:cs="Times New Roman" w:eastAsia="Times New Roman" w:hAnsi="Times New Roman"/>
          <w:sz w:val="20"/>
          <w:szCs w:val="20"/>
          <w:b w:val="1"/>
          <w:bCs w:val="1"/>
          <w:color w:val="262626"/>
        </w:rPr>
        <w:t>Section 16 Officer</w:t>
      </w:r>
      <w:r>
        <w:rPr>
          <w:rFonts w:ascii="Times New Roman" w:cs="Times New Roman" w:eastAsia="Times New Roman" w:hAnsi="Times New Roman"/>
          <w:sz w:val="20"/>
          <w:szCs w:val="20"/>
          <w:color w:val="262626"/>
        </w:rPr>
        <w:t>”). The Compensation Committee may (but is not obligated to) request or require a Covered Executive to sign and return to the Company an acknowledgement that such Covered Executive will be bound by and comply with the terms of the Policy. The Policy is binding on each Covered Executive whether or not the Covered Executive signs and/or returns any acknowledgment.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 of the Policy</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of the Board has full delegated authority to administer the Policy. The Compensation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Compensation Committee will be deemed to refer to the independent members of the Board or the other Board committee, as applicable. All determinations of the Compensation Committee will be final and binding and will be given the maximum deference permitted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Events Requiring Application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80" w:name="page181"/>
    <w:bookmarkEnd w:id="180"/>
    <w:p>
      <w:pPr>
        <w:spacing w:after="0" w:line="200" w:lineRule="exact"/>
        <w:rPr>
          <w:sz w:val="20"/>
          <w:szCs w:val="20"/>
          <w:color w:val="auto"/>
        </w:rPr>
      </w:pPr>
    </w:p>
    <w:p>
      <w:pPr>
        <w:spacing w:after="0" w:line="24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If the Company is required to (A)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or (B) to retract a scientific publication or correct a material scientific finding in a scientific publication (as determined by the Board or Compliance Committee of the Board), where such retraction or correction is due to fraudulent or intentional misconduct, gross negligence, or a material violation of a Company policy or the policy of a scientific publication related to scientific integrity (a “</w:t>
      </w:r>
      <w:r>
        <w:rPr>
          <w:rFonts w:ascii="Times New Roman" w:cs="Times New Roman" w:eastAsia="Times New Roman" w:hAnsi="Times New Roman"/>
          <w:sz w:val="20"/>
          <w:szCs w:val="20"/>
          <w:b w:val="1"/>
          <w:bCs w:val="1"/>
          <w:color w:val="auto"/>
        </w:rPr>
        <w:t>Retraction of Scientific Results</w:t>
      </w:r>
      <w:r>
        <w:rPr>
          <w:rFonts w:ascii="Times New Roman" w:cs="Times New Roman" w:eastAsia="Times New Roman" w:hAnsi="Times New Roman"/>
          <w:sz w:val="20"/>
          <w:szCs w:val="20"/>
          <w:color w:val="auto"/>
        </w:rPr>
        <w:t>”), then the Compensation Committee must determine the Excess Compensation, if any, that must be recovered. The Company’s obligation to recover Excess Compensation is not dependent on if or when restated financial statements are filed or the scientific finding is retracted.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Covered by the Policy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The Policy applies to certain </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xml:space="preserve"> (certain terms used in this Section are defined below) that is </w:t>
      </w:r>
      <w:r>
        <w:rPr>
          <w:rFonts w:ascii="Times New Roman" w:cs="Times New Roman" w:eastAsia="Times New Roman" w:hAnsi="Times New Roman"/>
          <w:sz w:val="20"/>
          <w:szCs w:val="20"/>
          <w:b w:val="1"/>
          <w:bCs w:val="1"/>
          <w:color w:val="auto"/>
        </w:rPr>
        <w:t xml:space="preserve">Received </w:t>
      </w:r>
      <w:r>
        <w:rPr>
          <w:rFonts w:ascii="Times New Roman" w:cs="Times New Roman" w:eastAsia="Times New Roman" w:hAnsi="Times New Roman"/>
          <w:sz w:val="20"/>
          <w:szCs w:val="20"/>
          <w:color w:val="auto"/>
        </w:rPr>
        <w:t>on or after October 2,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during the Covered Period while the Company has a class of securities listed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national securities exchange. Such Incentive-Based Compensation is considered “</w:t>
      </w:r>
      <w:r>
        <w:rPr>
          <w:rFonts w:ascii="Times New Roman" w:cs="Times New Roman" w:eastAsia="Times New Roman" w:hAnsi="Times New Roman"/>
          <w:sz w:val="20"/>
          <w:szCs w:val="20"/>
          <w:b w:val="1"/>
          <w:bCs w:val="1"/>
          <w:color w:val="auto"/>
        </w:rPr>
        <w:t>Clawback Eligible Incentive-Based Compensation</w:t>
      </w:r>
      <w:r>
        <w:rPr>
          <w:rFonts w:ascii="Times New Roman" w:cs="Times New Roman" w:eastAsia="Times New Roman" w:hAnsi="Times New Roman"/>
          <w:sz w:val="20"/>
          <w:szCs w:val="20"/>
          <w:color w:val="auto"/>
        </w:rPr>
        <w:t>” if the Incentive-Based Compensation is Received by a person after such person became a Section 16 Officer and the person served as a Section 16 Officer at any time during the performance period for the Incentive-Based Compensation. “</w:t>
      </w:r>
      <w:r>
        <w:rPr>
          <w:rFonts w:ascii="Times New Roman" w:cs="Times New Roman" w:eastAsia="Times New Roman" w:hAnsi="Times New Roman"/>
          <w:sz w:val="20"/>
          <w:szCs w:val="20"/>
          <w:b w:val="1"/>
          <w:bCs w:val="1"/>
          <w:color w:val="auto"/>
        </w:rPr>
        <w:t>Excess Compensation</w:t>
      </w:r>
      <w:r>
        <w:rPr>
          <w:rFonts w:ascii="Times New Roman" w:cs="Times New Roman" w:eastAsia="Times New Roman" w:hAnsi="Times New Roman"/>
          <w:sz w:val="20"/>
          <w:szCs w:val="20"/>
          <w:color w:val="auto"/>
        </w:rPr>
        <w:t>” 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as if the retracted scientific publication that was subject of the Retraction of Scientific Results had not been published, or based on the corrected material scientific finding, as applicable. Excess Compensation must be computed without regard to any taxes paid and is referred to in the listings standard of the Exchange as “erroneously awarded compensation”.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Determining Excess Compensation for Certain Incentive-Based Compensation</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To determine the amount of Excess Compensation for Incentive-Based Compensation based on stock price or total shareholder return, where it is not subject to mathematical recalculation directly from the information in an Accounting Restatement or Retraction of Scientific Results:</w:t>
      </w:r>
    </w:p>
    <w:p>
      <w:pPr>
        <w:spacing w:after="0" w:line="174" w:lineRule="exact"/>
        <w:rPr>
          <w:sz w:val="20"/>
          <w:szCs w:val="20"/>
          <w:color w:val="auto"/>
        </w:rPr>
      </w:pPr>
    </w:p>
    <w:p>
      <w:pPr>
        <w:ind w:left="1500" w:hanging="743"/>
        <w:spacing w:after="0" w:line="295" w:lineRule="auto"/>
        <w:tabs>
          <w:tab w:leader="none" w:pos="15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must be based on a reasonable estimate of the effect of the Accounting Restatement or Retraction of Scientific Results on the stock price or total shareholder return upon which the Incentive-Based Compensation was Received; and</w:t>
      </w:r>
    </w:p>
    <w:p>
      <w:pPr>
        <w:spacing w:after="0" w:line="137" w:lineRule="exact"/>
        <w:rPr>
          <w:rFonts w:ascii="Times New Roman" w:cs="Times New Roman" w:eastAsia="Times New Roman" w:hAnsi="Times New Roman"/>
          <w:sz w:val="19"/>
          <w:szCs w:val="19"/>
          <w:color w:val="auto"/>
        </w:rPr>
      </w:pPr>
    </w:p>
    <w:p>
      <w:pPr>
        <w:ind w:left="1500" w:hanging="743"/>
        <w:spacing w:after="0" w:line="269" w:lineRule="auto"/>
        <w:tabs>
          <w:tab w:leader="none" w:pos="15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maintain documentation of the determination of that reasonable estimate and provide that documentation to the Exchange.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Repayment of Excess Compensation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Compensation Committee determines to be appropriate (these determinations do not need to be identical as to each Covered Executive). These means include (but are not limited 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246" w:lineRule="exact"/>
        <w:rPr>
          <w:sz w:val="20"/>
          <w:szCs w:val="20"/>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reimbursement of cash Incentive-Based Compensation previously paid;</w:t>
      </w:r>
    </w:p>
    <w:p>
      <w:pPr>
        <w:spacing w:after="0" w:line="215"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spacing w:after="0" w:line="174" w:lineRule="exact"/>
        <w:rPr>
          <w:rFonts w:ascii="Times New Roman" w:cs="Times New Roman" w:eastAsia="Times New Roman" w:hAnsi="Times New Roman"/>
          <w:sz w:val="20"/>
          <w:szCs w:val="20"/>
          <w:color w:val="auto"/>
        </w:rPr>
      </w:pPr>
    </w:p>
    <w:p>
      <w:pPr>
        <w:jc w:val="both"/>
        <w:ind w:left="1500" w:hanging="369"/>
        <w:spacing w:after="0" w:line="249" w:lineRule="auto"/>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w:t>
      </w:r>
    </w:p>
    <w:p>
      <w:pPr>
        <w:spacing w:after="0" w:line="17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outstanding vested or unvested equity awards (including, but not limited to, time-based vesting awards), without regard to whether such awards are Incentive-Based Compensation; and/or</w:t>
      </w:r>
    </w:p>
    <w:p>
      <w:pPr>
        <w:spacing w:after="0" w:line="159"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Compensation Committee.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repayment of Excess Compensation must be made by a Covered Executive notwithstanding any Covered Executive’s belief (whether or not legitimate) that the Excess Compensation had been previously earned under applicable law and therefore not subject to clawback.</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addition to its rights to recovery under the Policy, the Company or any affiliate of the Company may take any legal actions it determines appropriate to enforce a Covered Executive’s obligations to the Company or to discipline a Covered Executive. Failure of a</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Compensation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the Policy. For example, if a Covered Executive was involved in activities that led to an Accounting Restatement or Retraction of Scientific Results, the Company’s decision as to whether or not to terminate such Covered Executive’s employment would be made under its employment arrangements with such Covered Executive and the requirement to apply this no-fault and non-discretionary Policy will not be determinative of whether any such termination is for cause, although failure to comply with the Policy might be something that could result in a termination for cause depending on the terms of such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Limited Exceptions to the Policy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must recover the Excess Compensation in accordance with the Policy except to the limited extent that any of the conditions set forth below is met, and the Compensation Committee determines that recovery of the Excess Compensation would be impracticable:</w:t>
      </w:r>
    </w:p>
    <w:p>
      <w:pPr>
        <w:spacing w:after="0" w:line="174" w:lineRule="exact"/>
        <w:rPr>
          <w:sz w:val="20"/>
          <w:szCs w:val="20"/>
          <w:color w:val="auto"/>
        </w:rPr>
      </w:pPr>
    </w:p>
    <w:p>
      <w:pPr>
        <w:ind w:right="20" w:firstLine="757"/>
        <w:spacing w:after="0" w:line="269" w:lineRule="auto"/>
        <w:tabs>
          <w:tab w:leader="none" w:pos="114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Before reaching this conclusion, the Company must make a reasonable attempt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recover such Excess Compensation, document such reasonable attempt(s) to recover, and provide that documentation to the Exchange; or</w:t>
      </w:r>
    </w:p>
    <w:p>
      <w:pPr>
        <w:spacing w:after="0" w:line="216" w:lineRule="exact"/>
        <w:rPr>
          <w:sz w:val="20"/>
          <w:szCs w:val="20"/>
          <w:color w:val="auto"/>
        </w:rPr>
      </w:pPr>
    </w:p>
    <w:p>
      <w:pPr>
        <w:jc w:val="both"/>
        <w:ind w:firstLine="757"/>
        <w:spacing w:after="0" w:line="254" w:lineRule="auto"/>
        <w:tabs>
          <w:tab w:leader="none" w:pos="114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a law in the country in which the Company is incorporated where that law was adopted prior to November 28, 2022. Before reaching this conclusion, the Company must obtain an opinion of local counsel, acceptable to the Exchange, that recovery would result in such a violation, and must provide such opinion to the Exchange; or</w:t>
      </w:r>
    </w:p>
    <w:p>
      <w:pPr>
        <w:spacing w:after="0" w:line="17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legal requirements as such.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Terms in the Policy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capitalized terms in the Policy have the following meaning, unless clearly required otherwise by the context.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Determination Date</w:t>
      </w:r>
      <w:r>
        <w:rPr>
          <w:rFonts w:ascii="Times New Roman" w:cs="Times New Roman" w:eastAsia="Times New Roman" w:hAnsi="Times New Roman"/>
          <w:sz w:val="20"/>
          <w:szCs w:val="20"/>
          <w:color w:val="auto"/>
        </w:rPr>
        <w:t>” means the earliest to occur of:</w:t>
      </w:r>
    </w:p>
    <w:p>
      <w:pPr>
        <w:spacing w:after="0" w:line="247" w:lineRule="exact"/>
        <w:rPr>
          <w:sz w:val="20"/>
          <w:szCs w:val="20"/>
          <w:color w:val="auto"/>
        </w:rPr>
      </w:pPr>
    </w:p>
    <w:p>
      <w:pPr>
        <w:jc w:val="both"/>
        <w:ind w:left="1500" w:hanging="743"/>
        <w:spacing w:after="0" w:line="254" w:lineRule="auto"/>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Board, a committee of the Board, or one or more of the officers of the Company authorized to take such action if Board action is not required, concludes, or reasonably should have concluded, that the Company is required to prepare an Accounting Restatement or Retraction of Scientific Results; and</w:t>
      </w:r>
    </w:p>
    <w:p>
      <w:pPr>
        <w:spacing w:after="0" w:line="20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an Accounting Restatement.</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Period</w:t>
      </w:r>
      <w:r>
        <w:rPr>
          <w:rFonts w:ascii="Times New Roman" w:cs="Times New Roman" w:eastAsia="Times New Roman" w:hAnsi="Times New Roman"/>
          <w:sz w:val="20"/>
          <w:szCs w:val="20"/>
          <w:color w:val="auto"/>
        </w:rPr>
        <w:t>” means the three completed fiscal years immediately preceding the Determination Date. In addition, Covered Period can include certain transition periods resulting from a change in the Company’s fiscal year.</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or a Published Scientific Performance Goal. For the avoidance of doubt, no compensation that is potentially subject to recovery under the Policy will be earned until the Company’s right to recover under the Policy has lapsed.</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following items of compensation are not Incentive-Based Compensation under the Policy: salaries, bonuses paid solely at the discretion of the Compensation Committee or the Board that are not paid from a bonus pool that is determined by satisfying a Financial Reporting Measure or a Published Scientific Performance Goal,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or Published Scientific Performance Goal and vesting is contingent solely upon completion of a specified employment period (e.g., time-based vesting equity awards) and/or attaining one or more non-Financial Reporting Measures or Published Scientific Performance Goals.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means this Amended and Restated Compensation Recovery (“Clawback”) Policy, as it may be amended from time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Incentive-Based Compensation is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under the Policy in the Company’s fiscal period during which the Financial Reporting Measure specified in the Incentive-Based Compensation award is attained or scientific finding was published, as the case may be, even if the payment, vesting, settlement or grant of the Incentive-Based Compensation occurs after the end of that period. For the avoidance of doubt, the Policy does not apply to Incentive-Based Compensation for which the Financial Reporting Measure or Published Scientific Performance Goal, as applicable, is attained prior to the Effective Date.</w:t>
      </w:r>
    </w:p>
    <w:p>
      <w:pPr>
        <w:spacing w:after="0" w:line="17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Published Scientific Performance Goal</w:t>
      </w:r>
      <w:r>
        <w:rPr>
          <w:rFonts w:ascii="Times New Roman" w:cs="Times New Roman" w:eastAsia="Times New Roman" w:hAnsi="Times New Roman"/>
          <w:sz w:val="20"/>
          <w:szCs w:val="20"/>
          <w:color w:val="auto"/>
        </w:rPr>
        <w:t>” means a published scientific performance goal material (as determined by the Board or Compliance Committee of the Board) to the Company.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Retraction of Scientific Results Determination Date</w:t>
      </w:r>
      <w:r>
        <w:rPr>
          <w:rFonts w:ascii="Times New Roman" w:cs="Times New Roman" w:eastAsia="Times New Roman" w:hAnsi="Times New Roman"/>
          <w:sz w:val="20"/>
          <w:szCs w:val="20"/>
          <w:color w:val="auto"/>
        </w:rPr>
        <w:t>” means the date the Board, or the Compliance Committee of the Board, or one or more of the officers of the Company authorized to take such action if Board action is not required, concludes that a material Retraction of Scientific Results occurred.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Important Information in the Policy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expense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Compensation Committee or Board may review and modify the Policy from time to time.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Policy will terminate and no longer be enforceable when the Company ceases to be listed issuer within the meaning of Section 10D of the Exchange Act.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ACKNOWLEDGEMENT</w:t>
      </w:r>
    </w:p>
    <w:p>
      <w:pPr>
        <w:spacing w:after="0" w:line="220" w:lineRule="exact"/>
        <w:rPr>
          <w:sz w:val="20"/>
          <w:szCs w:val="20"/>
          <w:color w:val="auto"/>
        </w:rPr>
      </w:pPr>
    </w:p>
    <w:p>
      <w:pPr>
        <w:ind w:left="1500" w:hanging="743"/>
        <w:spacing w:after="0" w:line="269"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read the Amended and Restated Compensation Recovery (“Clawback”)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Athira Pharma,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74" w:lineRule="exact"/>
        <w:rPr>
          <w:rFonts w:ascii="Times New Roman" w:cs="Times New Roman" w:eastAsia="Times New Roman" w:hAnsi="Times New Roman"/>
          <w:sz w:val="20"/>
          <w:szCs w:val="20"/>
          <w:color w:val="auto"/>
        </w:rPr>
      </w:pPr>
    </w:p>
    <w:p>
      <w:pPr>
        <w:ind w:left="1500" w:right="20" w:hanging="743"/>
        <w:spacing w:after="0" w:line="295" w:lineRule="auto"/>
        <w:tabs>
          <w:tab w:leader="none" w:pos="150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agree to be bound by and to comply with the Policy and understand that determinations of the Compensation Committee (as such term is used in the Policy) will be final and binding and will be given the maximum deference permitted by law.</w:t>
      </w:r>
    </w:p>
    <w:p>
      <w:pPr>
        <w:spacing w:after="0" w:line="137" w:lineRule="exact"/>
        <w:rPr>
          <w:rFonts w:ascii="Times New Roman" w:cs="Times New Roman" w:eastAsia="Times New Roman" w:hAnsi="Times New Roman"/>
          <w:sz w:val="19"/>
          <w:szCs w:val="19"/>
          <w:color w:val="auto"/>
        </w:rPr>
      </w:pPr>
    </w:p>
    <w:p>
      <w:pPr>
        <w:ind w:left="1500" w:hanging="743"/>
        <w:spacing w:after="0" w:line="269"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failure to comply in all respects with the Policy is a basis for termination of my employment with the Company and any affiliate of the Company as well as any other appropriate discipline.</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neither the Policy, nor the application of the Policy to me, gives rise to a resignation for good reason (or similar concept) by me under any applicable employment agreement or arrangement.</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if I have questions concerning the meaning or application of the Policy, it is my responsibility to seek guidance from the General Counsel and Chief Compliance Officer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Human Resources or my own personal advisers.</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neither this Acknowledgement nor the Policy is meant to constitute an employment contract.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review, sign and return this form to the Compliance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5146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2514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2514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1"/>
      <w:numFmt w:val="upperLetter"/>
      <w:start w:val="54"/>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decimal"/>
      <w:start w:val="2"/>
    </w:lvl>
  </w:abstractNum>
  <w:abstractNum w:abstractNumId="64">
    <w:nsid w:val="CC1016F"/>
    <w:multiLevelType w:val="hybridMultilevel"/>
    <w:lvl w:ilvl="0">
      <w:lvlJc w:val="left"/>
      <w:lvlText w:val="%1."/>
      <w:numFmt w:val="decimal"/>
      <w:start w:val="7"/>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decimal"/>
      <w:start w:val="1"/>
    </w:lvl>
  </w:abstractNum>
  <w:abstractNum w:abstractNumId="69">
    <w:nsid w:val="49DA307D"/>
    <w:multiLevelType w:val="hybridMultilevel"/>
    <w:lvl w:ilvl="0">
      <w:lvlJc w:val="left"/>
      <w:lvlText w:val="(%1)"/>
      <w:numFmt w:val="decimal"/>
      <w:start w:val="2"/>
    </w:lvl>
  </w:abstractNum>
  <w:abstractNum w:abstractNumId="70">
    <w:nsid w:val="7055A5F5"/>
    <w:multiLevelType w:val="hybridMultilevel"/>
    <w:lvl w:ilvl="0">
      <w:lvlJc w:val="left"/>
      <w:lvlText w:val="(%1)"/>
      <w:numFmt w:val="decimal"/>
      <w:start w:val="3"/>
    </w:lvl>
  </w:abstractNum>
  <w:abstractNum w:abstractNumId="71">
    <w:nsid w:val="5FB8370B"/>
    <w:multiLevelType w:val="hybridMultilevel"/>
    <w:lvl w:ilvl="0">
      <w:lvlJc w:val="left"/>
      <w:lvlText w:val="%1"/>
      <w:numFmt w:val="decimal"/>
      <w:start w:val="19"/>
    </w:lvl>
  </w:abstractNum>
  <w:abstractNum w:abstractNumId="72">
    <w:nsid w:val="50801EE1"/>
    <w:multiLevelType w:val="hybridMultilevel"/>
    <w:lvl w:ilvl="0">
      <w:lvlJc w:val="left"/>
      <w:lvlText w:val="%1"/>
      <w:numFmt w:val="decimal"/>
      <w:start w:val="97"/>
    </w:lvl>
  </w:abstractNum>
  <w:abstractNum w:abstractNumId="73">
    <w:nsid w:val="488AC1A"/>
    <w:multiLevelType w:val="hybridMultilevel"/>
    <w:lvl w:ilvl="0">
      <w:lvlJc w:val="left"/>
      <w:lvlText w:val="*"/>
      <w:numFmt w:val="bullet"/>
      <w:start w:val="1"/>
    </w:lvl>
    <w:lvl w:ilvl="1">
      <w:lvlJc w:val="left"/>
      <w:lvlText w:val="%2"/>
      <w:numFmt w:val="decimal"/>
      <w:start w:val="104"/>
    </w:lvl>
  </w:abstractNum>
  <w:abstractNum w:abstractNumId="74">
    <w:nsid w:val="5FB8011C"/>
    <w:multiLevelType w:val="hybridMultilevel"/>
    <w:lvl w:ilvl="0">
      <w:lvlJc w:val="left"/>
      <w:lvlText w:val="**"/>
      <w:numFmt w:val="bullet"/>
      <w:start w:val="1"/>
    </w:lvl>
    <w:lvl w:ilvl="1">
      <w:lvlJc w:val="left"/>
      <w:lvlText w:val="%2"/>
      <w:numFmt w:val="decimal"/>
      <w:start w:val="1"/>
    </w:lvl>
  </w:abstractNum>
  <w:abstractNum w:abstractNumId="75">
    <w:nsid w:val="6AA78F7F"/>
    <w:multiLevelType w:val="hybridMultilevel"/>
    <w:lvl w:ilvl="0">
      <w:lvlJc w:val="left"/>
      <w:lvlText w:val="•"/>
      <w:numFmt w:val="bullet"/>
      <w:start w:val="1"/>
    </w:lvl>
    <w:lvl w:ilvl="1">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decimal"/>
      <w:start w:val="3"/>
    </w:lvl>
  </w:abstractNum>
  <w:abstractNum w:abstractNumId="82">
    <w:nsid w:val="7DE67713"/>
    <w:multiLevelType w:val="hybridMultilevel"/>
    <w:lvl w:ilvl="0">
      <w:lvlJc w:val="left"/>
      <w:lvlText w:val="%1."/>
      <w:numFmt w:val="decimal"/>
      <w:start w:val="4"/>
    </w:lvl>
  </w:abstractNum>
  <w:abstractNum w:abstractNumId="83">
    <w:nsid w:val="555C55B5"/>
    <w:multiLevelType w:val="hybridMultilevel"/>
    <w:lvl w:ilvl="0">
      <w:lvlJc w:val="left"/>
      <w:lvlText w:val="%1."/>
      <w:numFmt w:val="upperLetter"/>
      <w:start w:val="1"/>
    </w:lvl>
  </w:abstractNum>
  <w:abstractNum w:abstractNumId="84">
    <w:nsid w:val="3FA62AC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85">
    <w:nsid w:val="14FCE74E"/>
    <w:multiLevelType w:val="hybridMultilevel"/>
    <w:lvl w:ilvl="0">
      <w:lvlJc w:val="left"/>
      <w:lvlText w:val="(%1)"/>
      <w:numFmt w:val="lowerLetter"/>
      <w:start w:val="25"/>
    </w:lvl>
    <w:lvl w:ilvl="1">
      <w:lvlJc w:val="left"/>
      <w:lvlText w:val="%2."/>
      <w:numFmt w:val="decimal"/>
      <w:start w:val="2"/>
    </w:lvl>
  </w:abstractNum>
  <w:abstractNum w:abstractNumId="86">
    <w:nsid w:val="6A3DD3E8"/>
    <w:multiLevelType w:val="hybridMultilevel"/>
    <w:lvl w:ilvl="0">
      <w:lvlJc w:val="left"/>
      <w:lvlText w:val="%1."/>
      <w:numFmt w:val="decimal"/>
      <w:start w:val="3"/>
    </w:lvl>
  </w:abstractNum>
  <w:abstractNum w:abstractNumId="87">
    <w:nsid w:val="71C91298"/>
    <w:multiLevelType w:val="hybridMultilevel"/>
    <w:lvl w:ilvl="0">
      <w:lvlJc w:val="left"/>
      <w:lvlText w:val="%1."/>
      <w:numFmt w:val="lowerLetter"/>
      <w:start w:val="5"/>
    </w:lvl>
  </w:abstractNum>
  <w:abstractNum w:abstractNumId="88">
    <w:nsid w:val="9DAF632"/>
    <w:multiLevelType w:val="hybridMultilevel"/>
    <w:lvl w:ilvl="0">
      <w:lvlJc w:val="left"/>
      <w:lvlText w:val="%1."/>
      <w:numFmt w:val="lowerLetter"/>
      <w:start w:val="14"/>
    </w:lvl>
  </w:abstractNum>
  <w:abstractNum w:abstractNumId="89">
    <w:nsid w:val="53299938"/>
    <w:multiLevelType w:val="hybridMultilevel"/>
    <w:lvl w:ilvl="0">
      <w:lvlJc w:val="left"/>
      <w:lvlText w:val="%1."/>
      <w:numFmt w:val="upperLetter"/>
      <w:start w:val="3"/>
    </w:lvl>
  </w:abstractNum>
  <w:abstractNum w:abstractNumId="90">
    <w:nsid w:val="1FBFE8E0"/>
    <w:multiLevelType w:val="hybridMultilevel"/>
    <w:lvl w:ilvl="0">
      <w:lvlJc w:val="left"/>
      <w:lvlText w:val="%1."/>
      <w:numFmt w:val="upperLetter"/>
      <w:start w:val="4"/>
    </w:lvl>
  </w:abstractNum>
  <w:abstractNum w:abstractNumId="91">
    <w:nsid w:val="5092CA79"/>
    <w:multiLevelType w:val="hybridMultilevel"/>
    <w:lvl w:ilvl="0">
      <w:lvlJc w:val="left"/>
      <w:lvlText w:val="%1."/>
      <w:numFmt w:val="decimal"/>
      <w:start w:val="4"/>
    </w:lvl>
  </w:abstractNum>
  <w:abstractNum w:abstractNumId="92">
    <w:nsid w:val="1D545C4D"/>
    <w:multiLevelType w:val="hybridMultilevel"/>
    <w:lvl w:ilvl="0">
      <w:lvlJc w:val="left"/>
      <w:lvlText w:val="%1."/>
      <w:numFmt w:val="upperLetter"/>
      <w:start w:val="5"/>
    </w:lvl>
    <w:lvl w:ilvl="1">
      <w:lvlJc w:val="left"/>
      <w:lvlText w:val="%2."/>
      <w:numFmt w:val="decimal"/>
      <w:start w:val="8"/>
    </w:lvl>
  </w:abstractNum>
  <w:abstractNum w:abstractNumId="93">
    <w:nsid w:val="59ADEA3D"/>
    <w:multiLevelType w:val="hybridMultilevel"/>
    <w:lvl w:ilvl="0">
      <w:lvlJc w:val="left"/>
      <w:lvlText w:val="%1"/>
      <w:numFmt w:val="upperLetter"/>
      <w:start w:val="1"/>
    </w:lvl>
    <w:lvl w:ilvl="1">
      <w:lvlJc w:val="left"/>
      <w:lvlText w:val="%2."/>
      <w:numFmt w:val="decimal"/>
      <w:start w:val="9"/>
    </w:lvl>
  </w:abstractNum>
  <w:abstractNum w:abstractNumId="94">
    <w:nsid w:val="288F1A34"/>
    <w:multiLevelType w:val="hybridMultilevel"/>
    <w:lvl w:ilvl="0">
      <w:lvlJc w:val="left"/>
      <w:lvlText w:val="%1."/>
      <w:numFmt w:val="upperLetter"/>
      <w:start w:val="6"/>
    </w:lvl>
    <w:lvl w:ilvl="1">
      <w:lvlJc w:val="left"/>
      <w:lvlText w:val="%2"/>
      <w:numFmt w:val="decimal"/>
      <w:start w:val="1"/>
    </w:lvl>
  </w:abstractNum>
  <w:abstractNum w:abstractNumId="95">
    <w:nsid w:val="2A155DBC"/>
    <w:multiLevelType w:val="hybridMultilevel"/>
    <w:lvl w:ilvl="0">
      <w:lvlJc w:val="left"/>
      <w:lvlText w:val="%1."/>
      <w:numFmt w:val="decimal"/>
      <w:start w:val="11"/>
    </w:lvl>
  </w:abstractNum>
  <w:abstractNum w:abstractNumId="96">
    <w:nsid w:val="1D9F6E5F"/>
    <w:multiLevelType w:val="hybridMultilevel"/>
    <w:lvl w:ilvl="0">
      <w:lvlJc w:val="left"/>
      <w:lvlText w:val="%1"/>
      <w:numFmt w:val="upperLetter"/>
      <w:start w:val="1"/>
    </w:lvl>
    <w:lvl w:ilvl="1">
      <w:lvlJc w:val="left"/>
      <w:lvlText w:val="%2."/>
      <w:numFmt w:val="decimal"/>
      <w:start w:val="13"/>
    </w:lvl>
  </w:abstractNum>
  <w:abstractNum w:abstractNumId="97">
    <w:nsid w:val="97E1B4E"/>
    <w:multiLevelType w:val="hybridMultilevel"/>
    <w:lvl w:ilvl="0">
      <w:lvlJc w:val="left"/>
      <w:lvlText w:val="%1."/>
      <w:numFmt w:val="upperLetter"/>
      <w:start w:val="7"/>
    </w:lvl>
    <w:lvl w:ilvl="1">
      <w:lvlJc w:val="left"/>
      <w:lvlText w:val="%2"/>
      <w:numFmt w:val="decimal"/>
      <w:start w:val="1"/>
    </w:lvl>
  </w:abstractNum>
  <w:abstractNum w:abstractNumId="98">
    <w:nsid w:val="51088277"/>
    <w:multiLevelType w:val="hybridMultilevel"/>
    <w:lvl w:ilvl="0">
      <w:lvlJc w:val="left"/>
      <w:lvlText w:val="%1."/>
      <w:numFmt w:val="upperLetter"/>
      <w:start w:val="8"/>
    </w:lvl>
  </w:abstractNum>
  <w:abstractNum w:abstractNumId="99">
    <w:nsid w:val="1CA0C5FA"/>
    <w:multiLevelType w:val="hybridMultilevel"/>
    <w:lvl w:ilvl="0">
      <w:lvlJc w:val="left"/>
      <w:lvlText w:val="%1."/>
      <w:numFmt w:val="decimal"/>
      <w:start w:val="15"/>
    </w:lvl>
  </w:abstractNum>
  <w:abstractNum w:abstractNumId="100">
    <w:nsid w:val="53584BCB"/>
    <w:multiLevelType w:val="hybridMultilevel"/>
    <w:lvl w:ilvl="0">
      <w:lvlJc w:val="left"/>
      <w:lvlText w:val="%1."/>
      <w:numFmt w:val="decimal"/>
      <w:start w:val="16"/>
    </w:lvl>
  </w:abstractNum>
  <w:abstractNum w:abstractNumId="101">
    <w:nsid w:val="415E286C"/>
    <w:multiLevelType w:val="hybridMultilevel"/>
    <w:lvl w:ilvl="0">
      <w:lvlJc w:val="left"/>
      <w:lvlText w:val="%1."/>
      <w:numFmt w:val="decimal"/>
      <w:start w:val="17"/>
    </w:lvl>
  </w:abstractNum>
  <w:abstractNum w:abstractNumId="102">
    <w:nsid w:val="7C58FD05"/>
    <w:multiLevelType w:val="hybridMultilevel"/>
    <w:lvl w:ilvl="0">
      <w:lvlJc w:val="left"/>
      <w:lvlText w:val="%1."/>
      <w:numFmt w:val="upperLetter"/>
      <w:start w:val="9"/>
    </w:lvl>
  </w:abstractNum>
  <w:abstractNum w:abstractNumId="103">
    <w:nsid w:val="23D86AAC"/>
    <w:multiLevelType w:val="hybridMultilevel"/>
    <w:lvl w:ilvl="0">
      <w:lvlJc w:val="left"/>
      <w:lvlText w:val="%1."/>
      <w:numFmt w:val="upperLetter"/>
      <w:start w:val="10"/>
    </w:lvl>
  </w:abstractNum>
  <w:abstractNum w:abstractNumId="104">
    <w:nsid w:val="45E6D486"/>
    <w:multiLevelType w:val="hybridMultilevel"/>
    <w:lvl w:ilvl="0">
      <w:lvlJc w:val="left"/>
      <w:lvlText w:val="%1."/>
      <w:numFmt w:val="upperLetter"/>
      <w:start w:val="11"/>
    </w:lvl>
  </w:abstractNum>
  <w:abstractNum w:abstractNumId="105">
    <w:nsid w:val="5C10FE21"/>
    <w:multiLevelType w:val="hybridMultilevel"/>
    <w:lvl w:ilvl="0">
      <w:lvlJc w:val="left"/>
      <w:lvlText w:val="%1."/>
      <w:numFmt w:val="upperLetter"/>
      <w:start w:val="12"/>
    </w:lvl>
  </w:abstractNum>
  <w:abstractNum w:abstractNumId="106">
    <w:nsid w:val="E7FFA2B"/>
    <w:multiLevelType w:val="hybridMultilevel"/>
    <w:lvl w:ilvl="0">
      <w:lvlJc w:val="left"/>
      <w:lvlText w:val="%1."/>
      <w:numFmt w:val="upperLetter"/>
      <w:start w:val="13"/>
    </w:lvl>
  </w:abstractNum>
  <w:abstractNum w:abstractNumId="107">
    <w:nsid w:val="3C5991AA"/>
    <w:multiLevelType w:val="hybridMultilevel"/>
    <w:lvl w:ilvl="0">
      <w:lvlJc w:val="left"/>
      <w:lvlText w:val="%1."/>
      <w:numFmt w:val="upperLetter"/>
      <w:start w:val="14"/>
    </w:lvl>
  </w:abstractNum>
  <w:abstractNum w:abstractNumId="108">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9">
    <w:nsid w:val="78DF6A55"/>
    <w:multiLevelType w:val="hybridMultilevel"/>
    <w:lvl w:ilvl="0">
      <w:lvlJc w:val="left"/>
      <w:lvlText w:val="%1."/>
      <w:numFmt w:val="decimal"/>
      <w:start w:val="9"/>
    </w:lvl>
    <w:lvl w:ilvl="1">
      <w:lvlJc w:val="left"/>
      <w:lvlText w:val="%2."/>
      <w:numFmt w:val="lowerLetter"/>
      <w:start w:val="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1"/>
    </w:lvl>
    <w:lvl w:ilvl="1">
      <w:lvlJc w:val="left"/>
      <w:lvlText w:val="%2)"/>
      <w:numFmt w:val="lowerLetter"/>
      <w:start w:val="1"/>
    </w:lvl>
  </w:abstractNum>
  <w:abstractNum w:abstractNumId="112">
    <w:nsid w:val="6C80EC70"/>
    <w:multiLevelType w:val="hybridMultilevel"/>
    <w:lvl w:ilvl="0">
      <w:lvlJc w:val="left"/>
      <w:lvlText w:val="%1."/>
      <w:numFmt w:val="decimal"/>
      <w:start w:val="1"/>
    </w:lvl>
    <w:lvl w:ilvl="1">
      <w:lvlJc w:val="left"/>
      <w:lvlText w:val="%2)"/>
      <w:numFmt w:val="lowerLetter"/>
      <w:start w:val="1"/>
    </w:lvl>
  </w:abstractNum>
  <w:abstractNum w:abstractNumId="113">
    <w:nsid w:val="379E21B5"/>
    <w:multiLevelType w:val="hybridMultilevel"/>
    <w:lvl w:ilvl="0">
      <w:lvlJc w:val="left"/>
      <w:lvlText w:val="(%1)"/>
      <w:numFmt w:val="decimal"/>
      <w:start w:val="1"/>
    </w:lvl>
  </w:abstractNum>
  <w:abstractNum w:abstractNumId="114">
    <w:nsid w:val="69E373"/>
    <w:multiLevelType w:val="hybridMultilevel"/>
    <w:lvl w:ilvl="0">
      <w:lvlJc w:val="left"/>
      <w:lvlText w:val="(%1)"/>
      <w:numFmt w:val="decimal"/>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upperLetter"/>
      <w:start w:val="1"/>
    </w:lvl>
  </w:abstractNum>
  <w:abstractNum w:abstractNumId="118">
    <w:nsid w:val="1DF029D3"/>
    <w:multiLevelType w:val="hybridMultilevel"/>
    <w:lvl w:ilvl="0">
      <w:lvlJc w:val="left"/>
      <w:lvlText w:val="%1."/>
      <w:numFmt w:val="upperLetter"/>
      <w:start w:val="2"/>
    </w:lvl>
  </w:abstractNum>
  <w:abstractNum w:abstractNumId="119">
    <w:nsid w:val="5675FF36"/>
    <w:multiLevelType w:val="hybridMultilevel"/>
    <w:lvl w:ilvl="0">
      <w:lvlJc w:val="left"/>
      <w:lvlText w:val="%1."/>
      <w:numFmt w:val="upperLetter"/>
      <w:start w:val="1"/>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325" Type="http://schemas.openxmlformats.org/officeDocument/2006/relationships/hyperlink" Target="https://www.sec.gov/Archives/edgar/data/1620463/000156459020053574/atha-ex31_153.htm" TargetMode="External"/><Relationship Id="rId326" Type="http://schemas.openxmlformats.org/officeDocument/2006/relationships/hyperlink" Target="https://www.sec.gov/ix?doc=/Archives/edgar/data/1620463/000095017024123372/atha-20240930.htm" TargetMode="External"/><Relationship Id="rId327" Type="http://schemas.openxmlformats.org/officeDocument/2006/relationships/hyperlink" Target="https://www.sec.gov/Archives/edgar/data/1620463/000095017022025442/atha-ex3_1.htm" TargetMode="External"/><Relationship Id="rId328" Type="http://schemas.openxmlformats.org/officeDocument/2006/relationships/hyperlink" Target="https://www.sec.gov/Archives/edgar/data/1620463/000156459020043324/atha-ex41_478.htm" TargetMode="External"/><Relationship Id="rId329" Type="http://schemas.openxmlformats.org/officeDocument/2006/relationships/hyperlink" Target="https://www.sec.gov/Archives/edgar/data/1620463/000156459020041369/atha-ex101_530.htm" TargetMode="External"/><Relationship Id="rId330" Type="http://schemas.openxmlformats.org/officeDocument/2006/relationships/hyperlink" Target="https://www.sec.gov/Archives/edgar/data/1620463/000156459020042848/atha-ex102_90.htm" TargetMode="External"/><Relationship Id="rId331" Type="http://schemas.openxmlformats.org/officeDocument/2006/relationships/hyperlink" Target="https://www.sec.gov/Archives/edgar/data/1620463/000156459020042848/atha-ex105_89.htm" TargetMode="External"/><Relationship Id="rId332" Type="http://schemas.openxmlformats.org/officeDocument/2006/relationships/hyperlink" Target="https://www.sec.gov/Archives/edgar/data/1620463/000156459020042848/atha-ex106_88.htm" TargetMode="External"/><Relationship Id="rId333" Type="http://schemas.openxmlformats.org/officeDocument/2006/relationships/hyperlink" Target="https://www.sec.gov/Archives/edgar/data/1620463/000156459020042848/atha-ex107_87.htm" TargetMode="External"/><Relationship Id="rId334" Type="http://schemas.openxmlformats.org/officeDocument/2006/relationships/hyperlink" Target="https://www.sec.gov/Archives/edgar/data/1620463/000156459020042848/atha-ex108_86.htm" TargetMode="External"/><Relationship Id="rId337" Type="http://schemas.openxmlformats.org/officeDocument/2006/relationships/hyperlink" Target="https://www.sec.gov/Archives/edgar/data/1620463/000095017023009498/atha-ex10_8.htm" TargetMode="External"/><Relationship Id="rId338" Type="http://schemas.openxmlformats.org/officeDocument/2006/relationships/hyperlink" Target="https://www.sec.gov/Archives/edgar/data/1620463/000156459020042848/atha-ex1011_9.htm" TargetMode="External"/><Relationship Id="rId339" Type="http://schemas.openxmlformats.org/officeDocument/2006/relationships/hyperlink" Target="https://www.sec.gov/Archives/edgar/data/1620463/000156459020042848/atha-ex1013_83.htm" TargetMode="External"/><Relationship Id="rId340" Type="http://schemas.openxmlformats.org/officeDocument/2006/relationships/hyperlink" Target="https://www.sec.gov/Archives/edgar/data/1620463/000156459020042848/atha-ex1015_534.htm" TargetMode="External"/><Relationship Id="rId341" Type="http://schemas.openxmlformats.org/officeDocument/2006/relationships/hyperlink" Target="https://www.sec.gov/Archives/edgar/data/1620463/000156459020042848/atha-ex1016_533.htm" TargetMode="External"/><Relationship Id="rId342" Type="http://schemas.openxmlformats.org/officeDocument/2006/relationships/hyperlink" Target="https://www.sec.gov/Archives/edgar/data/1620463/000119312522023358/d290928dex101.htm" TargetMode="External"/><Relationship Id="rId343" Type="http://schemas.openxmlformats.org/officeDocument/2006/relationships/hyperlink" Target="https://www.sec.gov/Archives/edgar/data/1620463/000156459021044641/atha-ex103_70.htm" TargetMode="External"/><Relationship Id="rId344" Type="http://schemas.openxmlformats.org/officeDocument/2006/relationships/hyperlink" Target="https://www.sec.gov/Archives/edgar/data/1620463/000156459021044641/atha-ex104_69.htm" TargetMode="External"/><Relationship Id="rId345" Type="http://schemas.openxmlformats.org/officeDocument/2006/relationships/hyperlink" Target="https://www.sec.gov/Archives/edgar/data/1620463/000156459021044641/atha-ex105_68.htm" TargetMode="External"/><Relationship Id="rId346" Type="http://schemas.openxmlformats.org/officeDocument/2006/relationships/hyperlink" Target="https://www.sec.gov/Archives/edgar/data/1620463/000095017022004782/atha-ex10_28.htm" TargetMode="External"/><Relationship Id="rId347" Type="http://schemas.openxmlformats.org/officeDocument/2006/relationships/hyperlink" Target="https://www.sec.gov/Archives/edgar/data/1620463/000095017023000364/atha-ex1_1.htm" TargetMode="External"/><Relationship Id="rId348" Type="http://schemas.openxmlformats.org/officeDocument/2006/relationships/hyperlink" Target="https://www.sec.gov/ix?doc=/Archives/edgar/data/1620463/000095017024018764/atha-20240221.htm" TargetMode="External"/><Relationship Id="rId349" Type="http://schemas.openxmlformats.org/officeDocument/2006/relationships/hyperlink" Target="https://www.sec.gov/ix?doc=/Archives/edgar/data/1620463/000095017024094738/atha-20240630.htm" TargetMode="External"/><Relationship Id="rId350" Type="http://schemas.openxmlformats.org/officeDocument/2006/relationships/hyperlink" Target="https://www.sec.gov/ix?doc=/Archives/edgar/data/1620463/000095017024018787/atha-20231231.htm" TargetMode="External"/><Relationship Id="rId354" Type="http://schemas.openxmlformats.org/officeDocument/2006/relationships/hyperlink" Target="https://www.sec.gov/ix?doc=/Archives/edgar/data/1620463/000095017024113210/atha-20241001.htm" TargetMode="External"/><Relationship Id="rId364" Type="http://schemas.openxmlformats.org/officeDocument/2006/relationships/hyperlink" Target="https://www.sec.gov/Archives/edgar/data/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2025-02-27T15:54:43Z</dcterms:created>
  <dcterms:modified xsi:type="dcterms:W3CDTF">2025-02-27T15:54:43Z</dcterms:modified>
</cp:coreProperties>
</file>