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6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Gengos Andrew</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20" w:type="dxa"/>
            <w:vAlign w:val="bottom"/>
            <w:tcBorders>
              <w:top w:val="single" w:sz="8" w:color="0000EE"/>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13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CFO and Chief Business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46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right"/>
              <w:ind w:right="58"/>
              <w:spacing w:after="0"/>
              <w:rPr>
                <w:sz w:val="20"/>
                <w:szCs w:val="20"/>
                <w:color w:val="auto"/>
              </w:rPr>
            </w:pPr>
            <w:r>
              <w:rPr>
                <w:rFonts w:ascii="Times New Roman" w:cs="Times New Roman" w:eastAsia="Times New Roman" w:hAnsi="Times New Roman"/>
                <w:sz w:val="17"/>
                <w:szCs w:val="17"/>
                <w:color w:val="0000FF"/>
              </w:rPr>
              <w:t>05/20/2024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1.34</w:t>
            </w:r>
            <w:r>
              <w:rPr>
                <w:rFonts w:ascii="Times New Roman" w:cs="Times New Roman" w:eastAsia="Times New Roman" w:hAnsi="Times New Roman"/>
                <w:sz w:val="22"/>
                <w:szCs w:val="22"/>
                <w:color w:val="008000"/>
                <w:w w:val="9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93,804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right"/>
              <w:ind w:right="58"/>
              <w:spacing w:after="0"/>
              <w:rPr>
                <w:sz w:val="20"/>
                <w:szCs w:val="20"/>
                <w:color w:val="auto"/>
              </w:rPr>
            </w:pPr>
            <w:r>
              <w:rPr>
                <w:rFonts w:ascii="Times New Roman" w:cs="Times New Roman" w:eastAsia="Times New Roman" w:hAnsi="Times New Roman"/>
                <w:sz w:val="17"/>
                <w:szCs w:val="17"/>
                <w:color w:val="0000FF"/>
              </w:rPr>
              <w:t>09/03/2024</w:t>
            </w:r>
            <w:r>
              <w:rPr>
                <w:rFonts w:ascii="Times New Roman" w:cs="Times New Roman" w:eastAsia="Times New Roman" w:hAnsi="Times New Roman"/>
                <w:sz w:val="22"/>
                <w:szCs w:val="22"/>
                <w:color w:val="008000"/>
                <w:vertAlign w:val="superscript"/>
              </w:rPr>
              <w:t>(4)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5,000</w:t>
            </w:r>
            <w:r>
              <w:rPr>
                <w:rFonts w:ascii="Times New Roman" w:cs="Times New Roman" w:eastAsia="Times New Roman" w:hAnsi="Times New Roman"/>
                <w:sz w:val="22"/>
                <w:szCs w:val="22"/>
                <w:color w:val="008000"/>
                <w:w w:val="93"/>
                <w:vertAlign w:val="superscript"/>
              </w:rPr>
              <w:t>(5)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98,804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0.566</w:t>
            </w:r>
            <w:r>
              <w:rPr>
                <w:rFonts w:ascii="Times New Roman" w:cs="Times New Roman" w:eastAsia="Times New Roman" w:hAnsi="Times New Roman"/>
                <w:sz w:val="22"/>
                <w:szCs w:val="22"/>
                <w:color w:val="008000"/>
                <w:w w:val="95"/>
                <w:vertAlign w:val="superscript"/>
              </w:rPr>
              <w:t>(7)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97,532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jc w:val="right"/>
              <w:ind w:right="198"/>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jc w:val="right"/>
              <w:ind w:right="178"/>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20, 2023 through May 20, 2024. This transaction is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20, 2024 and is the Purchase Period comprising the Offering Period (as defined in the ESPP) that began November 20,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20, 2023.</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18, 2023, the reporting person was granted restricted stock units ("RSUs") representing 10,000 shares of Common Stock of the Issuer. The RSUs were scheduled to vest according to the following amended schedule: (1) fifty percent (50%) of the shares subject to the RSU award vest as of the date the the Compensation Committee (the "Committee" determines that enrollment of the Company's LIFT-AD Phase 2/3 clinical trial has been completed, and (2) the remaining fifty percent (50%) of the shares subject to the RSUs shall vest at the completion of the public readout of topline results of the Company's LIFT-AD Phase 2/3 clinical trial, in each case subject to continued service with the Issuer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3, 2024, the Company completed the public readout of the topline results of its LIFT-AD Phase 2/3 clinical trial and 5,000 RSUs vested on such date.</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RSUs pursuant to mandatory "sell to cover" policies maintained by the issuer and provisions contained in the reporting person's applicable RSU agreement, and does not represent a discretionary sale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$0.5505 to $0.5751,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Andrew</w:t>
        <w:tab/>
        <w:t>09/05/2024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63623"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2024-09-05T18:55:19Z</dcterms:created>
  <dcterms:modified xsi:type="dcterms:W3CDTF">2024-09-05T18:55:19Z</dcterms:modified>
</cp:coreProperties>
</file>