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ona-20260622.htm"/>
      <w:bookmarkStart w:id="1" w:name="kslona20260622"/>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8"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8"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283"/>
              <w:jc w:val="left"/>
              <w:rPr>
                <w:sz w:val="4"/>
                <w:szCs w:val="4"/>
              </w:rPr>
            </w:pPr>
            <w:r>
              <w:rPr>
                <w:sz w:val="4"/>
                <w:szCs w:val="4"/>
              </w:rPr>
            </w:r>
          </w:p>
        </w:tc>
      </w:tr>
      <w:tr>
        <w:trPr/>
        <w:tc>
          <w:tcPr>
            <w:tcW w:w="5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June 22, 2026</w:t>
            </w:r>
          </w:p>
        </w:tc>
      </w:tr>
    </w:tbl>
    <w:p>
      <w:pPr>
        <w:pStyle w:val="TextBody"/>
        <w:pBdr>
          <w:bottom w:val="single" w:sz="8"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LeonaBio,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8" w:space="1" w:color="000000"/>
        </w:pBdr>
        <w:bidi w:val="0"/>
        <w:spacing w:before="180" w:after="283"/>
        <w:jc w:val="left"/>
        <w:rPr/>
      </w:pPr>
      <w:r>
        <w:rPr/>
        <w:t> </w:t>
      </w:r>
    </w:p>
    <w:p>
      <w:pPr>
        <w:pStyle w:val="TextBody"/>
        <w:bidi w:val="0"/>
        <w:jc w:val="left"/>
        <w:rPr/>
      </w:pPr>
      <w:r>
        <w:rPr/>
        <w:t> </w:t>
      </w:r>
    </w:p>
    <w:tbl>
      <w:tblPr>
        <w:tblW w:w="4621" w:type="dxa"/>
        <w:jc w:val="left"/>
        <w:tblInd w:w="0" w:type="dxa"/>
        <w:tblLayout w:type="fixed"/>
        <w:tblCellMar>
          <w:top w:w="28" w:type="dxa"/>
          <w:left w:w="28" w:type="dxa"/>
          <w:bottom w:w="28" w:type="dxa"/>
          <w:right w:w="28" w:type="dxa"/>
        </w:tblCellMar>
      </w:tblPr>
      <w:tblGrid>
        <w:gridCol w:w="2071"/>
        <w:gridCol w:w="353"/>
        <w:gridCol w:w="353"/>
        <w:gridCol w:w="358"/>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001-39503</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45-3368487</w:t>
            </w:r>
          </w:p>
        </w:tc>
      </w:tr>
      <w:tr>
        <w:trPr/>
        <w:tc>
          <w:tcPr>
            <w:tcW w:w="207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3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sz w:val="20"/>
        </w:rPr>
      </w:pPr>
      <w:r>
        <w:rPr>
          <w:rFonts w:ascii="Times New Roman" w:hAnsi="Times New Roman"/>
          <w:b/>
          <w:color w:val="000000"/>
          <w:sz w:val="20"/>
        </w:rPr>
        <w:t>18706 North Creek Parkway, Suite 104</w:t>
        <w:br/>
        <w:t>Bothell, WA</w:t>
      </w:r>
      <w:r>
        <w:rPr>
          <w:rFonts w:ascii="Times New Roman" w:hAnsi="Times New Roman"/>
          <w:color w:val="000000"/>
          <w:sz w:val="20"/>
        </w:rPr>
        <w:t xml:space="preserve"> </w:t>
      </w:r>
      <w:r>
        <w:rPr>
          <w:rFonts w:ascii="Times New Roman" w:hAnsi="Times New Roman"/>
          <w:b/>
          <w:color w:val="000000"/>
          <w:sz w:val="20"/>
        </w:rPr>
        <w:t>98011</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(425) 620-8501</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pBdr>
          <w:bottom w:val="single" w:sz="8" w:space="1" w:color="000000"/>
        </w:pBdr>
        <w:bidi w:val="0"/>
        <w:spacing w:before="187"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058" w:type="dxa"/>
        <w:jc w:val="left"/>
        <w:tblInd w:w="0" w:type="dxa"/>
        <w:tblLayout w:type="fixed"/>
        <w:tblCellMar>
          <w:top w:w="28" w:type="dxa"/>
          <w:left w:w="28" w:type="dxa"/>
          <w:bottom w:w="28" w:type="dxa"/>
          <w:right w:w="28" w:type="dxa"/>
        </w:tblCellMar>
      </w:tblPr>
      <w:tblGrid>
        <w:gridCol w:w="3286"/>
        <w:gridCol w:w="145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LONA</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 Stock Market LLC</w:t>
            </w:r>
            <w:r>
              <w:rPr>
                <w:rFonts w:ascii="Times New Roman" w:hAnsi="Times New Roman"/>
                <w:color w:val="000000"/>
                <w:sz w:val="20"/>
              </w:rPr>
              <w:t> </w:t>
            </w:r>
            <w:r>
              <w:rPr>
                <w:rFonts w:ascii="Times New Roman" w:hAnsi="Times New Roman"/>
                <w:color w:val="000000"/>
                <w:sz w:val="18"/>
              </w:rPr>
              <w:br/>
              <w:t>(The Nasdaq Capital Market)</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Layout w:type="fixed"/>
        <w:tblCellMar>
          <w:top w:w="28" w:type="dxa"/>
          <w:left w:w="28" w:type="dxa"/>
          <w:bottom w:w="28" w:type="dxa"/>
          <w:right w:w="28" w:type="dxa"/>
        </w:tblCellMar>
      </w:tblPr>
      <w:tblGrid>
        <w:gridCol w:w="8765"/>
        <w:gridCol w:w="1440"/>
      </w:tblGrid>
      <w:tr>
        <w:trPr/>
        <w:tc>
          <w:tcPr>
            <w:tcW w:w="8765"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r>
      <w:tr>
        <w:trPr/>
        <w:tc>
          <w:tcPr>
            <w:tcW w:w="8765"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Emerging Growth Company</w:t>
            </w:r>
          </w:p>
          <w:p>
            <w:pPr>
              <w:pStyle w:val="TableContents"/>
              <w:bidi w:val="0"/>
              <w:spacing w:before="40" w:after="283"/>
              <w:jc w:val="left"/>
              <w:rPr/>
            </w:pPr>
            <w:r>
              <w:rPr/>
              <w:t> </w:t>
            </w:r>
          </w:p>
        </w:tc>
        <w:tc>
          <w:tcPr>
            <w:tcW w:w="1440" w:type="dxa"/>
            <w:tcBorders/>
            <w:tcMar>
              <w:top w:w="0" w:type="dxa"/>
              <w:left w:w="0" w:type="dxa"/>
              <w:bottom w:w="0" w:type="dxa"/>
              <w:right w:w="0" w:type="dxa"/>
            </w:tcMar>
            <w:vAlign w:val="center"/>
          </w:tcPr>
          <w:p>
            <w:pPr>
              <w:pStyle w:val="TableContents"/>
              <w:bidi w:val="0"/>
              <w:jc w:val="left"/>
              <w:rPr>
                <w:color w:val="000000"/>
              </w:rPr>
            </w:pPr>
            <w:r>
              <w:rPr>
                <w:color w:val="000000"/>
              </w:rPr>
              <w:t>☐</w:t>
            </w:r>
          </w:p>
          <w:p>
            <w:pPr>
              <w:pStyle w:val="TableContents"/>
              <w:bidi w:val="0"/>
              <w:spacing w:before="0" w:after="283"/>
              <w:jc w:val="left"/>
              <w:rPr/>
            </w:pPr>
            <w:r>
              <w:rPr/>
              <w:t> </w:t>
            </w:r>
          </w:p>
        </w:tc>
      </w:tr>
      <w:tr>
        <w:trPr/>
        <w:tc>
          <w:tcPr>
            <w:tcW w:w="10205" w:type="dxa"/>
            <w:gridSpan w:val="2"/>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ableContents"/>
              <w:bidi w:val="0"/>
              <w:spacing w:before="40" w:after="283"/>
              <w:jc w:val="left"/>
              <w:rPr/>
            </w:pPr>
            <w:r>
              <w:rPr/>
              <w:t> </w:t>
            </w:r>
          </w:p>
        </w:tc>
      </w:tr>
    </w:tbl>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5.07 Submission of Matters to a Vote of Security Holders.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June 22, 2026, LeonaBio, Inc. (the “Company”) held its 2026 Annual Meeting of Stockholders (the “Annual Meeting”). The Company had 9,393,514 shares of common stock, par value $0.0001 per share (the “common stock”), outstanding on May 1, 2026, the record date for the Annual Meeting. At the Annual Meeting, 7,908,604 shares of the Company’s common stock, or approximately 84.19% of the total shares entitled to vote, were present or represented by proxy, which constituted a quorum for the transaction of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sets forth the final results of the voting at the Annual Meeting, as certified by the independent inspector of elections for the Annual Meeting. The proposals considered at the Annual Meeting are described in more detail in the Company’s definitive proxy statement filed with the United States Securities and Exchange Commission on May 11, 2026 (the “Proxy Statement”).</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Proposal No. 1 – Election of Class III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stockholders elected the three candidates nominated by the Company’s Board of Directors (the “Board”) to serve as directors of the Company until the annual meeting of stockholders to be held in 2029 or until their successors are elected and qualified, or until their earlier death, resignation or removal. The following sets forth the results of the voting with respect to this proposal:</w:t>
      </w:r>
    </w:p>
    <w:p>
      <w:pPr>
        <w:pStyle w:val="TextBody"/>
        <w:bidi w:val="0"/>
        <w:spacing w:before="120" w:after="283"/>
        <w:jc w:val="both"/>
        <w:rPr/>
      </w:pPr>
      <w:r>
        <w:rPr/>
        <w:t> </w:t>
      </w:r>
    </w:p>
    <w:tbl>
      <w:tblPr>
        <w:tblW w:w="5554" w:type="dxa"/>
        <w:jc w:val="left"/>
        <w:tblInd w:w="0" w:type="dxa"/>
        <w:tblLayout w:type="fixed"/>
        <w:tblCellMar>
          <w:top w:w="28" w:type="dxa"/>
          <w:left w:w="28" w:type="dxa"/>
          <w:bottom w:w="28" w:type="dxa"/>
          <w:right w:w="28" w:type="dxa"/>
        </w:tblCellMar>
      </w:tblPr>
      <w:tblGrid>
        <w:gridCol w:w="2041"/>
        <w:gridCol w:w="931"/>
        <w:gridCol w:w="901"/>
        <w:gridCol w:w="1681"/>
      </w:tblGrid>
      <w:tr>
        <w:trPr/>
        <w:tc>
          <w:tcPr>
            <w:tcW w:w="20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pBdr>
                <w:bottom w:val="single" w:sz="8" w:space="1" w:color="000000"/>
              </w:pBdr>
              <w:bidi w:val="0"/>
              <w:spacing w:before="120" w:after="283"/>
              <w:jc w:val="center"/>
              <w:rPr>
                <w:rFonts w:ascii="Times New Roman" w:hAnsi="Times New Roman"/>
                <w:b/>
                <w:color w:val="000000"/>
                <w:sz w:val="20"/>
              </w:rPr>
            </w:pPr>
            <w:r>
              <w:rPr>
                <w:rFonts w:ascii="Times New Roman" w:hAnsi="Times New Roman"/>
                <w:b/>
                <w:color w:val="000000"/>
                <w:sz w:val="20"/>
              </w:rPr>
              <w:t>Nominees of the Board</w:t>
            </w:r>
          </w:p>
        </w:tc>
        <w:tc>
          <w:tcPr>
            <w:tcW w:w="931" w:type="dxa"/>
            <w:tcBorders/>
            <w:tcMar>
              <w:top w:w="0" w:type="dxa"/>
              <w:left w:w="0" w:type="dxa"/>
              <w:bottom w:w="0" w:type="dxa"/>
              <w:right w:w="0" w:type="dxa"/>
            </w:tcMar>
            <w:vAlign w:val="center"/>
          </w:tcPr>
          <w:p>
            <w:pPr>
              <w:pStyle w:val="TableContents"/>
              <w:pBdr>
                <w:bottom w:val="single" w:sz="8" w:space="1" w:color="000000"/>
              </w:pBdr>
              <w:bidi w:val="0"/>
              <w:spacing w:before="120" w:after="283"/>
              <w:jc w:val="center"/>
              <w:rPr>
                <w:rFonts w:ascii="Times New Roman" w:hAnsi="Times New Roman"/>
                <w:b/>
                <w:color w:val="000000"/>
                <w:sz w:val="20"/>
              </w:rPr>
            </w:pPr>
            <w:r>
              <w:rPr>
                <w:rFonts w:ascii="Times New Roman" w:hAnsi="Times New Roman"/>
                <w:b/>
                <w:color w:val="000000"/>
                <w:sz w:val="20"/>
              </w:rPr>
              <w:t>For</w:t>
            </w:r>
          </w:p>
        </w:tc>
        <w:tc>
          <w:tcPr>
            <w:tcW w:w="901" w:type="dxa"/>
            <w:tcBorders/>
            <w:tcMar>
              <w:top w:w="0" w:type="dxa"/>
              <w:left w:w="0" w:type="dxa"/>
              <w:bottom w:w="0" w:type="dxa"/>
              <w:right w:w="0" w:type="dxa"/>
            </w:tcMar>
            <w:vAlign w:val="center"/>
          </w:tcPr>
          <w:p>
            <w:pPr>
              <w:pStyle w:val="TableContents"/>
              <w:pBdr>
                <w:bottom w:val="single" w:sz="8" w:space="1" w:color="000000"/>
              </w:pBdr>
              <w:bidi w:val="0"/>
              <w:spacing w:before="120" w:after="283"/>
              <w:jc w:val="center"/>
              <w:rPr>
                <w:rFonts w:ascii="Times New Roman" w:hAnsi="Times New Roman"/>
                <w:b/>
                <w:color w:val="000000"/>
                <w:sz w:val="20"/>
              </w:rPr>
            </w:pPr>
            <w:r>
              <w:rPr>
                <w:rFonts w:ascii="Times New Roman" w:hAnsi="Times New Roman"/>
                <w:b/>
                <w:color w:val="000000"/>
                <w:sz w:val="20"/>
              </w:rPr>
              <w:t>Withhold</w:t>
            </w:r>
          </w:p>
        </w:tc>
        <w:tc>
          <w:tcPr>
            <w:tcW w:w="1681" w:type="dxa"/>
            <w:tcBorders/>
            <w:tcMar>
              <w:top w:w="0" w:type="dxa"/>
              <w:left w:w="0" w:type="dxa"/>
              <w:bottom w:w="0" w:type="dxa"/>
              <w:right w:w="0" w:type="dxa"/>
            </w:tcMar>
            <w:vAlign w:val="center"/>
          </w:tcPr>
          <w:p>
            <w:pPr>
              <w:pStyle w:val="TableContents"/>
              <w:pBdr>
                <w:bottom w:val="single" w:sz="8" w:space="1" w:color="000000"/>
              </w:pBdr>
              <w:bidi w:val="0"/>
              <w:spacing w:before="120" w:after="283"/>
              <w:jc w:val="center"/>
              <w:rPr>
                <w:rFonts w:ascii="Times New Roman" w:hAnsi="Times New Roman"/>
                <w:b/>
                <w:color w:val="000000"/>
                <w:sz w:val="20"/>
              </w:rPr>
            </w:pPr>
            <w:r>
              <w:rPr>
                <w:rFonts w:ascii="Times New Roman" w:hAnsi="Times New Roman"/>
                <w:b/>
                <w:color w:val="000000"/>
                <w:sz w:val="20"/>
              </w:rPr>
              <w:t>Broker Non-Votes</w:t>
            </w:r>
          </w:p>
        </w:tc>
      </w:tr>
      <w:tr>
        <w:trPr/>
        <w:tc>
          <w:tcPr>
            <w:tcW w:w="204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Kelly A. Romano</w:t>
            </w:r>
          </w:p>
        </w:tc>
        <w:tc>
          <w:tcPr>
            <w:tcW w:w="93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4,722,901</w:t>
            </w:r>
          </w:p>
        </w:tc>
        <w:tc>
          <w:tcPr>
            <w:tcW w:w="90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630,132</w:t>
            </w:r>
          </w:p>
        </w:tc>
        <w:tc>
          <w:tcPr>
            <w:tcW w:w="168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2,555,571</w:t>
            </w:r>
          </w:p>
        </w:tc>
      </w:tr>
      <w:tr>
        <w:trPr/>
        <w:tc>
          <w:tcPr>
            <w:tcW w:w="204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James A. Johnson</w:t>
            </w:r>
          </w:p>
        </w:tc>
        <w:tc>
          <w:tcPr>
            <w:tcW w:w="93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5,331,531</w:t>
            </w:r>
          </w:p>
        </w:tc>
        <w:tc>
          <w:tcPr>
            <w:tcW w:w="90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21,502</w:t>
            </w:r>
          </w:p>
        </w:tc>
        <w:tc>
          <w:tcPr>
            <w:tcW w:w="168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2,555,571</w:t>
            </w:r>
          </w:p>
        </w:tc>
      </w:tr>
      <w:tr>
        <w:trPr/>
        <w:tc>
          <w:tcPr>
            <w:tcW w:w="204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Natalie Holles</w:t>
            </w:r>
          </w:p>
        </w:tc>
        <w:tc>
          <w:tcPr>
            <w:tcW w:w="93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5,338,727</w:t>
            </w:r>
          </w:p>
        </w:tc>
        <w:tc>
          <w:tcPr>
            <w:tcW w:w="90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14,306</w:t>
            </w:r>
          </w:p>
        </w:tc>
        <w:tc>
          <w:tcPr>
            <w:tcW w:w="168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2,555,571</w:t>
            </w:r>
          </w:p>
        </w:tc>
      </w:tr>
    </w:tbl>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Proposal No. 2 – Ratification of Appointment of Independent Registered Public Accounting Firm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stockholders ratified the selection of Ernst &amp; Young LLP as the Company’s independent registered public accounting firm for the Company’s fiscal year ending December 31, 2026. The following sets forth the results of the voting with respect to this proposal:</w:t>
      </w:r>
    </w:p>
    <w:p>
      <w:pPr>
        <w:pStyle w:val="TextBody"/>
        <w:bidi w:val="0"/>
        <w:spacing w:before="120" w:after="283"/>
        <w:jc w:val="both"/>
        <w:rPr/>
      </w:pPr>
      <w:r>
        <w:rPr/>
        <w:t> </w:t>
      </w:r>
    </w:p>
    <w:tbl>
      <w:tblPr>
        <w:tblW w:w="4129" w:type="dxa"/>
        <w:jc w:val="left"/>
        <w:tblInd w:w="0" w:type="dxa"/>
        <w:tblLayout w:type="fixed"/>
        <w:tblCellMar>
          <w:top w:w="28" w:type="dxa"/>
          <w:left w:w="28" w:type="dxa"/>
          <w:bottom w:w="28" w:type="dxa"/>
          <w:right w:w="28" w:type="dxa"/>
        </w:tblCellMar>
      </w:tblPr>
      <w:tblGrid>
        <w:gridCol w:w="946"/>
        <w:gridCol w:w="751"/>
        <w:gridCol w:w="751"/>
        <w:gridCol w:w="1681"/>
      </w:tblGrid>
      <w:tr>
        <w:trPr/>
        <w:tc>
          <w:tcPr>
            <w:tcW w:w="9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pBdr>
                <w:bottom w:val="single" w:sz="8" w:space="1" w:color="000000"/>
              </w:pBdr>
              <w:bidi w:val="0"/>
              <w:spacing w:before="120" w:after="283"/>
              <w:jc w:val="center"/>
              <w:rPr>
                <w:rFonts w:ascii="Times New Roman" w:hAnsi="Times New Roman"/>
                <w:b/>
                <w:color w:val="000000"/>
                <w:sz w:val="20"/>
              </w:rPr>
            </w:pPr>
            <w:r>
              <w:rPr>
                <w:rFonts w:ascii="Times New Roman" w:hAnsi="Times New Roman"/>
                <w:b/>
                <w:color w:val="000000"/>
                <w:sz w:val="20"/>
              </w:rPr>
              <w:t>For</w:t>
            </w:r>
          </w:p>
        </w:tc>
        <w:tc>
          <w:tcPr>
            <w:tcW w:w="751" w:type="dxa"/>
            <w:tcBorders/>
            <w:tcMar>
              <w:top w:w="0" w:type="dxa"/>
              <w:left w:w="0" w:type="dxa"/>
              <w:bottom w:w="0" w:type="dxa"/>
              <w:right w:w="0" w:type="dxa"/>
            </w:tcMar>
            <w:vAlign w:val="center"/>
          </w:tcPr>
          <w:p>
            <w:pPr>
              <w:pStyle w:val="TableContents"/>
              <w:pBdr>
                <w:bottom w:val="single" w:sz="8" w:space="1" w:color="000000"/>
              </w:pBdr>
              <w:bidi w:val="0"/>
              <w:spacing w:before="120" w:after="283"/>
              <w:jc w:val="center"/>
              <w:rPr>
                <w:rFonts w:ascii="Times New Roman" w:hAnsi="Times New Roman"/>
                <w:b/>
                <w:color w:val="000000"/>
                <w:sz w:val="20"/>
              </w:rPr>
            </w:pPr>
            <w:r>
              <w:rPr>
                <w:rFonts w:ascii="Times New Roman" w:hAnsi="Times New Roman"/>
                <w:b/>
                <w:color w:val="000000"/>
                <w:sz w:val="20"/>
              </w:rPr>
              <w:t>Against</w:t>
            </w:r>
          </w:p>
        </w:tc>
        <w:tc>
          <w:tcPr>
            <w:tcW w:w="751" w:type="dxa"/>
            <w:tcBorders/>
            <w:tcMar>
              <w:top w:w="0" w:type="dxa"/>
              <w:left w:w="0" w:type="dxa"/>
              <w:bottom w:w="0" w:type="dxa"/>
              <w:right w:w="0" w:type="dxa"/>
            </w:tcMar>
            <w:vAlign w:val="center"/>
          </w:tcPr>
          <w:p>
            <w:pPr>
              <w:pStyle w:val="TableContents"/>
              <w:pBdr>
                <w:bottom w:val="single" w:sz="8" w:space="1" w:color="000000"/>
              </w:pBdr>
              <w:bidi w:val="0"/>
              <w:spacing w:before="120" w:after="283"/>
              <w:jc w:val="center"/>
              <w:rPr>
                <w:rFonts w:ascii="Times New Roman" w:hAnsi="Times New Roman"/>
                <w:b/>
                <w:color w:val="000000"/>
                <w:sz w:val="20"/>
              </w:rPr>
            </w:pPr>
            <w:r>
              <w:rPr>
                <w:rFonts w:ascii="Times New Roman" w:hAnsi="Times New Roman"/>
                <w:b/>
                <w:color w:val="000000"/>
                <w:sz w:val="20"/>
              </w:rPr>
              <w:t>Abstain</w:t>
            </w:r>
          </w:p>
        </w:tc>
        <w:tc>
          <w:tcPr>
            <w:tcW w:w="1681" w:type="dxa"/>
            <w:tcBorders/>
            <w:tcMar>
              <w:top w:w="0" w:type="dxa"/>
              <w:left w:w="0" w:type="dxa"/>
              <w:bottom w:w="0" w:type="dxa"/>
              <w:right w:w="0" w:type="dxa"/>
            </w:tcMar>
            <w:vAlign w:val="center"/>
          </w:tcPr>
          <w:p>
            <w:pPr>
              <w:pStyle w:val="TableContents"/>
              <w:pBdr>
                <w:bottom w:val="single" w:sz="8" w:space="1" w:color="000000"/>
              </w:pBdr>
              <w:bidi w:val="0"/>
              <w:spacing w:before="120" w:after="283"/>
              <w:jc w:val="center"/>
              <w:rPr>
                <w:rFonts w:ascii="Times New Roman" w:hAnsi="Times New Roman"/>
                <w:b/>
                <w:color w:val="000000"/>
                <w:sz w:val="20"/>
              </w:rPr>
            </w:pPr>
            <w:r>
              <w:rPr>
                <w:rFonts w:ascii="Times New Roman" w:hAnsi="Times New Roman"/>
                <w:b/>
                <w:color w:val="000000"/>
                <w:sz w:val="20"/>
              </w:rPr>
              <w:t>Broker Non-Votes</w:t>
            </w:r>
          </w:p>
        </w:tc>
      </w:tr>
      <w:tr>
        <w:trPr/>
        <w:tc>
          <w:tcPr>
            <w:tcW w:w="94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7,824,681</w:t>
            </w:r>
          </w:p>
        </w:tc>
        <w:tc>
          <w:tcPr>
            <w:tcW w:w="75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10,708</w:t>
            </w:r>
          </w:p>
        </w:tc>
        <w:tc>
          <w:tcPr>
            <w:tcW w:w="75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73,215</w:t>
            </w:r>
          </w:p>
        </w:tc>
        <w:tc>
          <w:tcPr>
            <w:tcW w:w="168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Proposal No. 3 – Approval, on an Advisory Basis, of Compensation of Named Executive Officers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stockholders approved, on an advisory basis, the compensation of the Company’s named executive officers. The following sets forth the results of the voting with respect to this proposal:</w:t>
      </w:r>
    </w:p>
    <w:p>
      <w:pPr>
        <w:pStyle w:val="TextBody"/>
        <w:bidi w:val="0"/>
        <w:spacing w:before="120" w:after="283"/>
        <w:jc w:val="both"/>
        <w:rPr/>
      </w:pPr>
      <w:r>
        <w:rPr/>
        <w:t> </w:t>
      </w:r>
    </w:p>
    <w:tbl>
      <w:tblPr>
        <w:tblW w:w="4129" w:type="dxa"/>
        <w:jc w:val="left"/>
        <w:tblInd w:w="0" w:type="dxa"/>
        <w:tblLayout w:type="fixed"/>
        <w:tblCellMar>
          <w:top w:w="28" w:type="dxa"/>
          <w:left w:w="28" w:type="dxa"/>
          <w:bottom w:w="28" w:type="dxa"/>
          <w:right w:w="28" w:type="dxa"/>
        </w:tblCellMar>
      </w:tblPr>
      <w:tblGrid>
        <w:gridCol w:w="946"/>
        <w:gridCol w:w="751"/>
        <w:gridCol w:w="751"/>
        <w:gridCol w:w="1681"/>
      </w:tblGrid>
      <w:tr>
        <w:trPr/>
        <w:tc>
          <w:tcPr>
            <w:tcW w:w="9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pBdr>
                <w:bottom w:val="single" w:sz="8" w:space="1" w:color="000000"/>
              </w:pBdr>
              <w:bidi w:val="0"/>
              <w:spacing w:before="120" w:after="283"/>
              <w:jc w:val="center"/>
              <w:rPr>
                <w:rFonts w:ascii="Times New Roman" w:hAnsi="Times New Roman"/>
                <w:b/>
                <w:color w:val="000000"/>
                <w:sz w:val="20"/>
              </w:rPr>
            </w:pPr>
            <w:r>
              <w:rPr>
                <w:rFonts w:ascii="Times New Roman" w:hAnsi="Times New Roman"/>
                <w:b/>
                <w:color w:val="000000"/>
                <w:sz w:val="20"/>
              </w:rPr>
              <w:t>For</w:t>
            </w:r>
          </w:p>
        </w:tc>
        <w:tc>
          <w:tcPr>
            <w:tcW w:w="751" w:type="dxa"/>
            <w:tcBorders/>
            <w:tcMar>
              <w:top w:w="0" w:type="dxa"/>
              <w:left w:w="0" w:type="dxa"/>
              <w:bottom w:w="0" w:type="dxa"/>
              <w:right w:w="0" w:type="dxa"/>
            </w:tcMar>
            <w:vAlign w:val="center"/>
          </w:tcPr>
          <w:p>
            <w:pPr>
              <w:pStyle w:val="TableContents"/>
              <w:pBdr>
                <w:bottom w:val="single" w:sz="8" w:space="1" w:color="000000"/>
              </w:pBdr>
              <w:bidi w:val="0"/>
              <w:spacing w:before="120" w:after="283"/>
              <w:jc w:val="center"/>
              <w:rPr>
                <w:rFonts w:ascii="Times New Roman" w:hAnsi="Times New Roman"/>
                <w:b/>
                <w:color w:val="000000"/>
                <w:sz w:val="20"/>
              </w:rPr>
            </w:pPr>
            <w:r>
              <w:rPr>
                <w:rFonts w:ascii="Times New Roman" w:hAnsi="Times New Roman"/>
                <w:b/>
                <w:color w:val="000000"/>
                <w:sz w:val="20"/>
              </w:rPr>
              <w:t>Against</w:t>
            </w:r>
          </w:p>
        </w:tc>
        <w:tc>
          <w:tcPr>
            <w:tcW w:w="751" w:type="dxa"/>
            <w:tcBorders/>
            <w:tcMar>
              <w:top w:w="0" w:type="dxa"/>
              <w:left w:w="0" w:type="dxa"/>
              <w:bottom w:w="0" w:type="dxa"/>
              <w:right w:w="0" w:type="dxa"/>
            </w:tcMar>
            <w:vAlign w:val="center"/>
          </w:tcPr>
          <w:p>
            <w:pPr>
              <w:pStyle w:val="TableContents"/>
              <w:pBdr>
                <w:bottom w:val="single" w:sz="8" w:space="1" w:color="000000"/>
              </w:pBdr>
              <w:bidi w:val="0"/>
              <w:spacing w:before="120" w:after="283"/>
              <w:jc w:val="center"/>
              <w:rPr>
                <w:rFonts w:ascii="Times New Roman" w:hAnsi="Times New Roman"/>
                <w:b/>
                <w:color w:val="000000"/>
                <w:sz w:val="20"/>
              </w:rPr>
            </w:pPr>
            <w:r>
              <w:rPr>
                <w:rFonts w:ascii="Times New Roman" w:hAnsi="Times New Roman"/>
                <w:b/>
                <w:color w:val="000000"/>
                <w:sz w:val="20"/>
              </w:rPr>
              <w:t>Abstain</w:t>
            </w:r>
          </w:p>
        </w:tc>
        <w:tc>
          <w:tcPr>
            <w:tcW w:w="1681" w:type="dxa"/>
            <w:tcBorders/>
            <w:tcMar>
              <w:top w:w="0" w:type="dxa"/>
              <w:left w:w="0" w:type="dxa"/>
              <w:bottom w:w="0" w:type="dxa"/>
              <w:right w:w="0" w:type="dxa"/>
            </w:tcMar>
            <w:vAlign w:val="center"/>
          </w:tcPr>
          <w:p>
            <w:pPr>
              <w:pStyle w:val="TableContents"/>
              <w:pBdr>
                <w:bottom w:val="single" w:sz="8" w:space="1" w:color="000000"/>
              </w:pBdr>
              <w:bidi w:val="0"/>
              <w:spacing w:before="120" w:after="283"/>
              <w:jc w:val="center"/>
              <w:rPr>
                <w:rFonts w:ascii="Times New Roman" w:hAnsi="Times New Roman"/>
                <w:b/>
                <w:color w:val="000000"/>
                <w:sz w:val="20"/>
              </w:rPr>
            </w:pPr>
            <w:r>
              <w:rPr>
                <w:rFonts w:ascii="Times New Roman" w:hAnsi="Times New Roman"/>
                <w:b/>
                <w:color w:val="000000"/>
                <w:sz w:val="20"/>
              </w:rPr>
              <w:t>Broker Non-Votes</w:t>
            </w:r>
          </w:p>
        </w:tc>
      </w:tr>
      <w:tr>
        <w:trPr/>
        <w:tc>
          <w:tcPr>
            <w:tcW w:w="94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5,310,614</w:t>
            </w:r>
          </w:p>
        </w:tc>
        <w:tc>
          <w:tcPr>
            <w:tcW w:w="75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24,139</w:t>
            </w:r>
          </w:p>
        </w:tc>
        <w:tc>
          <w:tcPr>
            <w:tcW w:w="75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18,280</w:t>
            </w:r>
          </w:p>
        </w:tc>
        <w:tc>
          <w:tcPr>
            <w:tcW w:w="168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2,555,571</w:t>
            </w:r>
          </w:p>
        </w:tc>
      </w:tr>
    </w:tbl>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Proposal No. 4 – Approval, on an Advisory Basis, of Frequency of Future Stockholder Advisory Votes on Compensation of Named Executive Officers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stockholders indicated, on an advisory basis, their preference for every 3 years as the frequency of holding future stockholder advisory votes on the compensation of the Company’s named executive officers. The following sets forth the results of the voting with respect to this proposal:</w:t>
      </w:r>
    </w:p>
    <w:p>
      <w:pPr>
        <w:pStyle w:val="TextBody"/>
        <w:bidi w:val="0"/>
        <w:spacing w:before="120" w:after="283"/>
        <w:jc w:val="both"/>
        <w:rPr/>
      </w:pPr>
      <w:r>
        <w:rPr/>
        <w:t> </w:t>
      </w:r>
    </w:p>
    <w:tbl>
      <w:tblPr>
        <w:tblW w:w="4625" w:type="dxa"/>
        <w:jc w:val="left"/>
        <w:tblInd w:w="0" w:type="dxa"/>
        <w:tblLayout w:type="fixed"/>
        <w:tblCellMar>
          <w:top w:w="28" w:type="dxa"/>
          <w:left w:w="28" w:type="dxa"/>
          <w:bottom w:w="28" w:type="dxa"/>
          <w:right w:w="28" w:type="dxa"/>
        </w:tblCellMar>
      </w:tblPr>
      <w:tblGrid>
        <w:gridCol w:w="691"/>
        <w:gridCol w:w="751"/>
        <w:gridCol w:w="751"/>
        <w:gridCol w:w="751"/>
        <w:gridCol w:w="1681"/>
      </w:tblGrid>
      <w:tr>
        <w:trPr/>
        <w:tc>
          <w:tcPr>
            <w:tcW w:w="69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pBdr>
                <w:bottom w:val="single" w:sz="8" w:space="1" w:color="000000"/>
              </w:pBdr>
              <w:bidi w:val="0"/>
              <w:spacing w:before="120" w:after="283"/>
              <w:jc w:val="center"/>
              <w:rPr>
                <w:rFonts w:ascii="Times New Roman" w:hAnsi="Times New Roman"/>
                <w:b/>
                <w:color w:val="000000"/>
                <w:sz w:val="20"/>
              </w:rPr>
            </w:pPr>
            <w:r>
              <w:rPr>
                <w:rFonts w:ascii="Times New Roman" w:hAnsi="Times New Roman"/>
                <w:b/>
                <w:color w:val="000000"/>
                <w:sz w:val="20"/>
              </w:rPr>
              <w:t>1 Year</w:t>
            </w:r>
          </w:p>
        </w:tc>
        <w:tc>
          <w:tcPr>
            <w:tcW w:w="751" w:type="dxa"/>
            <w:tcBorders/>
            <w:tcMar>
              <w:top w:w="0" w:type="dxa"/>
              <w:left w:w="0" w:type="dxa"/>
              <w:bottom w:w="0" w:type="dxa"/>
              <w:right w:w="0" w:type="dxa"/>
            </w:tcMar>
            <w:vAlign w:val="center"/>
          </w:tcPr>
          <w:p>
            <w:pPr>
              <w:pStyle w:val="TableContents"/>
              <w:pBdr>
                <w:bottom w:val="single" w:sz="8" w:space="1" w:color="000000"/>
              </w:pBdr>
              <w:bidi w:val="0"/>
              <w:spacing w:before="120" w:after="283"/>
              <w:jc w:val="center"/>
              <w:rPr>
                <w:rFonts w:ascii="Times New Roman" w:hAnsi="Times New Roman"/>
                <w:b/>
                <w:color w:val="000000"/>
                <w:sz w:val="20"/>
              </w:rPr>
            </w:pPr>
            <w:r>
              <w:rPr>
                <w:rFonts w:ascii="Times New Roman" w:hAnsi="Times New Roman"/>
                <w:b/>
                <w:color w:val="000000"/>
                <w:sz w:val="20"/>
              </w:rPr>
              <w:t>2 Years</w:t>
            </w:r>
          </w:p>
        </w:tc>
        <w:tc>
          <w:tcPr>
            <w:tcW w:w="751" w:type="dxa"/>
            <w:tcBorders/>
            <w:tcMar>
              <w:top w:w="0" w:type="dxa"/>
              <w:left w:w="0" w:type="dxa"/>
              <w:bottom w:w="0" w:type="dxa"/>
              <w:right w:w="0" w:type="dxa"/>
            </w:tcMar>
            <w:vAlign w:val="center"/>
          </w:tcPr>
          <w:p>
            <w:pPr>
              <w:pStyle w:val="TableContents"/>
              <w:pBdr>
                <w:bottom w:val="single" w:sz="8" w:space="1" w:color="000000"/>
              </w:pBdr>
              <w:bidi w:val="0"/>
              <w:spacing w:before="120" w:after="283"/>
              <w:jc w:val="center"/>
              <w:rPr>
                <w:rFonts w:ascii="Times New Roman" w:hAnsi="Times New Roman"/>
                <w:b/>
                <w:color w:val="000000"/>
                <w:sz w:val="20"/>
              </w:rPr>
            </w:pPr>
            <w:r>
              <w:rPr>
                <w:rFonts w:ascii="Times New Roman" w:hAnsi="Times New Roman"/>
                <w:b/>
                <w:color w:val="000000"/>
                <w:sz w:val="20"/>
              </w:rPr>
              <w:t>3 Years</w:t>
            </w:r>
          </w:p>
        </w:tc>
        <w:tc>
          <w:tcPr>
            <w:tcW w:w="751" w:type="dxa"/>
            <w:tcBorders/>
            <w:tcMar>
              <w:top w:w="0" w:type="dxa"/>
              <w:left w:w="0" w:type="dxa"/>
              <w:bottom w:w="0" w:type="dxa"/>
              <w:right w:w="0" w:type="dxa"/>
            </w:tcMar>
            <w:vAlign w:val="center"/>
          </w:tcPr>
          <w:p>
            <w:pPr>
              <w:pStyle w:val="TableContents"/>
              <w:pBdr>
                <w:bottom w:val="single" w:sz="8" w:space="1" w:color="000000"/>
              </w:pBdr>
              <w:bidi w:val="0"/>
              <w:spacing w:before="120" w:after="283"/>
              <w:jc w:val="center"/>
              <w:rPr>
                <w:rFonts w:ascii="Times New Roman" w:hAnsi="Times New Roman"/>
                <w:b/>
                <w:color w:val="000000"/>
                <w:sz w:val="20"/>
              </w:rPr>
            </w:pPr>
            <w:r>
              <w:rPr>
                <w:rFonts w:ascii="Times New Roman" w:hAnsi="Times New Roman"/>
                <w:b/>
                <w:color w:val="000000"/>
                <w:sz w:val="20"/>
              </w:rPr>
              <w:t>Abstain</w:t>
            </w:r>
          </w:p>
        </w:tc>
        <w:tc>
          <w:tcPr>
            <w:tcW w:w="1681" w:type="dxa"/>
            <w:tcBorders/>
            <w:tcMar>
              <w:top w:w="0" w:type="dxa"/>
              <w:left w:w="0" w:type="dxa"/>
              <w:bottom w:w="0" w:type="dxa"/>
              <w:right w:w="0" w:type="dxa"/>
            </w:tcMar>
            <w:vAlign w:val="center"/>
          </w:tcPr>
          <w:p>
            <w:pPr>
              <w:pStyle w:val="TableContents"/>
              <w:pBdr>
                <w:bottom w:val="single" w:sz="8" w:space="1" w:color="000000"/>
              </w:pBdr>
              <w:bidi w:val="0"/>
              <w:spacing w:before="120" w:after="283"/>
              <w:jc w:val="center"/>
              <w:rPr>
                <w:rFonts w:ascii="Times New Roman" w:hAnsi="Times New Roman"/>
                <w:b/>
                <w:color w:val="000000"/>
                <w:sz w:val="20"/>
              </w:rPr>
            </w:pPr>
            <w:r>
              <w:rPr>
                <w:rFonts w:ascii="Times New Roman" w:hAnsi="Times New Roman"/>
                <w:b/>
                <w:color w:val="000000"/>
                <w:sz w:val="20"/>
              </w:rPr>
              <w:t>Broker Non-Votes</w:t>
            </w:r>
          </w:p>
        </w:tc>
      </w:tr>
    </w:tbl>
    <w:p>
      <w:pPr>
        <w:pStyle w:val="TextBody"/>
        <w:bidi w:val="0"/>
        <w:spacing w:before="20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995" w:type="dxa"/>
        <w:jc w:val="left"/>
        <w:tblInd w:w="0" w:type="dxa"/>
        <w:tblLayout w:type="fixed"/>
        <w:tblCellMar>
          <w:top w:w="28" w:type="dxa"/>
          <w:left w:w="28" w:type="dxa"/>
          <w:bottom w:w="28" w:type="dxa"/>
          <w:right w:w="28" w:type="dxa"/>
        </w:tblCellMar>
      </w:tblPr>
      <w:tblGrid>
        <w:gridCol w:w="946"/>
        <w:gridCol w:w="571"/>
        <w:gridCol w:w="931"/>
        <w:gridCol w:w="571"/>
        <w:gridCol w:w="976"/>
      </w:tblGrid>
      <w:tr>
        <w:trPr/>
        <w:tc>
          <w:tcPr>
            <w:tcW w:w="9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2,288,358</w:t>
            </w:r>
          </w:p>
        </w:tc>
        <w:tc>
          <w:tcPr>
            <w:tcW w:w="57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7,909</w:t>
            </w:r>
          </w:p>
        </w:tc>
        <w:tc>
          <w:tcPr>
            <w:tcW w:w="93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3,052,542</w:t>
            </w:r>
          </w:p>
        </w:tc>
        <w:tc>
          <w:tcPr>
            <w:tcW w:w="57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4,224</w:t>
            </w:r>
          </w:p>
        </w:tc>
        <w:tc>
          <w:tcPr>
            <w:tcW w:w="97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2,555,571</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the results of the vote, and consistent with the Board’s recommendation, the Company has determined to hold a non-binding advisory vote regarding the compensation of its named executive officers every 3 years until the next required non-binding advisory vote on the frequency of holding future votes regarding the compensation of the Company’s named executive officers.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14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419" w:type="dxa"/>
        <w:jc w:val="left"/>
        <w:tblInd w:w="0" w:type="dxa"/>
        <w:tblLayout w:type="fixed"/>
        <w:tblCellMar>
          <w:top w:w="28" w:type="dxa"/>
          <w:left w:w="28" w:type="dxa"/>
          <w:bottom w:w="28" w:type="dxa"/>
          <w:right w:w="28" w:type="dxa"/>
        </w:tblCellMar>
      </w:tblPr>
      <w:tblGrid>
        <w:gridCol w:w="556"/>
        <w:gridCol w:w="1246"/>
        <w:gridCol w:w="406"/>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40" w:after="40"/>
              <w:jc w:val="left"/>
              <w:rPr/>
            </w:pPr>
            <w:r>
              <w:rPr/>
              <w:t> </w:t>
            </w:r>
          </w:p>
        </w:tc>
        <w:tc>
          <w:tcPr>
            <w:tcW w:w="1246" w:type="dxa"/>
            <w:tcBorders/>
            <w:tcMar>
              <w:top w:w="0" w:type="dxa"/>
              <w:left w:w="0" w:type="dxa"/>
              <w:bottom w:w="0" w:type="dxa"/>
              <w:right w:w="0" w:type="dxa"/>
            </w:tcMar>
            <w:vAlign w:val="center"/>
          </w:tcPr>
          <w:p>
            <w:pPr>
              <w:pStyle w:val="TableContents"/>
              <w:bidi w:val="0"/>
              <w:spacing w:before="40" w:after="40"/>
              <w:jc w:val="left"/>
              <w:rPr/>
            </w:pPr>
            <w:r>
              <w:rPr/>
              <w:t> </w:t>
            </w:r>
          </w:p>
        </w:tc>
        <w:tc>
          <w:tcPr>
            <w:tcW w:w="406" w:type="dxa"/>
            <w:tcBorders/>
            <w:tcMar>
              <w:top w:w="0" w:type="dxa"/>
              <w:left w:w="0" w:type="dxa"/>
              <w:bottom w:w="0" w:type="dxa"/>
              <w:right w:w="0" w:type="dxa"/>
            </w:tcMar>
            <w:vAlign w:val="center"/>
          </w:tcPr>
          <w:p>
            <w:pPr>
              <w:pStyle w:val="TableContents"/>
              <w:bidi w:val="0"/>
              <w:spacing w:before="40" w:after="40"/>
              <w:jc w:val="left"/>
              <w:rPr/>
            </w:pPr>
            <w:r>
              <w:rPr/>
              <w:t> </w:t>
            </w:r>
          </w:p>
        </w:tc>
        <w:tc>
          <w:tcPr>
            <w:tcW w:w="321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b/>
                <w:color w:val="000000"/>
                <w:sz w:val="20"/>
              </w:rPr>
            </w:pPr>
            <w:r>
              <w:rPr>
                <w:rFonts w:ascii="Times New Roman" w:hAnsi="Times New Roman"/>
                <w:b/>
                <w:color w:val="000000"/>
                <w:sz w:val="20"/>
              </w:rPr>
              <w:t>LeonaBio, Inc.</w:t>
            </w:r>
          </w:p>
        </w:tc>
      </w:tr>
      <w:tr>
        <w:trPr/>
        <w:tc>
          <w:tcPr>
            <w:tcW w:w="556" w:type="dxa"/>
            <w:tcBorders/>
            <w:tcMar>
              <w:top w:w="0" w:type="dxa"/>
              <w:left w:w="0" w:type="dxa"/>
              <w:bottom w:w="0" w:type="dxa"/>
              <w:right w:w="0" w:type="dxa"/>
            </w:tcMar>
            <w:vAlign w:val="center"/>
          </w:tcPr>
          <w:p>
            <w:pPr>
              <w:pStyle w:val="TableContents"/>
              <w:bidi w:val="0"/>
              <w:spacing w:before="40" w:after="40"/>
              <w:jc w:val="left"/>
              <w:rPr/>
            </w:pPr>
            <w:r>
              <w:rPr/>
              <w:t> </w:t>
            </w:r>
          </w:p>
        </w:tc>
        <w:tc>
          <w:tcPr>
            <w:tcW w:w="1246" w:type="dxa"/>
            <w:tcBorders/>
            <w:tcMar>
              <w:top w:w="0" w:type="dxa"/>
              <w:left w:w="0" w:type="dxa"/>
              <w:bottom w:w="0" w:type="dxa"/>
              <w:right w:w="0" w:type="dxa"/>
            </w:tcMar>
            <w:vAlign w:val="center"/>
          </w:tcPr>
          <w:p>
            <w:pPr>
              <w:pStyle w:val="TableContents"/>
              <w:bidi w:val="0"/>
              <w:spacing w:before="40" w:after="40"/>
              <w:jc w:val="left"/>
              <w:rPr/>
            </w:pPr>
            <w:r>
              <w:rPr/>
              <w:t> </w:t>
            </w:r>
          </w:p>
        </w:tc>
        <w:tc>
          <w:tcPr>
            <w:tcW w:w="406" w:type="dxa"/>
            <w:tcBorders/>
            <w:tcMar>
              <w:top w:w="0" w:type="dxa"/>
              <w:left w:w="0" w:type="dxa"/>
              <w:bottom w:w="0" w:type="dxa"/>
              <w:right w:w="0" w:type="dxa"/>
            </w:tcMar>
            <w:vAlign w:val="center"/>
          </w:tcPr>
          <w:p>
            <w:pPr>
              <w:pStyle w:val="TableContents"/>
              <w:bidi w:val="0"/>
              <w:spacing w:before="40" w:after="40"/>
              <w:jc w:val="left"/>
              <w:rPr/>
            </w:pPr>
            <w:r>
              <w:rPr/>
              <w:t> </w:t>
            </w:r>
          </w:p>
        </w:tc>
        <w:tc>
          <w:tcPr>
            <w:tcW w:w="3211"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40" w:after="40"/>
              <w:jc w:val="both"/>
              <w:rPr>
                <w:rFonts w:ascii="Times New Roman" w:hAnsi="Times New Roman"/>
                <w:color w:val="000000"/>
                <w:sz w:val="20"/>
              </w:rPr>
            </w:pPr>
            <w:r>
              <w:rPr>
                <w:rFonts w:ascii="Times New Roman" w:hAnsi="Times New Roman"/>
                <w:color w:val="000000"/>
                <w:sz w:val="20"/>
              </w:rPr>
              <w:t>June 23, 2026</w:t>
            </w:r>
          </w:p>
        </w:tc>
        <w:tc>
          <w:tcPr>
            <w:tcW w:w="40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8" w:space="0" w:color="000000"/>
            </w:tcBorders>
            <w:tcMar>
              <w:top w:w="0" w:type="dxa"/>
              <w:left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/s/ Mark Litton</w:t>
            </w:r>
          </w:p>
        </w:tc>
      </w:tr>
      <w:tr>
        <w:trPr/>
        <w:tc>
          <w:tcPr>
            <w:tcW w:w="556" w:type="dxa"/>
            <w:tcBorders/>
            <w:tcMar>
              <w:top w:w="0" w:type="dxa"/>
              <w:left w:w="0" w:type="dxa"/>
              <w:bottom w:w="0" w:type="dxa"/>
              <w:right w:w="0" w:type="dxa"/>
            </w:tcMar>
            <w:vAlign w:val="center"/>
          </w:tcPr>
          <w:p>
            <w:pPr>
              <w:pStyle w:val="TableContents"/>
              <w:bidi w:val="0"/>
              <w:spacing w:before="40" w:after="40"/>
              <w:jc w:val="left"/>
              <w:rPr/>
            </w:pPr>
            <w:r>
              <w:rPr/>
              <w:t> </w:t>
            </w:r>
          </w:p>
        </w:tc>
        <w:tc>
          <w:tcPr>
            <w:tcW w:w="1246" w:type="dxa"/>
            <w:tcBorders/>
            <w:tcMar>
              <w:top w:w="0" w:type="dxa"/>
              <w:left w:w="0" w:type="dxa"/>
              <w:bottom w:w="0" w:type="dxa"/>
              <w:right w:w="0" w:type="dxa"/>
            </w:tcMar>
            <w:vAlign w:val="center"/>
          </w:tcPr>
          <w:p>
            <w:pPr>
              <w:pStyle w:val="TableContents"/>
              <w:bidi w:val="0"/>
              <w:spacing w:before="40" w:after="40"/>
              <w:jc w:val="left"/>
              <w:rPr/>
            </w:pPr>
            <w:r>
              <w:rPr/>
              <w:t> </w:t>
            </w:r>
          </w:p>
        </w:tc>
        <w:tc>
          <w:tcPr>
            <w:tcW w:w="406" w:type="dxa"/>
            <w:tcBorders/>
            <w:tcMar>
              <w:top w:w="0" w:type="dxa"/>
              <w:left w:w="0" w:type="dxa"/>
              <w:bottom w:w="0" w:type="dxa"/>
              <w:right w:w="0" w:type="dxa"/>
            </w:tcMar>
            <w:vAlign w:val="center"/>
          </w:tcPr>
          <w:p>
            <w:pPr>
              <w:pStyle w:val="TableContents"/>
              <w:bidi w:val="0"/>
              <w:spacing w:before="40" w:after="40"/>
              <w:jc w:val="left"/>
              <w:rPr/>
            </w:pPr>
            <w:r>
              <w:rPr/>
              <w:t> </w:t>
            </w:r>
          </w:p>
        </w:tc>
        <w:tc>
          <w:tcPr>
            <w:tcW w:w="321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Mark Litton</w:t>
            </w:r>
          </w:p>
        </w:tc>
      </w:tr>
      <w:tr>
        <w:trPr/>
        <w:tc>
          <w:tcPr>
            <w:tcW w:w="556" w:type="dxa"/>
            <w:tcBorders/>
            <w:tcMar>
              <w:top w:w="0" w:type="dxa"/>
              <w:left w:w="0" w:type="dxa"/>
              <w:bottom w:w="0" w:type="dxa"/>
              <w:right w:w="0" w:type="dxa"/>
            </w:tcMar>
            <w:vAlign w:val="center"/>
          </w:tcPr>
          <w:p>
            <w:pPr>
              <w:pStyle w:val="TableContents"/>
              <w:bidi w:val="0"/>
              <w:spacing w:before="40" w:after="40"/>
              <w:jc w:val="left"/>
              <w:rPr/>
            </w:pPr>
            <w:r>
              <w:rPr/>
              <w:t> </w:t>
            </w:r>
          </w:p>
        </w:tc>
        <w:tc>
          <w:tcPr>
            <w:tcW w:w="1246" w:type="dxa"/>
            <w:tcBorders/>
            <w:tcMar>
              <w:top w:w="0" w:type="dxa"/>
              <w:left w:w="0" w:type="dxa"/>
              <w:bottom w:w="0" w:type="dxa"/>
              <w:right w:w="0" w:type="dxa"/>
            </w:tcMar>
            <w:vAlign w:val="center"/>
          </w:tcPr>
          <w:p>
            <w:pPr>
              <w:pStyle w:val="TableContents"/>
              <w:bidi w:val="0"/>
              <w:spacing w:before="40" w:after="40"/>
              <w:jc w:val="left"/>
              <w:rPr/>
            </w:pPr>
            <w:r>
              <w:rPr/>
              <w:t> </w:t>
            </w:r>
          </w:p>
        </w:tc>
        <w:tc>
          <w:tcPr>
            <w:tcW w:w="406" w:type="dxa"/>
            <w:tcBorders/>
            <w:tcMar>
              <w:top w:w="0" w:type="dxa"/>
              <w:left w:w="0" w:type="dxa"/>
              <w:bottom w:w="0" w:type="dxa"/>
              <w:right w:w="0" w:type="dxa"/>
            </w:tcMar>
            <w:vAlign w:val="center"/>
          </w:tcPr>
          <w:p>
            <w:pPr>
              <w:pStyle w:val="TableContents"/>
              <w:bidi w:val="0"/>
              <w:spacing w:before="40" w:after="40"/>
              <w:jc w:val="left"/>
              <w:rPr/>
            </w:pPr>
            <w:r>
              <w:rPr/>
              <w:t> </w:t>
            </w:r>
          </w:p>
        </w:tc>
        <w:tc>
          <w:tcPr>
            <w:tcW w:w="321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TextBody"/>
        <w:bidi w:val="0"/>
        <w:spacing w:before="20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860</Words>
  <Characters>4742</Characters>
  <CharactersWithSpaces>5612</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