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ha-20240221.htm"/>
      <w:bookmarkStart w:id="1" w:name="ksatha20240221"/>
      <w:bookmarkEnd w:id="0"/>
      <w:bookmarkEnd w:id="1"/>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bookmarkStart w:id="2" w:name="agm_results"/>
      <w:bookmarkEnd w:id="2"/>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February 21, 2024</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Athira Pharma,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001-39503</w:t>
            </w:r>
          </w:p>
        </w:tc>
        <w:tc>
          <w:tcPr>
            <w:tcW w:w="14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18706 North Creek Parkway, Suite 104</w:t>
        <w:br/>
        <w:t>Bothell, WA</w:t>
      </w:r>
      <w:r>
        <w:rPr>
          <w:rFonts w:ascii="Times New Roman" w:hAnsi="Times New Roman"/>
          <w:color w:val="000000"/>
          <w:sz w:val="20"/>
        </w:rPr>
        <w:t xml:space="preserve"> </w:t>
      </w:r>
      <w:r>
        <w:rPr>
          <w:rFonts w:ascii="Times New Roman" w:hAnsi="Times New Roman"/>
          <w:b/>
          <w:color w:val="000000"/>
          <w:sz w:val="20"/>
        </w:rPr>
        <w:t>98011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(425) 620-8501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ATHA</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 Stock Market LLC</w:t>
            </w:r>
            <w:r>
              <w:rPr>
                <w:rFonts w:ascii="Times New Roman" w:hAnsi="Times New Roman"/>
                <w:color w:val="000000"/>
                <w:sz w:val="20"/>
              </w:rPr>
              <w:t> </w:t>
            </w:r>
            <w:r>
              <w:rPr>
                <w:rFonts w:ascii="Times New Roman" w:hAnsi="Times New Roman"/>
                <w:color w:val="000000"/>
                <w:sz w:val="18"/>
              </w:rPr>
              <w:br/>
              <w:t>(The Nasdaq Global Select Market)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Layout w:type="fixed"/>
        <w:tblCellMar>
          <w:top w:w="28" w:type="dxa"/>
          <w:left w:w="28" w:type="dxa"/>
          <w:bottom w:w="28" w:type="dxa"/>
          <w:right w:w="28" w:type="dxa"/>
        </w:tblCellMar>
      </w:tblPr>
      <w:tblGrid>
        <w:gridCol w:w="240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22, 2024, Athira Pharma, Inc. (the “Company”) issued a press release reporting its financial results for the year ended December 31, 2023. A copy of the press release is furnished herewith as Exhibit 99.1.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Adoption of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21, 2024, the Board adopted the Athira Pharma, Inc. 2024 Inducement Equity Incentive Plan (the “Inducement Plan”) and, subject to the adjustment provisions of the Inducement Plan, reserved 750,000 shares of the Company’s common stock for issuance pursuant to equity awards granted under the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Inducement Plan was adopted without stockholder approval pursuant to Rule 5635(c)(4) of the Nasdaq Listing Rules. The Inducement Plan provides for the grant of equity-based awards, including nonstatutory stock options, restricted stock units, restricted stock, stock appreciation rights, performance shares and performance units, and its terms are substantially similar to the Company’s 2020 Equity Incentive Plan, including with respect to treatment of equity awards in the event of a “merger” or “change in control” as defined under the Inducement Plan, but with such other terms and conditions intended to comply with the Nasdaq inducement award exception or to comply with the Nasdaq acquisition and merger exception. However, the Company’s 2020 Equity Incentive Plan permits certain exchange programs (including repricings) without stockholder approval, while the Inducement Plan does not allow exchange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Rule 5635(c)(4)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copy of the Inducement Plan and related form agreements under the Inducement Plan are attached as Exhibit 10.1 hereto and incorporated by reference herein. The above description of the Inducement Plan does not purport to be complete and is qualified in its entirety by reference to such exhibit.</w:t>
      </w:r>
    </w:p>
    <w:p>
      <w:pPr>
        <w:pStyle w:val="TextBody"/>
        <w:bidi w:val="0"/>
        <w:spacing w:before="240" w:after="283"/>
        <w:jc w:val="left"/>
        <w:rPr>
          <w:rFonts w:ascii="Times New Roman" w:hAnsi="Times New Roman"/>
          <w:sz w:val="20"/>
        </w:rPr>
      </w:pPr>
      <w:r>
        <w:rPr>
          <w:rFonts w:ascii="Times New Roman" w:hAnsi="Times New Roman"/>
          <w:color w:val="000000"/>
          <w:sz w:val="20"/>
        </w:rPr>
        <w:t>I</w:t>
      </w:r>
      <w:r>
        <w:rPr>
          <w:rFonts w:ascii="Times New Roman" w:hAnsi="Times New Roman"/>
          <w:b/>
          <w:color w:val="000000"/>
          <w:sz w:val="20"/>
        </w:rPr>
        <w:t>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X account (formerly known as Twitter)(@athirapharma), LinkedIn account (www.linkedin.com/company/athirapharma), Instagram account (@athirapharma)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6808" w:type="dxa"/>
        <w:jc w:val="left"/>
        <w:tblInd w:w="0" w:type="dxa"/>
        <w:tblLayout w:type="fixed"/>
        <w:tblCellMar>
          <w:top w:w="28" w:type="dxa"/>
          <w:left w:w="28" w:type="dxa"/>
          <w:bottom w:w="28" w:type="dxa"/>
          <w:right w:w="28" w:type="dxa"/>
        </w:tblCellMar>
      </w:tblPr>
      <w:tblGrid>
        <w:gridCol w:w="946"/>
        <w:gridCol w:w="146"/>
        <w:gridCol w:w="571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1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6" w:type="dxa"/>
            <w:tcBorders/>
            <w:tcMar>
              <w:top w:w="0" w:type="dxa"/>
              <w:left w:w="0" w:type="dxa"/>
              <w:bottom w:w="0" w:type="dxa"/>
              <w:right w:w="0" w:type="dxa"/>
            </w:tcMar>
            <w:vAlign w:val="center"/>
          </w:tcPr>
          <w:p>
            <w:pPr>
              <w:pStyle w:val="TableContents"/>
              <w:bidi w:val="0"/>
              <w:spacing w:before="0" w:after="283"/>
              <w:jc w:val="both"/>
              <w:rPr/>
            </w:pPr>
            <w:hyperlink w:anchor="atha-ex10_1.htm">
              <w:r>
                <w:rPr>
                  <w:rStyle w:val="InternetLink"/>
                  <w:rFonts w:ascii="Times New Roman" w:hAnsi="Times New Roman"/>
                  <w:color w:val="0000FF"/>
                  <w:sz w:val="20"/>
                  <w:u w:val="single"/>
                </w:rPr>
                <w:t>2024 Inducement Equity Incentive Plan and related form agreements</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6" w:type="dxa"/>
            <w:tcBorders/>
            <w:tcMar>
              <w:top w:w="0" w:type="dxa"/>
              <w:left w:w="0" w:type="dxa"/>
              <w:bottom w:w="0" w:type="dxa"/>
              <w:right w:w="0" w:type="dxa"/>
            </w:tcMar>
            <w:vAlign w:val="center"/>
          </w:tcPr>
          <w:p>
            <w:pPr>
              <w:pStyle w:val="TableContents"/>
              <w:bidi w:val="0"/>
              <w:spacing w:before="0" w:after="283"/>
              <w:jc w:val="both"/>
              <w:rPr/>
            </w:pPr>
            <w:hyperlink w:anchor="atha-ex99_1.htm">
              <w:r>
                <w:rPr>
                  <w:rStyle w:val="InternetLink"/>
                  <w:rFonts w:ascii="Times New Roman" w:hAnsi="Times New Roman"/>
                  <w:color w:val="0000FF"/>
                  <w:sz w:val="20"/>
                  <w:u w:val="single"/>
                </w:rPr>
                <w:t>Athira Pharma, Inc. press release dated February 22, 2024</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information furnished in this Current Report under Items 2.02 and 7.01 and exhibit 99.1 attached hereto shall not be deemed “filed” for purposes of Section 18 of the Securities Exchange Act of 1934, as amended (the “Exchange Act”), or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incorporated by reference in any filing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764" w:type="dxa"/>
        <w:jc w:val="left"/>
        <w:tblInd w:w="0" w:type="dxa"/>
        <w:tblLayout w:type="fixed"/>
        <w:tblCellMar>
          <w:top w:w="28" w:type="dxa"/>
          <w:left w:w="28" w:type="dxa"/>
          <w:bottom w:w="28" w:type="dxa"/>
          <w:right w:w="28" w:type="dxa"/>
        </w:tblCellMar>
      </w:tblPr>
      <w:tblGrid>
        <w:gridCol w:w="556"/>
        <w:gridCol w:w="1591"/>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Athira Pharma,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February 22, 2024</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 w:name="atha-ex10_1.htm"/>
      <w:bookmarkStart w:id="4" w:name="ksathaex10_1"/>
      <w:bookmarkEnd w:id="3"/>
      <w:bookmarkEnd w:id="4"/>
      <w:r>
        <w:rPr>
          <w:rFonts w:ascii="Times New Roman" w:hAnsi="Times New Roman"/>
          <w:b/>
          <w:color w:val="000000"/>
          <w:sz w:val="24"/>
        </w:rPr>
        <w:t>Exhibit 10.1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Purposes of the Plan</w:t>
      </w:r>
      <w:r>
        <w:rPr>
          <w:rFonts w:ascii="Times New Roman" w:hAnsi="Times New Roman"/>
          <w:color w:val="000000"/>
          <w:sz w:val="24"/>
        </w:rPr>
        <w:t xml:space="preserve">. The purposes of this Plan are to attract and retain the best available personnel for positions of substantial responsibility by providing an inducement material to individuals entering into employment with the Company or any Parent or Subsidiary of the Company. </w:t>
      </w:r>
    </w:p>
    <w:p>
      <w:pPr>
        <w:pStyle w:val="TextBody"/>
        <w:bidi w:val="0"/>
        <w:spacing w:before="240" w:after="283"/>
        <w:jc w:val="both"/>
        <w:rPr>
          <w:rFonts w:ascii="Times New Roman" w:hAnsi="Times New Roman"/>
          <w:sz w:val="20"/>
        </w:rPr>
      </w:pPr>
      <w:r>
        <w:rPr>
          <w:rFonts w:ascii="Times New Roman" w:hAnsi="Times New Roman"/>
          <w:color w:val="000000"/>
          <w:sz w:val="24"/>
        </w:rPr>
        <w:t>The Plan permits the grant of Nonstatutory Stock Options, Stock Appreciation Rights, Restricted Stock, Restricted Stock Units and Performance Awards. Each Award under the Plan is intended to qualify as an employment inducement award under Nasdaq Listing Rule 5635(c)(4), the official regulations and other official interpretive material and guidance issued under such rule (together, the “</w:t>
      </w:r>
      <w:r>
        <w:rPr>
          <w:rFonts w:ascii="Times New Roman" w:hAnsi="Times New Roman"/>
          <w:color w:val="000000"/>
          <w:sz w:val="24"/>
          <w:u w:val="single"/>
        </w:rPr>
        <w:t>Inducement Listing Rules</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As used herein, the following definitions will apply: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left"/>
        <w:rPr/>
      </w:pPr>
      <w:r>
        <w:rPr>
          <w:color w:val="000000"/>
        </w:rPr>
        <w:t>“</w:t>
      </w:r>
      <w:r>
        <w:rPr>
          <w:rFonts w:ascii="Times New Roman" w:hAnsi="Times New Roman"/>
          <w:color w:val="000000"/>
          <w:sz w:val="24"/>
          <w:u w:val="single"/>
        </w:rPr>
        <w:t>Administrator</w:t>
      </w:r>
      <w:r>
        <w:rPr>
          <w:color w:val="000000"/>
        </w:rPr>
        <w:t xml:space="preserve">” </w:t>
      </w:r>
      <w:r>
        <w:rPr>
          <w:rFonts w:ascii="Times New Roman" w:hAnsi="Times New Roman"/>
          <w:color w:val="000000"/>
          <w:sz w:val="24"/>
        </w:rPr>
        <w:t>means the Board or any of its Committees as will be administering the Plan, in accordance with Section 4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color w:val="000000"/>
        </w:rPr>
        <w:t>“</w:t>
      </w:r>
      <w:r>
        <w:rPr>
          <w:rFonts w:ascii="Times New Roman" w:hAnsi="Times New Roman"/>
          <w:color w:val="000000"/>
          <w:sz w:val="24"/>
          <w:u w:val="single"/>
        </w:rPr>
        <w:t>Applicable Laws</w:t>
      </w:r>
      <w:r>
        <w:rPr>
          <w:color w:val="000000"/>
        </w:rPr>
        <w:t xml:space="preserve">” </w:t>
      </w:r>
      <w:r>
        <w:rPr>
          <w:rFonts w:ascii="Times New Roman" w:hAnsi="Times New Roman"/>
          <w:color w:val="000000"/>
          <w:sz w:val="24"/>
        </w:rPr>
        <w:t>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color w:val="000000"/>
        </w:rPr>
        <w:t>“</w:t>
      </w:r>
      <w:r>
        <w:rPr>
          <w:rFonts w:ascii="Times New Roman" w:hAnsi="Times New Roman"/>
          <w:color w:val="000000"/>
          <w:sz w:val="24"/>
          <w:u w:val="single"/>
        </w:rPr>
        <w:t>Award</w:t>
      </w:r>
      <w:r>
        <w:rPr>
          <w:color w:val="000000"/>
        </w:rPr>
        <w:t xml:space="preserve">” </w:t>
      </w:r>
      <w:r>
        <w:rPr>
          <w:rFonts w:ascii="Times New Roman" w:hAnsi="Times New Roman"/>
          <w:color w:val="000000"/>
          <w:sz w:val="24"/>
        </w:rPr>
        <w:t>means, individually or collectively, a grant under the Plan of Options, Stock Appreciation Rights, Restricted Stock, Restricted Stock Units, or Performance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color w:val="000000"/>
        </w:rPr>
        <w:t>“</w:t>
      </w:r>
      <w:r>
        <w:rPr>
          <w:rFonts w:ascii="Times New Roman" w:hAnsi="Times New Roman"/>
          <w:color w:val="000000"/>
          <w:sz w:val="24"/>
          <w:u w:val="single"/>
        </w:rPr>
        <w:t>Award Agreement</w:t>
      </w:r>
      <w:r>
        <w:rPr>
          <w:color w:val="000000"/>
        </w:rPr>
        <w:t xml:space="preserve">” </w:t>
      </w:r>
      <w:r>
        <w:rPr>
          <w:rFonts w:ascii="Times New Roman" w:hAnsi="Times New Roman"/>
          <w:color w:val="000000"/>
          <w:sz w:val="24"/>
        </w:rPr>
        <w:t>means the written or electronic agreement setting forth the terms and provisions applicable to each Award granted under the Plan. The Award Agreement is subject to the terms and conditions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Change in Ownership of the Company</w:t>
      </w:r>
      <w:r>
        <w:rPr>
          <w:rFonts w:ascii="Times New Roman" w:hAnsi="Times New Roman"/>
          <w:color w:val="000000"/>
          <w:sz w:val="24"/>
        </w:rPr>
        <w:t>. A change in the ownership of the Company</w:t>
      </w:r>
      <w:r>
        <w:rPr>
          <w:color w:val="000000"/>
        </w:rPr>
        <w:t xml:space="preserve"> </w:t>
      </w:r>
      <w:r>
        <w:rPr>
          <w:rFonts w:ascii="Times New Roman" w:hAnsi="Times New Roman"/>
          <w:color w:val="000000"/>
          <w:sz w:val="24"/>
        </w:rPr>
        <w:t>which occurs on the date that any one person, or more than one person acting as a group (“</w:t>
      </w:r>
      <w:r>
        <w:rPr>
          <w:rFonts w:ascii="Times New Roman" w:hAnsi="Times New Roman"/>
          <w:color w:val="000000"/>
          <w:sz w:val="24"/>
          <w:u w:val="single"/>
        </w:rPr>
        <w:t>Person</w:t>
      </w:r>
      <w:r>
        <w:rPr>
          <w:color w:val="000000"/>
        </w:rPr>
        <w:t>”</w:t>
      </w:r>
      <w:r>
        <w:rPr>
          <w:rFonts w:ascii="Times New Roman" w:hAnsi="Times New Roman"/>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Section 2.6,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 transaction will not be deemed a Change in Control unless the transaction qualifies as a change in control event within the meaning of Code Section 409A.</w:t>
      </w:r>
    </w:p>
    <w:p>
      <w:pPr>
        <w:pStyle w:val="TextBody"/>
        <w:bidi w:val="0"/>
        <w:spacing w:before="240" w:after="283"/>
        <w:jc w:val="both"/>
        <w:rPr>
          <w:rFonts w:ascii="Times New Roman" w:hAnsi="Times New Roman"/>
          <w:sz w:val="20"/>
        </w:rPr>
      </w:pPr>
      <w:r>
        <w:rPr>
          <w:rFonts w:ascii="Times New Roman" w:hAnsi="Times New Roman"/>
          <w:color w:val="000000"/>
          <w:sz w:val="24"/>
        </w:rPr>
        <w:t>Further and for the avoidance of doubt, a transaction will not constitute a Change in Control if: (x) its primary purpose is to change the jurisdiction of the Company’s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incorporation, or (y) its primary purpose is to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both"/>
        <w:rPr/>
      </w:pPr>
      <w:r>
        <w:rPr>
          <w:color w:val="000000"/>
        </w:rPr>
        <w:t>“</w:t>
      </w:r>
      <w:r>
        <w:rPr>
          <w:rFonts w:ascii="Times New Roman" w:hAnsi="Times New Roman"/>
          <w:color w:val="000000"/>
          <w:sz w:val="24"/>
          <w:u w:val="single"/>
        </w:rPr>
        <w:t>Committee</w:t>
      </w:r>
      <w:r>
        <w:rPr>
          <w:color w:val="000000"/>
        </w:rPr>
        <w:t xml:space="preserve">” </w:t>
      </w:r>
      <w:r>
        <w:rPr>
          <w:rFonts w:ascii="Times New Roman" w:hAnsi="Times New Roman"/>
          <w:color w:val="000000"/>
          <w:sz w:val="24"/>
        </w:rPr>
        <w:t>means a committee of Directors or of other individuals satisfying Applicable Laws appointed by the Board, or by a duly authorized committee of the Board, in accordance with Section 4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both"/>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2.10</w:t>
      </w:r>
    </w:p>
    <w:p>
      <w:pPr>
        <w:pStyle w:val="TextBody"/>
        <w:bidi w:val="0"/>
        <w:spacing w:before="240" w:after="283"/>
        <w:jc w:val="both"/>
        <w:rPr/>
      </w:pPr>
      <w:r>
        <w:rPr>
          <w:color w:val="000000"/>
        </w:rPr>
        <w:t>“</w:t>
      </w:r>
      <w:r>
        <w:rPr>
          <w:rFonts w:ascii="Times New Roman" w:hAnsi="Times New Roman"/>
          <w:color w:val="000000"/>
          <w:sz w:val="24"/>
          <w:u w:val="single"/>
        </w:rPr>
        <w:t>Company</w:t>
      </w:r>
      <w:r>
        <w:rPr>
          <w:color w:val="000000"/>
        </w:rPr>
        <w:t xml:space="preserve">” </w:t>
      </w:r>
      <w:r>
        <w:rPr>
          <w:rFonts w:ascii="Times New Roman" w:hAnsi="Times New Roman"/>
          <w:color w:val="000000"/>
          <w:sz w:val="24"/>
        </w:rPr>
        <w:t>means Athira Pharma, Inc., a</w:t>
      </w:r>
      <w:r>
        <w:rPr>
          <w:color w:val="000000"/>
        </w:rPr>
        <w:t xml:space="preserve"> </w:t>
      </w:r>
      <w:r>
        <w:rPr>
          <w:rFonts w:ascii="Times New Roman" w:hAnsi="Times New Roman"/>
          <w:color w:val="000000"/>
          <w:sz w:val="24"/>
        </w:rPr>
        <w:t>Delaware corporation, or any successor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both"/>
        <w:rPr/>
      </w:pPr>
      <w:r>
        <w:rPr>
          <w:color w:val="000000"/>
        </w:rPr>
        <w:t>“</w:t>
      </w:r>
      <w:r>
        <w:rPr>
          <w:rFonts w:ascii="Times New Roman" w:hAnsi="Times New Roman"/>
          <w:color w:val="000000"/>
          <w:sz w:val="24"/>
          <w:u w:val="single"/>
        </w:rPr>
        <w:t>Consultant</w:t>
      </w:r>
      <w:r>
        <w:rPr>
          <w:color w:val="000000"/>
        </w:rPr>
        <w:t xml:space="preserve">” </w:t>
      </w:r>
      <w:r>
        <w:rPr>
          <w:rFonts w:ascii="Times New Roman" w:hAnsi="Times New Roman"/>
          <w:color w:val="000000"/>
          <w:sz w:val="24"/>
        </w:rPr>
        <w:t>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both"/>
        <w:rPr/>
      </w:pPr>
      <w:r>
        <w:rPr>
          <w:color w:val="000000"/>
        </w:rPr>
        <w:t>“</w:t>
      </w:r>
      <w:r>
        <w:rPr>
          <w:rFonts w:ascii="Times New Roman" w:hAnsi="Times New Roman"/>
          <w:color w:val="000000"/>
          <w:sz w:val="24"/>
          <w:u w:val="single"/>
        </w:rPr>
        <w:t>Director</w:t>
      </w:r>
      <w:r>
        <w:rPr>
          <w:color w:val="000000"/>
        </w:rPr>
        <w:t xml:space="preserve">” </w:t>
      </w:r>
      <w:r>
        <w:rPr>
          <w:rFonts w:ascii="Times New Roman" w:hAnsi="Times New Roman"/>
          <w:color w:val="000000"/>
          <w:sz w:val="24"/>
        </w:rPr>
        <w:t>means a member of the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2.13</w:t>
      </w:r>
    </w:p>
    <w:p>
      <w:pPr>
        <w:pStyle w:val="TextBody"/>
        <w:bidi w:val="0"/>
        <w:spacing w:before="240" w:after="283"/>
        <w:jc w:val="both"/>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 xml:space="preserve">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2.14</w:t>
      </w:r>
    </w:p>
    <w:p>
      <w:pPr>
        <w:pStyle w:val="TextBody"/>
        <w:bidi w:val="0"/>
        <w:spacing w:before="240" w:after="283"/>
        <w:jc w:val="both"/>
        <w:rPr/>
      </w:pPr>
      <w:r>
        <w:rPr>
          <w:color w:val="000000"/>
        </w:rPr>
        <w:t>“</w:t>
      </w:r>
      <w:r>
        <w:rPr>
          <w:rFonts w:ascii="Times New Roman" w:hAnsi="Times New Roman"/>
          <w:color w:val="000000"/>
          <w:sz w:val="24"/>
          <w:u w:val="single"/>
        </w:rPr>
        <w:t>Employee</w:t>
      </w:r>
      <w:r>
        <w:rPr>
          <w:color w:val="000000"/>
        </w:rPr>
        <w:t xml:space="preserve">” </w:t>
      </w:r>
      <w:r>
        <w:rPr>
          <w:rFonts w:ascii="Times New Roman" w:hAnsi="Times New Roman"/>
          <w:color w:val="000000"/>
          <w:sz w:val="24"/>
        </w:rPr>
        <w:t>means any person, including Officers and Directors, employed by the Company or any Parent or Subsidiary of the Company. Neither service as a Director nor payment of a director’s fee by the Company will be sufficient to constitute “employment” by the Company. However, for the avoidance of doubt, although a person who is an Employee also may be a Director, a person who already is serving as a Director prior to becoming an Employee will not be eligible to be granted an Award under the Plan unless permitted under the Inducement Listing Rules.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2.15</w:t>
      </w:r>
    </w:p>
    <w:p>
      <w:pPr>
        <w:pStyle w:val="TextBody"/>
        <w:bidi w:val="0"/>
        <w:spacing w:before="240" w:after="283"/>
        <w:jc w:val="both"/>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2.16</w:t>
      </w:r>
    </w:p>
    <w:p>
      <w:pPr>
        <w:pStyle w:val="TextBody"/>
        <w:bidi w:val="0"/>
        <w:spacing w:before="240" w:after="283"/>
        <w:jc w:val="both"/>
        <w:rPr/>
      </w:pPr>
      <w:r>
        <w:rPr>
          <w:color w:val="000000"/>
        </w:rPr>
        <w:t>“</w:t>
      </w:r>
      <w:r>
        <w:rPr>
          <w:rFonts w:ascii="Times New Roman" w:hAnsi="Times New Roman"/>
          <w:color w:val="000000"/>
          <w:sz w:val="24"/>
          <w:u w:val="single"/>
        </w:rPr>
        <w:t>Exchange Program</w:t>
      </w:r>
      <w:r>
        <w:rPr>
          <w:color w:val="000000"/>
        </w:rPr>
        <w:t xml:space="preserve">” </w:t>
      </w:r>
      <w:r>
        <w:rPr>
          <w:rFonts w:ascii="Times New Roman" w:hAnsi="Times New Roman"/>
          <w:color w:val="000000"/>
          <w:sz w:val="24"/>
        </w:rPr>
        <w:t>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Pursuant to the provisions of Section 4.3, the Administrator may not institute an Exchange Program.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2.17</w:t>
      </w:r>
    </w:p>
    <w:p>
      <w:pPr>
        <w:pStyle w:val="TextBody"/>
        <w:bidi w:val="0"/>
        <w:spacing w:before="240" w:after="283"/>
        <w:jc w:val="both"/>
        <w:rPr/>
      </w:pPr>
      <w:r>
        <w:rPr>
          <w:color w:val="000000"/>
        </w:rPr>
        <w:t>“</w:t>
      </w:r>
      <w:r>
        <w:rPr>
          <w:rFonts w:ascii="Times New Roman" w:hAnsi="Times New Roman"/>
          <w:color w:val="000000"/>
          <w:sz w:val="24"/>
          <w:u w:val="single"/>
        </w:rPr>
        <w:t>Fair Market Value</w:t>
      </w:r>
      <w:r>
        <w:rPr>
          <w:color w:val="000000"/>
        </w:rPr>
        <w:t xml:space="preserve">” </w:t>
      </w:r>
      <w:r>
        <w:rPr>
          <w:rFonts w:ascii="Times New Roman" w:hAnsi="Times New Roman"/>
          <w:color w:val="000000"/>
          <w:sz w:val="24"/>
        </w:rPr>
        <w:t>means, as of any date and unless the Administrator determines otherwise, the value of Common Stock determined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absence of an established market for the Common Stock, the Fair Market Value will be determined in good faith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2.18</w:t>
      </w:r>
    </w:p>
    <w:p>
      <w:pPr>
        <w:pStyle w:val="TextBody"/>
        <w:bidi w:val="0"/>
        <w:spacing w:before="240" w:after="283"/>
        <w:jc w:val="both"/>
        <w:rPr/>
      </w:pPr>
      <w:r>
        <w:rPr>
          <w:color w:val="000000"/>
        </w:rPr>
        <w:t>“</w:t>
      </w:r>
      <w:r>
        <w:rPr>
          <w:rFonts w:ascii="Times New Roman" w:hAnsi="Times New Roman"/>
          <w:color w:val="000000"/>
          <w:sz w:val="24"/>
          <w:u w:val="single"/>
        </w:rPr>
        <w:t>Fiscal Year</w:t>
      </w:r>
      <w:r>
        <w:rPr>
          <w:color w:val="000000"/>
        </w:rPr>
        <w:t xml:space="preserve">” </w:t>
      </w:r>
      <w:r>
        <w:rPr>
          <w:rFonts w:ascii="Times New Roman" w:hAnsi="Times New Roman"/>
          <w:color w:val="000000"/>
          <w:sz w:val="24"/>
        </w:rPr>
        <w:t>means the fiscal year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2.19</w:t>
      </w:r>
    </w:p>
    <w:p>
      <w:pPr>
        <w:pStyle w:val="TextBody"/>
        <w:bidi w:val="0"/>
        <w:spacing w:before="240" w:after="283"/>
        <w:jc w:val="both"/>
        <w:rPr/>
      </w:pPr>
      <w:r>
        <w:rPr>
          <w:color w:val="000000"/>
        </w:rPr>
        <w:t>“</w:t>
      </w:r>
      <w:r>
        <w:rPr>
          <w:rFonts w:ascii="Times New Roman" w:hAnsi="Times New Roman"/>
          <w:color w:val="000000"/>
          <w:sz w:val="24"/>
          <w:u w:val="single"/>
        </w:rPr>
        <w:t>Incentive Stock Option</w:t>
      </w:r>
      <w:r>
        <w:rPr>
          <w:color w:val="000000"/>
        </w:rPr>
        <w:t xml:space="preserve">” </w:t>
      </w:r>
      <w:r>
        <w:rPr>
          <w:rFonts w:ascii="Times New Roman" w:hAnsi="Times New Roman"/>
          <w:color w:val="000000"/>
          <w:sz w:val="24"/>
        </w:rPr>
        <w:t>means an Option that by its terms qualifies and is otherwise intended to qualify as an incentive stock option within the meaning of Code Section 422 and the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2.20</w:t>
      </w:r>
    </w:p>
    <w:p>
      <w:pPr>
        <w:pStyle w:val="TextBody"/>
        <w:bidi w:val="0"/>
        <w:spacing w:before="240" w:after="283"/>
        <w:jc w:val="both"/>
        <w:rPr/>
      </w:pPr>
      <w:r>
        <w:rPr>
          <w:color w:val="000000"/>
        </w:rPr>
        <w:t>“</w:t>
      </w:r>
      <w:r>
        <w:rPr>
          <w:rFonts w:ascii="Times New Roman" w:hAnsi="Times New Roman"/>
          <w:color w:val="000000"/>
          <w:sz w:val="24"/>
          <w:u w:val="single"/>
        </w:rPr>
        <w:t>Nonstatutory Stock Option</w:t>
      </w:r>
      <w:r>
        <w:rPr>
          <w:color w:val="000000"/>
        </w:rPr>
        <w:t xml:space="preserve">” </w:t>
      </w:r>
      <w:r>
        <w:rPr>
          <w:rFonts w:ascii="Times New Roman" w:hAnsi="Times New Roman"/>
          <w:color w:val="000000"/>
          <w:sz w:val="24"/>
        </w:rPr>
        <w:t>means an Option that by its terms does not qualify or is not intended to qualify as an Incentive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w:t>
      </w:r>
    </w:p>
    <w:p>
      <w:pPr>
        <w:pStyle w:val="TextBody"/>
        <w:bidi w:val="0"/>
        <w:spacing w:before="240" w:after="283"/>
        <w:jc w:val="both"/>
        <w:rPr/>
      </w:pPr>
      <w:r>
        <w:rPr>
          <w:color w:val="000000"/>
        </w:rPr>
        <w:t>“</w:t>
      </w:r>
      <w:r>
        <w:rPr>
          <w:rFonts w:ascii="Times New Roman" w:hAnsi="Times New Roman"/>
          <w:color w:val="000000"/>
          <w:sz w:val="24"/>
          <w:u w:val="single"/>
        </w:rPr>
        <w:t>Officer</w:t>
      </w:r>
      <w:r>
        <w:rPr>
          <w:color w:val="000000"/>
        </w:rPr>
        <w:t xml:space="preserve">” </w:t>
      </w:r>
      <w:r>
        <w:rPr>
          <w:rFonts w:ascii="Times New Roman" w:hAnsi="Times New Roman"/>
          <w:color w:val="000000"/>
          <w:sz w:val="24"/>
        </w:rPr>
        <w:t xml:space="preserve">means a person who is an officer of the Company within the meaning of Section 16 of the Exchange Act and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w:t>
      </w:r>
    </w:p>
    <w:p>
      <w:pPr>
        <w:pStyle w:val="TextBody"/>
        <w:bidi w:val="0"/>
        <w:spacing w:before="240" w:after="283"/>
        <w:jc w:val="both"/>
        <w:rPr/>
      </w:pPr>
      <w:r>
        <w:rPr>
          <w:color w:val="000000"/>
        </w:rPr>
        <w:t>“</w:t>
      </w:r>
      <w:r>
        <w:rPr>
          <w:rFonts w:ascii="Times New Roman" w:hAnsi="Times New Roman"/>
          <w:color w:val="000000"/>
          <w:sz w:val="24"/>
          <w:u w:val="single"/>
        </w:rPr>
        <w:t>Option</w:t>
      </w:r>
      <w:r>
        <w:rPr>
          <w:color w:val="000000"/>
        </w:rPr>
        <w:t xml:space="preserve">” </w:t>
      </w:r>
      <w:r>
        <w:rPr>
          <w:rFonts w:ascii="Times New Roman" w:hAnsi="Times New Roman"/>
          <w:color w:val="000000"/>
          <w:sz w:val="24"/>
        </w:rPr>
        <w:t>means a stock option granted pursuant to the Plan. All Options granted under the Plan will be Nonstatutory Stock Options.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w:t>
      </w:r>
    </w:p>
    <w:p>
      <w:pPr>
        <w:pStyle w:val="TextBody"/>
        <w:bidi w:val="0"/>
        <w:spacing w:before="240" w:after="283"/>
        <w:jc w:val="both"/>
        <w:rPr/>
      </w:pPr>
      <w:r>
        <w:rPr>
          <w:color w:val="000000"/>
        </w:rPr>
        <w:t>“</w:t>
      </w:r>
      <w:r>
        <w:rPr>
          <w:rFonts w:ascii="Times New Roman" w:hAnsi="Times New Roman"/>
          <w:color w:val="000000"/>
          <w:sz w:val="24"/>
          <w:u w:val="single"/>
        </w:rPr>
        <w:t>Parent</w:t>
      </w:r>
      <w:r>
        <w:rPr>
          <w:color w:val="000000"/>
        </w:rPr>
        <w:t xml:space="preserve">” </w:t>
      </w:r>
      <w:r>
        <w:rPr>
          <w:rFonts w:ascii="Times New Roman" w:hAnsi="Times New Roman"/>
          <w:color w:val="000000"/>
          <w:sz w:val="24"/>
        </w:rPr>
        <w:t>means a “parent corporation,” whether now or hereafter existing, as defined in Code Section 424(e).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w:t>
      </w:r>
    </w:p>
    <w:p>
      <w:pPr>
        <w:pStyle w:val="TextBody"/>
        <w:bidi w:val="0"/>
        <w:spacing w:before="240" w:after="283"/>
        <w:jc w:val="both"/>
        <w:rPr/>
      </w:pPr>
      <w:r>
        <w:rPr>
          <w:color w:val="000000"/>
        </w:rPr>
        <w:t>“</w:t>
      </w:r>
      <w:r>
        <w:rPr>
          <w:rFonts w:ascii="Times New Roman" w:hAnsi="Times New Roman"/>
          <w:color w:val="000000"/>
          <w:sz w:val="24"/>
          <w:u w:val="single"/>
        </w:rPr>
        <w:t>Participant</w:t>
      </w:r>
      <w:r>
        <w:rPr>
          <w:color w:val="000000"/>
        </w:rPr>
        <w:t xml:space="preserve">” </w:t>
      </w:r>
      <w:r>
        <w:rPr>
          <w:rFonts w:ascii="Times New Roman" w:hAnsi="Times New Roman"/>
          <w:color w:val="000000"/>
          <w:sz w:val="24"/>
        </w:rPr>
        <w:t>means the holder of an outstanding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Performance Awards</w:t>
      </w:r>
      <w:r>
        <w:rPr>
          <w:color w:val="000000"/>
        </w:rPr>
        <w:t xml:space="preserve">” </w:t>
      </w:r>
      <w:bookmarkStart w:id="5" w:name="ole_link3"/>
      <w:bookmarkEnd w:id="5"/>
      <w:r>
        <w:rPr>
          <w:rFonts w:ascii="Times New Roman" w:hAnsi="Times New Roman"/>
          <w:color w:val="000000"/>
          <w:sz w:val="24"/>
        </w:rPr>
        <w:t>means an Award which may be earned in whole or in part upon attainment of performance goals</w:t>
      </w:r>
      <w:r>
        <w:rPr>
          <w:color w:val="000000"/>
        </w:rPr>
        <w:t xml:space="preserve"> </w:t>
      </w:r>
      <w:r>
        <w:rPr>
          <w:rFonts w:ascii="Times New Roman" w:hAnsi="Times New Roman"/>
          <w:color w:val="000000"/>
          <w:sz w:val="24"/>
        </w:rPr>
        <w:t>or other vesting criteria as the Administrator may determine and which may be cash- or stock-denominated and may be settled for cash, Shares or other securities or a combination of the foregoing under Section 10.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2.26</w:t>
      </w:r>
    </w:p>
    <w:p>
      <w:pPr>
        <w:pStyle w:val="TextBody"/>
        <w:bidi w:val="0"/>
        <w:spacing w:before="240" w:after="283"/>
        <w:jc w:val="both"/>
        <w:rPr/>
      </w:pPr>
      <w:r>
        <w:rPr>
          <w:color w:val="000000"/>
        </w:rPr>
        <w:t>“</w:t>
      </w:r>
      <w:r>
        <w:rPr>
          <w:rFonts w:ascii="Times New Roman" w:hAnsi="Times New Roman"/>
          <w:color w:val="000000"/>
          <w:sz w:val="24"/>
          <w:u w:val="single"/>
        </w:rPr>
        <w:t>Performance Period</w:t>
      </w:r>
      <w:r>
        <w:rPr>
          <w:color w:val="000000"/>
        </w:rPr>
        <w:t xml:space="preserve">” </w:t>
      </w:r>
      <w:r>
        <w:rPr>
          <w:rFonts w:ascii="Times New Roman" w:hAnsi="Times New Roman"/>
          <w:color w:val="000000"/>
          <w:sz w:val="24"/>
        </w:rPr>
        <w:t>means Performance Period as defined in Section 10.2.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2.27</w:t>
      </w:r>
    </w:p>
    <w:p>
      <w:pPr>
        <w:pStyle w:val="TextBody"/>
        <w:bidi w:val="0"/>
        <w:spacing w:before="240" w:after="283"/>
        <w:jc w:val="both"/>
        <w:rPr/>
      </w:pPr>
      <w:r>
        <w:rPr>
          <w:color w:val="000000"/>
        </w:rPr>
        <w:t>“</w:t>
      </w:r>
      <w:r>
        <w:rPr>
          <w:rFonts w:ascii="Times New Roman" w:hAnsi="Times New Roman"/>
          <w:color w:val="000000"/>
          <w:sz w:val="24"/>
          <w:u w:val="single"/>
        </w:rPr>
        <w:t>Period of Restriction</w:t>
      </w:r>
      <w:r>
        <w:rPr>
          <w:color w:val="000000"/>
        </w:rPr>
        <w:t xml:space="preserve">” </w:t>
      </w:r>
      <w:r>
        <w:rPr>
          <w:rFonts w:ascii="Times New Roman" w:hAnsi="Times New Roman"/>
          <w:color w:val="000000"/>
          <w:sz w:val="24"/>
        </w:rPr>
        <w:t>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w:t>
      </w:r>
    </w:p>
    <w:p>
      <w:pPr>
        <w:pStyle w:val="TextBody"/>
        <w:bidi w:val="0"/>
        <w:spacing w:before="240" w:after="283"/>
        <w:jc w:val="both"/>
        <w:rPr/>
      </w:pPr>
      <w:r>
        <w:rPr>
          <w:color w:val="000000"/>
        </w:rPr>
        <w:t>“</w:t>
      </w:r>
      <w:r>
        <w:rPr>
          <w:rFonts w:ascii="Times New Roman" w:hAnsi="Times New Roman"/>
          <w:color w:val="000000"/>
          <w:sz w:val="24"/>
          <w:u w:val="single"/>
        </w:rPr>
        <w:t>Plan</w:t>
      </w:r>
      <w:r>
        <w:rPr>
          <w:color w:val="000000"/>
        </w:rPr>
        <w:t xml:space="preserve">” </w:t>
      </w:r>
      <w:r>
        <w:rPr>
          <w:rFonts w:ascii="Times New Roman" w:hAnsi="Times New Roman"/>
          <w:color w:val="000000"/>
          <w:sz w:val="24"/>
        </w:rPr>
        <w:t>means this 2024 Inducement Equity Incentive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2.29</w:t>
      </w:r>
    </w:p>
    <w:p>
      <w:pPr>
        <w:pStyle w:val="TextBody"/>
        <w:bidi w:val="0"/>
        <w:spacing w:before="240" w:after="283"/>
        <w:jc w:val="both"/>
        <w:rPr/>
      </w:pPr>
      <w:r>
        <w:rPr>
          <w:color w:val="000000"/>
        </w:rPr>
        <w:t>“</w:t>
      </w:r>
      <w:r>
        <w:rPr>
          <w:rFonts w:ascii="Times New Roman" w:hAnsi="Times New Roman"/>
          <w:color w:val="000000"/>
          <w:sz w:val="24"/>
          <w:u w:val="single"/>
        </w:rPr>
        <w:t>Restricted Stock</w:t>
      </w:r>
      <w:r>
        <w:rPr>
          <w:color w:val="000000"/>
        </w:rPr>
        <w:t xml:space="preserve">” </w:t>
      </w:r>
      <w:r>
        <w:rPr>
          <w:rFonts w:ascii="Times New Roman" w:hAnsi="Times New Roman"/>
          <w:color w:val="000000"/>
          <w:sz w:val="24"/>
        </w:rPr>
        <w:t>means Shares issued pursuant to an Award of Restricted Stock under Section 8 of the Plan, or issued pursuant to the early exercise of an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2.30</w:t>
      </w:r>
    </w:p>
    <w:p>
      <w:pPr>
        <w:pStyle w:val="TextBody"/>
        <w:bidi w:val="0"/>
        <w:spacing w:before="240" w:after="283"/>
        <w:jc w:val="both"/>
        <w:rPr/>
      </w:pPr>
      <w:r>
        <w:rPr>
          <w:color w:val="000000"/>
        </w:rPr>
        <w:t>“</w:t>
      </w:r>
      <w:r>
        <w:rPr>
          <w:rFonts w:ascii="Times New Roman" w:hAnsi="Times New Roman"/>
          <w:color w:val="000000"/>
          <w:sz w:val="24"/>
          <w:u w:val="single"/>
        </w:rPr>
        <w:t>Restricted Stock Unit</w:t>
      </w:r>
      <w:r>
        <w:rPr>
          <w:color w:val="000000"/>
        </w:rPr>
        <w:t xml:space="preserve">” </w:t>
      </w:r>
      <w:r>
        <w:rPr>
          <w:rFonts w:ascii="Times New Roman" w:hAnsi="Times New Roman"/>
          <w:color w:val="000000"/>
          <w:sz w:val="24"/>
        </w:rPr>
        <w:t>means a bookkeeping entry representing an amount equal to the Fair Market Value of one Share, granted pursuant to Section 9. Each Restricted Stock Unit represents an unfunded and unsecured obligation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2.31</w:t>
      </w:r>
    </w:p>
    <w:p>
      <w:pPr>
        <w:pStyle w:val="TextBody"/>
        <w:bidi w:val="0"/>
        <w:spacing w:before="240" w:after="283"/>
        <w:jc w:val="both"/>
        <w:rPr/>
      </w:pPr>
      <w:r>
        <w:rPr>
          <w:color w:val="000000"/>
        </w:rPr>
        <w:t>“</w:t>
      </w:r>
      <w:r>
        <w:rPr>
          <w:rFonts w:ascii="Times New Roman" w:hAnsi="Times New Roman"/>
          <w:color w:val="000000"/>
          <w:sz w:val="24"/>
          <w:u w:val="single"/>
        </w:rPr>
        <w:t>Rule 16b</w:t>
        <w:noBreakHyphen/>
        <w:t>3</w:t>
      </w:r>
      <w:r>
        <w:rPr>
          <w:color w:val="000000"/>
        </w:rPr>
        <w:t xml:space="preserve">” </w:t>
      </w:r>
      <w:r>
        <w:rPr>
          <w:rFonts w:ascii="Times New Roman" w:hAnsi="Times New Roman"/>
          <w:color w:val="000000"/>
          <w:sz w:val="24"/>
        </w:rPr>
        <w:t>means Rule 16b</w:t>
        <w:noBreakHyphen/>
        <w:t>3 of the Exchange Act or any successor to Rule 16b</w:t>
        <w:noBreakHyphen/>
        <w:t>3, as in effect when discretion is being exercised with respect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2.32</w:t>
      </w:r>
    </w:p>
    <w:p>
      <w:pPr>
        <w:pStyle w:val="TextBody"/>
        <w:bidi w:val="0"/>
        <w:spacing w:before="240" w:after="283"/>
        <w:jc w:val="both"/>
        <w:rPr/>
      </w:pPr>
      <w:r>
        <w:rPr>
          <w:color w:val="000000"/>
        </w:rPr>
        <w:t>“</w:t>
      </w:r>
      <w:r>
        <w:rPr>
          <w:rFonts w:ascii="Times New Roman" w:hAnsi="Times New Roman"/>
          <w:color w:val="000000"/>
          <w:sz w:val="24"/>
          <w:u w:val="single"/>
        </w:rPr>
        <w:t>Section 16b</w:t>
      </w:r>
      <w:r>
        <w:rPr>
          <w:color w:val="000000"/>
        </w:rPr>
        <w:t xml:space="preserve">” </w:t>
      </w:r>
      <w:r>
        <w:rPr>
          <w:rFonts w:ascii="Times New Roman" w:hAnsi="Times New Roman"/>
          <w:color w:val="000000"/>
          <w:sz w:val="24"/>
        </w:rPr>
        <w:t>means Section 16(b) of the Exchange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2.33</w:t>
      </w:r>
    </w:p>
    <w:p>
      <w:pPr>
        <w:pStyle w:val="TextBody"/>
        <w:bidi w:val="0"/>
        <w:spacing w:before="240" w:after="283"/>
        <w:jc w:val="both"/>
        <w:rPr/>
      </w:pPr>
      <w:r>
        <w:rPr>
          <w:color w:val="000000"/>
        </w:rPr>
        <w:t>“</w:t>
      </w: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means Code Section 409A and the U.S. Treasury Regulations and guidance thereunder, and any applicable state law equivalent, as each may be promulgated, amended or modified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2.34</w:t>
      </w:r>
    </w:p>
    <w:p>
      <w:pPr>
        <w:pStyle w:val="TextBody"/>
        <w:bidi w:val="0"/>
        <w:spacing w:before="240" w:after="283"/>
        <w:jc w:val="both"/>
        <w:rPr/>
      </w:pPr>
      <w:r>
        <w:rPr>
          <w:color w:val="000000"/>
        </w:rPr>
        <w:t>“</w:t>
      </w:r>
      <w:r>
        <w:rPr>
          <w:rFonts w:ascii="Times New Roman" w:hAnsi="Times New Roman"/>
          <w:color w:val="000000"/>
          <w:sz w:val="24"/>
          <w:u w:val="single"/>
        </w:rPr>
        <w:t>Securities Act</w:t>
      </w:r>
      <w:r>
        <w:rPr>
          <w:color w:val="000000"/>
        </w:rPr>
        <w:t xml:space="preserve">” </w:t>
      </w:r>
      <w:r>
        <w:rPr>
          <w:rFonts w:ascii="Times New Roman" w:hAnsi="Times New Roman"/>
          <w:color w:val="000000"/>
          <w:sz w:val="24"/>
        </w:rPr>
        <w:t xml:space="preserve">means the U.S. Securities Act of 1933, as amended, including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2.35</w:t>
      </w:r>
    </w:p>
    <w:p>
      <w:pPr>
        <w:pStyle w:val="TextBody"/>
        <w:bidi w:val="0"/>
        <w:spacing w:before="240" w:after="283"/>
        <w:jc w:val="both"/>
        <w:rPr/>
      </w:pPr>
      <w:r>
        <w:rPr>
          <w:color w:val="000000"/>
        </w:rPr>
        <w:t>“</w:t>
      </w:r>
      <w:r>
        <w:rPr>
          <w:rFonts w:ascii="Times New Roman" w:hAnsi="Times New Roman"/>
          <w:color w:val="000000"/>
          <w:sz w:val="24"/>
          <w:u w:val="single"/>
        </w:rPr>
        <w:t>Service Provider</w:t>
      </w:r>
      <w:r>
        <w:rPr>
          <w:color w:val="000000"/>
        </w:rPr>
        <w:t xml:space="preserve">” </w:t>
      </w:r>
      <w:r>
        <w:rPr>
          <w:rFonts w:ascii="Times New Roman" w:hAnsi="Times New Roman"/>
          <w:color w:val="000000"/>
          <w:sz w:val="24"/>
        </w:rPr>
        <w:t>means an Employee, Director or Consultant.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2.36</w:t>
      </w:r>
    </w:p>
    <w:p>
      <w:pPr>
        <w:pStyle w:val="TextBody"/>
        <w:bidi w:val="0"/>
        <w:spacing w:before="240" w:after="283"/>
        <w:jc w:val="both"/>
        <w:rPr/>
      </w:pPr>
      <w:r>
        <w:rPr>
          <w:color w:val="000000"/>
        </w:rPr>
        <w:t>“</w:t>
      </w:r>
      <w:r>
        <w:rPr>
          <w:rFonts w:ascii="Times New Roman" w:hAnsi="Times New Roman"/>
          <w:color w:val="000000"/>
          <w:sz w:val="24"/>
          <w:u w:val="single"/>
        </w:rPr>
        <w:t>Share</w:t>
      </w:r>
      <w:r>
        <w:rPr>
          <w:color w:val="000000"/>
        </w:rPr>
        <w:t xml:space="preserve">” </w:t>
      </w:r>
      <w:r>
        <w:rPr>
          <w:rFonts w:ascii="Times New Roman" w:hAnsi="Times New Roman"/>
          <w:color w:val="000000"/>
          <w:sz w:val="24"/>
        </w:rPr>
        <w:t>means a share of the Common Stock, as adjusted in accordance with Section 15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2.37</w:t>
      </w:r>
    </w:p>
    <w:p>
      <w:pPr>
        <w:pStyle w:val="TextBody"/>
        <w:bidi w:val="0"/>
        <w:spacing w:before="240" w:after="283"/>
        <w:jc w:val="both"/>
        <w:rPr/>
      </w:pPr>
      <w:r>
        <w:rPr>
          <w:color w:val="000000"/>
        </w:rPr>
        <w:t>“</w:t>
      </w:r>
      <w:r>
        <w:rPr>
          <w:rFonts w:ascii="Times New Roman" w:hAnsi="Times New Roman"/>
          <w:color w:val="000000"/>
          <w:sz w:val="24"/>
          <w:u w:val="single"/>
        </w:rPr>
        <w:t>Stock Appreciation Right</w:t>
      </w:r>
      <w:r>
        <w:rPr>
          <w:color w:val="000000"/>
        </w:rPr>
        <w:t xml:space="preserve">” </w:t>
      </w:r>
      <w:r>
        <w:rPr>
          <w:rFonts w:ascii="Times New Roman" w:hAnsi="Times New Roman"/>
          <w:color w:val="000000"/>
          <w:sz w:val="24"/>
        </w:rPr>
        <w:t>means an Award, granted alone or in connection with an Option, that pursuant to Section 7 is designated as a Stock Appreciation Right.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2.38</w:t>
      </w:r>
    </w:p>
    <w:p>
      <w:pPr>
        <w:pStyle w:val="TextBody"/>
        <w:bidi w:val="0"/>
        <w:spacing w:before="240" w:after="283"/>
        <w:jc w:val="both"/>
        <w:rPr/>
      </w:pPr>
      <w:r>
        <w:rPr>
          <w:color w:val="000000"/>
        </w:rPr>
        <w:t>“</w:t>
      </w:r>
      <w:r>
        <w:rPr>
          <w:rFonts w:ascii="Times New Roman" w:hAnsi="Times New Roman"/>
          <w:color w:val="000000"/>
          <w:sz w:val="24"/>
          <w:u w:val="single"/>
        </w:rPr>
        <w:t>Subsidiary</w:t>
      </w:r>
      <w:r>
        <w:rPr>
          <w:color w:val="000000"/>
        </w:rPr>
        <w:t xml:space="preserve">” </w:t>
      </w:r>
      <w:r>
        <w:rPr>
          <w:rFonts w:ascii="Times New Roman" w:hAnsi="Times New Roman"/>
          <w:color w:val="000000"/>
          <w:sz w:val="24"/>
        </w:rPr>
        <w:t>means a “subsidiary corporation,” whether now or hereafter exist?ing, as defined in Code Section 424(f).</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2.39</w:t>
      </w:r>
    </w:p>
    <w:p>
      <w:pPr>
        <w:pStyle w:val="TextBody"/>
        <w:bidi w:val="0"/>
        <w:spacing w:before="240" w:after="283"/>
        <w:jc w:val="both"/>
        <w:rPr/>
      </w:pPr>
      <w:r>
        <w:rPr>
          <w:color w:val="000000"/>
        </w:rPr>
        <w:t>“</w:t>
      </w:r>
      <w:r>
        <w:rPr>
          <w:rFonts w:ascii="Times New Roman" w:hAnsi="Times New Roman"/>
          <w:color w:val="000000"/>
          <w:sz w:val="24"/>
          <w:u w:val="single"/>
        </w:rPr>
        <w:t>Trading Day</w:t>
      </w:r>
      <w:r>
        <w:rPr>
          <w:color w:val="00000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2.40</w:t>
      </w:r>
    </w:p>
    <w:p>
      <w:pPr>
        <w:pStyle w:val="TextBody"/>
        <w:bidi w:val="0"/>
        <w:spacing w:before="240" w:after="283"/>
        <w:jc w:val="both"/>
        <w:rPr/>
      </w:pPr>
      <w:r>
        <w:rPr>
          <w:color w:val="000000"/>
        </w:rPr>
        <w:t>“</w:t>
      </w:r>
      <w:r>
        <w:rPr>
          <w:rFonts w:ascii="Times New Roman" w:hAnsi="Times New Roman"/>
          <w:color w:val="000000"/>
          <w:sz w:val="24"/>
          <w:u w:val="single"/>
        </w:rPr>
        <w:t>U.S. Treasury Regulations</w:t>
      </w:r>
      <w:r>
        <w:rPr>
          <w:color w:val="000000"/>
        </w:rPr>
        <w:t xml:space="preserve">” </w:t>
      </w:r>
      <w:r>
        <w:rPr>
          <w:rFonts w:ascii="Times New Roman" w:hAnsi="Times New Roman"/>
          <w:color w:val="000000"/>
          <w:sz w:val="24"/>
        </w:rPr>
        <w:t xml:space="preserve">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color w:val="000000"/>
          <w:sz w:val="24"/>
          <w:u w:val="single"/>
        </w:rPr>
        <w:t>Stock Subject to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Stock Subject to the Plan</w:t>
      </w:r>
      <w:r>
        <w:rPr>
          <w:rFonts w:ascii="Times New Roman" w:hAnsi="Times New Roman"/>
          <w:color w:val="000000"/>
          <w:sz w:val="24"/>
        </w:rPr>
        <w:t>. Subject to adjustment upon changes in capitalization of the Company as provided in Section 14, the maximum aggregate number of Shares that may be subject to Awards and sold under the Plan is 750,000 Shares. In addition, Shares may become available for issuance under Section 3.2. The Shares may be authorized but unissued, or reacquired Common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Lapsed Awards</w:t>
      </w:r>
      <w:r>
        <w:rPr>
          <w:rFonts w:ascii="Times New Roman" w:hAnsi="Times New Roman"/>
          <w:color w:val="000000"/>
          <w:sz w:val="24"/>
        </w:rPr>
        <w:t xml:space="preserve">. If an Award expires or becomes unexercisable without having been exercised in full, or, with respect to Restricted Stock, Restricted Stock Units, Performance Units or Performance Shares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color w:val="000000"/>
          <w:sz w:val="24"/>
          <w:u w:val="single"/>
        </w:rPr>
        <w:t>Share Reserve</w:t>
      </w:r>
      <w:r>
        <w:rPr>
          <w:rFonts w:ascii="Times New Roman" w:hAnsi="Times New Roman"/>
          <w:color w:val="000000"/>
          <w:sz w:val="24"/>
        </w:rPr>
        <w:t>. The Company, during the term of this Plan, will at all times reserve and keep available such number of Shares as will be sufficient to satisfy the requirements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Administration of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w:t>
      </w:r>
    </w:p>
    <w:p>
      <w:pPr>
        <w:pStyle w:val="TextBody"/>
        <w:bidi w:val="0"/>
        <w:spacing w:before="240" w:after="283"/>
        <w:jc w:val="both"/>
        <w:rPr/>
      </w:pPr>
      <w:r>
        <w:rPr>
          <w:rFonts w:ascii="Times New Roman" w:hAnsi="Times New Roman"/>
          <w:color w:val="000000"/>
          <w:sz w:val="24"/>
          <w:u w:val="single"/>
        </w:rPr>
        <w:t>Procedure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4.1.1</w:t>
      </w:r>
    </w:p>
    <w:p>
      <w:pPr>
        <w:pStyle w:val="TextBody"/>
        <w:bidi w:val="0"/>
        <w:spacing w:before="240" w:after="283"/>
        <w:jc w:val="both"/>
        <w:rPr/>
      </w:pPr>
      <w:r>
        <w:rPr>
          <w:rFonts w:ascii="Times New Roman" w:hAnsi="Times New Roman"/>
          <w:color w:val="000000"/>
          <w:sz w:val="24"/>
          <w:u w:val="single"/>
        </w:rPr>
        <w:t>Multiple Administrative Bodies</w:t>
      </w:r>
      <w:r>
        <w:rPr>
          <w:rFonts w:ascii="Times New Roman" w:hAnsi="Times New Roman"/>
          <w:color w:val="000000"/>
          <w:sz w:val="24"/>
        </w:rPr>
        <w:t>. Different Committees with respect to different groups of Service Providers may administer the Plan.</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4.1.2</w:t>
      </w:r>
    </w:p>
    <w:p>
      <w:pPr>
        <w:pStyle w:val="TextBody"/>
        <w:bidi w:val="0"/>
        <w:spacing w:before="240" w:after="283"/>
        <w:jc w:val="both"/>
        <w:rPr/>
      </w:pPr>
      <w:r>
        <w:rPr>
          <w:rFonts w:ascii="Times New Roman" w:hAnsi="Times New Roman"/>
          <w:color w:val="000000"/>
          <w:sz w:val="24"/>
          <w:u w:val="single"/>
        </w:rPr>
        <w:t>Rule 16b-3</w:t>
      </w:r>
      <w:r>
        <w:rPr>
          <w:rFonts w:ascii="Times New Roman" w:hAnsi="Times New Roman"/>
          <w:color w:val="000000"/>
          <w:sz w:val="24"/>
        </w:rPr>
        <w:t>. To the extent desirable to qualify transactions hereunder as exempt under Rule 16b-3, the transactions contemplated hereunder will be structured to satisfy the requirements for exemption under Rule 16b-3.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4.1.3</w:t>
      </w:r>
    </w:p>
    <w:p>
      <w:pPr>
        <w:pStyle w:val="TextBody"/>
        <w:bidi w:val="0"/>
        <w:spacing w:before="240" w:after="283"/>
        <w:jc w:val="both"/>
        <w:rPr/>
      </w:pPr>
      <w:r>
        <w:rPr>
          <w:rFonts w:ascii="Times New Roman" w:hAnsi="Times New Roman"/>
          <w:color w:val="000000"/>
          <w:sz w:val="24"/>
          <w:u w:val="single"/>
        </w:rPr>
        <w:t>Other Administration</w:t>
      </w:r>
      <w:r>
        <w:rPr>
          <w:rFonts w:ascii="Times New Roman" w:hAnsi="Times New Roman"/>
          <w:color w:val="000000"/>
          <w:sz w:val="24"/>
        </w:rPr>
        <w:t>. Other than as provided above, the Plan will be administered by (A) the Board or (B) a Committee, which Committee will be constituted to comply with Applicable Laws. Until and unless determined otherwise by the Board, the Compensation Committee of the Board will have full authority to act as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4.1.4</w:t>
      </w:r>
    </w:p>
    <w:p>
      <w:pPr>
        <w:pStyle w:val="TextBody"/>
        <w:bidi w:val="0"/>
        <w:spacing w:before="240" w:after="283"/>
        <w:jc w:val="both"/>
        <w:rPr/>
      </w:pPr>
      <w:r>
        <w:rPr>
          <w:rFonts w:ascii="Times New Roman" w:hAnsi="Times New Roman"/>
          <w:color w:val="000000"/>
          <w:sz w:val="24"/>
          <w:u w:val="single"/>
        </w:rPr>
        <w:t>Approval</w:t>
      </w:r>
      <w:r>
        <w:rPr>
          <w:rFonts w:ascii="Times New Roman" w:hAnsi="Times New Roman"/>
          <w:color w:val="000000"/>
          <w:sz w:val="24"/>
        </w:rPr>
        <w:t>. Awards granted under the Plan must be approved by a majority of the Company’s “Independent Directors” (within the meaning of the Inducement Listing Rules) or the Compensation Committee of the Board, in each case acting as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4.1.5</w:t>
      </w:r>
    </w:p>
    <w:p>
      <w:pPr>
        <w:pStyle w:val="TextBody"/>
        <w:bidi w:val="0"/>
        <w:spacing w:before="240" w:after="283"/>
        <w:jc w:val="both"/>
        <w:rPr/>
      </w:pPr>
      <w:r>
        <w:rPr>
          <w:rFonts w:ascii="Times New Roman" w:hAnsi="Times New Roman"/>
          <w:color w:val="000000"/>
          <w:sz w:val="24"/>
          <w:u w:val="single"/>
        </w:rPr>
        <w:t>Delegation of Authority for Day-to-Day Administration</w:t>
      </w:r>
      <w:r>
        <w:rPr>
          <w:rFonts w:ascii="Times New Roman" w:hAnsi="Times New Roman"/>
          <w:color w:val="000000"/>
          <w:sz w:val="24"/>
        </w:rPr>
        <w:t>. Except to the extent prohibited by Applicable Laws and except to the extent provided by subsection 4.1.4, the Administrator may delegate to one or more individuals the day-to-day administration of the Plan and any of the functions assigned to it in this Plan. Such delegation may be revoked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w:t>
      </w:r>
    </w:p>
    <w:p>
      <w:pPr>
        <w:pStyle w:val="TextBody"/>
        <w:bidi w:val="0"/>
        <w:spacing w:before="240" w:after="283"/>
        <w:jc w:val="both"/>
        <w:rPr/>
      </w:pPr>
      <w:r>
        <w:rPr>
          <w:rFonts w:ascii="Times New Roman" w:hAnsi="Times New Roman"/>
          <w:color w:val="000000"/>
          <w:sz w:val="24"/>
          <w:u w:val="single"/>
        </w:rPr>
        <w:t>Powers of the Administrator</w:t>
      </w:r>
      <w:r>
        <w:rPr>
          <w:rFonts w:ascii="Times New Roman" w:hAnsi="Times New Roman"/>
          <w:color w:val="000000"/>
          <w:sz w:val="24"/>
        </w:rPr>
        <w:t>. Subject to the provisions of the Plan, and in the case of a Committee, subject to the specific duties delegated by the Board to such Committee, the Administrator will have the authority,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Fair Market Value;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select the individuals to whom Awards may be granted hereunder, subject to Section 5 (which Awards will be intended as a material inducement to the individual becoming an Employee);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number of Shares to be covered by each Award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approve forms of Award Agreements for use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construe and interpret the terms of the Plan and Awards granted pursuant to the Plan;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prescribe, amend and rescind rules and regulations relating to the Plan, including rules and regulations relating to sub-plans established for the purpose of satisfying applicable non</w:t>
        <w:noBreakHyphen/>
        <w:t>U.S. laws or for qualifying for favorable tax treatment under applicable non</w:t>
        <w:noBreakHyphen/>
        <w:t>U.S.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modify or amend each Award (subject to Section 19.3), including but not limited to the discretionary authority to extend the post-termination exercisability period of Awards and to extend the maximum term of an Option or Stock Appreciation Right (subject to Sections 6.3 and 7.5);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Participants to satisfy withholding tax obligations in a manner prescribed in Section 16;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authorize any person to execute on behalf of the Company any instrument required to effect the grant of an Award previously granted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a Participant to defer the receipt of the payment of cash or the delivery of Shares that otherwise would be due to such Participant under an Award;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make all other determinations deemed necessary or advisable for administering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w:t>
      </w:r>
    </w:p>
    <w:p>
      <w:pPr>
        <w:pStyle w:val="TextBody"/>
        <w:bidi w:val="0"/>
        <w:spacing w:before="240" w:after="283"/>
        <w:jc w:val="both"/>
        <w:rPr/>
      </w:pPr>
      <w:r>
        <w:rPr>
          <w:rFonts w:ascii="Times New Roman" w:hAnsi="Times New Roman"/>
          <w:color w:val="000000"/>
          <w:sz w:val="24"/>
          <w:u w:val="single"/>
        </w:rPr>
        <w:t>No Exchange Program</w:t>
      </w:r>
      <w:r>
        <w:rPr>
          <w:rFonts w:ascii="Times New Roman" w:hAnsi="Times New Roman"/>
          <w:color w:val="000000"/>
          <w:sz w:val="24"/>
        </w:rPr>
        <w:t>. Notwithstanding anything herein to the contrary, the Administrator may not institute an Exchange Program.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4.4</w:t>
      </w:r>
    </w:p>
    <w:p>
      <w:pPr>
        <w:pStyle w:val="TextBody"/>
        <w:bidi w:val="0"/>
        <w:spacing w:before="240" w:after="283"/>
        <w:jc w:val="both"/>
        <w:rPr/>
      </w:pPr>
      <w:r>
        <w:rPr>
          <w:rFonts w:ascii="Times New Roman" w:hAnsi="Times New Roman"/>
          <w:color w:val="000000"/>
          <w:sz w:val="24"/>
          <w:u w:val="single"/>
        </w:rPr>
        <w:t>Effect of Administrator’s Decision</w:t>
      </w:r>
      <w:r>
        <w:rPr>
          <w:rFonts w:ascii="Times New Roman" w:hAnsi="Times New Roman"/>
          <w:color w:val="000000"/>
          <w:sz w:val="24"/>
        </w:rPr>
        <w:t>. The Administrator’s decisions, determinations and interpretations will be final and binding on all Participants and any other holders of Awards and will be given the maximum deference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Eligibility</w:t>
      </w:r>
      <w:r>
        <w:rPr>
          <w:rFonts w:ascii="Times New Roman" w:hAnsi="Times New Roman"/>
          <w:color w:val="000000"/>
          <w:sz w:val="24"/>
        </w:rPr>
        <w:t>. Nonstatutory Stock Options, Stock Appreciation Rights, Restricted Stock, Restricted Stock Units, Performance Shares and Performance Units may be granted to Employees, so long as the following requirements are satisfied: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Employee was not previously an Employee or Director, or the Employee is to become employed by the Company or any of its Parents or Subsidiaries following a bona fide period of non-employment (within the meaning of the Inducement Listing Rules); and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grant of the Award or Awards is an inducement material to the Employee’s entering into employment with the Company (or any of its Parents or Subsidiaries, as applicable) in accordance with the Inducement Listing Rules.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Stock Options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6.1</w:t>
      </w:r>
    </w:p>
    <w:p>
      <w:pPr>
        <w:pStyle w:val="TextBody"/>
        <w:bidi w:val="0"/>
        <w:spacing w:before="240" w:after="283"/>
        <w:jc w:val="both"/>
        <w:rPr/>
      </w:pPr>
      <w:r>
        <w:rPr>
          <w:rFonts w:ascii="Times New Roman" w:hAnsi="Times New Roman"/>
          <w:color w:val="000000"/>
          <w:sz w:val="24"/>
          <w:u w:val="single"/>
        </w:rPr>
        <w:t>Grant of Options</w:t>
      </w:r>
      <w:r>
        <w:rPr>
          <w:rFonts w:ascii="Times New Roman" w:hAnsi="Times New Roman"/>
          <w:color w:val="000000"/>
          <w:sz w:val="24"/>
        </w:rPr>
        <w:t xml:space="preserve">. Subject to the terms and provisions of the Plan, including without limitation the eligibility requirements of Section 5, the Administrator, at any time and from time to time, may grant Options to any individual as a material inducement to the individual becoming an Employee, which grant shall become effective only if the individual actually becomes an Employee, in such amounts as the Administrator, in its sole discretion, will determine.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both"/>
        <w:rPr/>
      </w:pPr>
      <w:r>
        <w:rPr>
          <w:rFonts w:ascii="Times New Roman" w:hAnsi="Times New Roman"/>
          <w:color w:val="000000"/>
          <w:sz w:val="24"/>
          <w:u w:val="single"/>
        </w:rPr>
        <w:t>Option Agreement</w:t>
      </w:r>
      <w:r>
        <w:rPr>
          <w:rFonts w:ascii="Times New Roman" w:hAnsi="Times New Roman"/>
          <w:color w:val="000000"/>
          <w:sz w:val="24"/>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6.3</w:t>
      </w:r>
    </w:p>
    <w:p>
      <w:pPr>
        <w:pStyle w:val="TextBody"/>
        <w:bidi w:val="0"/>
        <w:spacing w:before="240" w:after="283"/>
        <w:jc w:val="both"/>
        <w:rPr/>
      </w:pPr>
      <w:r>
        <w:rPr>
          <w:rFonts w:ascii="Times New Roman" w:hAnsi="Times New Roman"/>
          <w:color w:val="000000"/>
          <w:sz w:val="24"/>
          <w:u w:val="single"/>
        </w:rPr>
        <w:t>Term of Option</w:t>
      </w:r>
      <w:r>
        <w:rPr>
          <w:rFonts w:ascii="Times New Roman" w:hAnsi="Times New Roman"/>
          <w:color w:val="000000"/>
          <w:sz w:val="24"/>
        </w:rPr>
        <w:t>. The term of each Option will be stated in the Award Agreement; provided, however, that the term will be no more than ten (10) years from the date of grant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w:t>
      </w:r>
    </w:p>
    <w:p>
      <w:pPr>
        <w:pStyle w:val="TextBody"/>
        <w:bidi w:val="0"/>
        <w:spacing w:before="240" w:after="283"/>
        <w:jc w:val="both"/>
        <w:rPr/>
      </w:pPr>
      <w:r>
        <w:rPr>
          <w:rFonts w:ascii="Times New Roman" w:hAnsi="Times New Roman"/>
          <w:color w:val="000000"/>
          <w:sz w:val="24"/>
          <w:u w:val="single"/>
        </w:rPr>
        <w:t>Option Exercise Price and Consideration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6.4.1</w:t>
      </w:r>
    </w:p>
    <w:p>
      <w:pPr>
        <w:pStyle w:val="TextBody"/>
        <w:bidi w:val="0"/>
        <w:spacing w:before="240" w:after="283"/>
        <w:jc w:val="both"/>
        <w:rPr/>
      </w:pPr>
      <w:r>
        <w:rPr>
          <w:rFonts w:ascii="Times New Roman" w:hAnsi="Times New Roman"/>
          <w:color w:val="000000"/>
          <w:sz w:val="24"/>
          <w:u w:val="single"/>
        </w:rPr>
        <w:t>Exercise Price</w:t>
      </w:r>
      <w:r>
        <w:rPr>
          <w:rFonts w:ascii="Times New Roman" w:hAnsi="Times New Roman"/>
          <w:color w:val="000000"/>
          <w:sz w:val="24"/>
        </w:rPr>
        <w:t xml:space="preserve">. The per Share exercise price for the Shares to be issued pursuant to the exercise of an Option will be determined by the Administrator, but will be no less than one hundred percent (100%) of the Fair Market Value per Share on the date of grant.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6.4.2</w:t>
      </w:r>
    </w:p>
    <w:p>
      <w:pPr>
        <w:pStyle w:val="TextBody"/>
        <w:bidi w:val="0"/>
        <w:spacing w:before="240" w:after="283"/>
        <w:jc w:val="both"/>
        <w:rPr/>
      </w:pPr>
      <w:r>
        <w:rPr>
          <w:rFonts w:ascii="Times New Roman" w:hAnsi="Times New Roman"/>
          <w:color w:val="000000"/>
          <w:sz w:val="24"/>
          <w:u w:val="single"/>
        </w:rPr>
        <w:t>Waiting Period and Exercise Dates</w:t>
      </w:r>
      <w:r>
        <w:rPr>
          <w:rFonts w:ascii="Times New Roman" w:hAnsi="Times New Roman"/>
          <w:color w:val="000000"/>
          <w:sz w:val="24"/>
        </w:rPr>
        <w:t>. At the time an Option is granted, the Administrator will fix the period within which the Option may be exercised and will determine any conditions that must be satisfied before the Option may be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6.4.3</w:t>
      </w:r>
    </w:p>
    <w:p>
      <w:pPr>
        <w:pStyle w:val="TextBody"/>
        <w:bidi w:val="0"/>
        <w:spacing w:before="240" w:after="283"/>
        <w:jc w:val="both"/>
        <w:rPr/>
      </w:pPr>
      <w:r>
        <w:rPr>
          <w:rFonts w:ascii="Times New Roman" w:hAnsi="Times New Roman"/>
          <w:color w:val="000000"/>
          <w:sz w:val="24"/>
          <w:u w:val="single"/>
        </w:rPr>
        <w:t>Form of Consideration</w:t>
      </w:r>
      <w:r>
        <w:rPr>
          <w:rFonts w:ascii="Times New Roman" w:hAnsi="Times New Roman"/>
          <w:color w:val="000000"/>
          <w:sz w:val="24"/>
        </w:rPr>
        <w:t>. The Administrator will determine the acceptable form of consideration for exercising an Option, including the method of payment.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6.5.1</w:t>
      </w:r>
    </w:p>
    <w:p>
      <w:pPr>
        <w:pStyle w:val="TextBody"/>
        <w:bidi w:val="0"/>
        <w:spacing w:before="240" w:after="283"/>
        <w:jc w:val="both"/>
        <w:rPr/>
      </w:pPr>
      <w:r>
        <w:rPr>
          <w:rFonts w:ascii="Times New Roman" w:hAnsi="Times New Roman"/>
          <w:color w:val="000000"/>
          <w:sz w:val="24"/>
          <w:u w:val="single"/>
        </w:rPr>
        <w:t>Procedure for Exercise; Rights as a Stockholder</w:t>
      </w:r>
      <w:r>
        <w:rPr>
          <w:rFonts w:ascii="Times New Roman" w:hAnsi="Times New Roman"/>
          <w:color w:val="000000"/>
          <w:sz w:val="24"/>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before="240" w:after="283"/>
        <w:jc w:val="both"/>
        <w:rPr>
          <w:rFonts w:ascii="Times New Roman" w:hAnsi="Times New Roman"/>
          <w:sz w:val="20"/>
        </w:rPr>
      </w:pPr>
      <w:r>
        <w:rPr>
          <w:rFonts w:ascii="Times New Roman" w:hAnsi="Times New Roman"/>
          <w:color w:val="000000"/>
          <w:sz w:val="24"/>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w:t>
      </w:r>
      <w:r>
        <w:rPr>
          <w:rFonts w:ascii="Times New Roman" w:hAnsi="Times New Roman"/>
          <w:color w:val="000000"/>
          <w:sz w:val="20"/>
        </w:rPr>
        <w:t xml:space="preserve"> </w:t>
      </w:r>
      <w:r>
        <w:rPr>
          <w:rFonts w:ascii="Times New Roman" w:hAnsi="Times New Roman"/>
          <w:color w:val="000000"/>
          <w:sz w:val="24"/>
        </w:rPr>
        <w:t>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6.5.2</w:t>
      </w:r>
    </w:p>
    <w:p>
      <w:pPr>
        <w:pStyle w:val="TextBody"/>
        <w:bidi w:val="0"/>
        <w:spacing w:before="240" w:after="283"/>
        <w:jc w:val="both"/>
        <w:rPr/>
      </w:pPr>
      <w:r>
        <w:rPr>
          <w:rFonts w:ascii="Times New Roman" w:hAnsi="Times New Roman"/>
          <w:color w:val="000000"/>
          <w:sz w:val="24"/>
          <w:u w:val="single"/>
        </w:rPr>
        <w:t>Termination of Relationship as a Service Provider</w:t>
      </w:r>
      <w:r>
        <w:rPr>
          <w:rFonts w:ascii="Times New Roman" w:hAnsi="Times New Roman"/>
          <w:color w:val="000000"/>
          <w:sz w:val="24"/>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6.5.3</w:t>
      </w:r>
    </w:p>
    <w:p>
      <w:pPr>
        <w:pStyle w:val="TextBody"/>
        <w:bidi w:val="0"/>
        <w:spacing w:before="240" w:after="283"/>
        <w:jc w:val="both"/>
        <w:rPr/>
      </w:pPr>
      <w:r>
        <w:rPr>
          <w:rFonts w:ascii="Times New Roman" w:hAnsi="Times New Roman"/>
          <w:color w:val="000000"/>
          <w:sz w:val="24"/>
          <w:u w:val="single"/>
        </w:rPr>
        <w:t>Disability of Participant</w:t>
      </w:r>
      <w:r>
        <w:rPr>
          <w:rFonts w:ascii="Times New Roman" w:hAnsi="Times New Roman"/>
          <w:color w:val="000000"/>
          <w:sz w:val="24"/>
        </w:rPr>
        <w:t>. If a Participant ceases to be a Service Provider as a result of the Participant’s Disability, the Participant may exercise his or her Option within six (6)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6.5.4</w:t>
      </w:r>
    </w:p>
    <w:p>
      <w:pPr>
        <w:pStyle w:val="TextBody"/>
        <w:bidi w:val="0"/>
        <w:spacing w:before="240" w:after="283"/>
        <w:jc w:val="both"/>
        <w:rPr/>
      </w:pPr>
      <w:r>
        <w:rPr>
          <w:rFonts w:ascii="Times New Roman" w:hAnsi="Times New Roman"/>
          <w:color w:val="000000"/>
          <w:sz w:val="24"/>
          <w:u w:val="single"/>
        </w:rPr>
        <w:t>Death of Participant</w:t>
      </w:r>
      <w:r>
        <w:rPr>
          <w:rFonts w:ascii="Times New Roman" w:hAnsi="Times New Roman"/>
          <w:color w:val="000000"/>
          <w:sz w:val="24"/>
        </w:rPr>
        <w:t xml:space="preserve">. If a Participant dies while a Service Provider, the Option may be exercised within six (6)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“Legal Representative”). If the Option is exercised pursuant to this Section 6.5.4,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Shares covered by the unvested portion of the Option will immediately revert to the Plan. If the Option is not so exercised within the time specified herein, the Option will terminate, and the Shares covered by such Option will revert to the Plan.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6.5.5</w:t>
      </w:r>
    </w:p>
    <w:p>
      <w:pPr>
        <w:pStyle w:val="TextBody"/>
        <w:bidi w:val="0"/>
        <w:spacing w:before="240" w:after="283"/>
        <w:jc w:val="both"/>
        <w:rPr/>
      </w:pPr>
      <w:r>
        <w:rPr>
          <w:rFonts w:ascii="Times New Roman" w:hAnsi="Times New Roman"/>
          <w:color w:val="000000"/>
          <w:sz w:val="24"/>
          <w:u w:val="single"/>
        </w:rPr>
        <w:t>Tolling Expiration</w:t>
      </w:r>
      <w:r>
        <w:rPr>
          <w:rFonts w:ascii="Times New Roman" w:hAnsi="Times New Roman"/>
          <w:color w:val="000000"/>
          <w:sz w:val="24"/>
        </w:rPr>
        <w:t>. A Participant’s Award Agreement may also provide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hAnsi="Times New Roman"/>
          <w:color w:val="000000"/>
          <w:sz w:val="16"/>
        </w:rPr>
        <w:t>th</w:t>
      </w:r>
      <w:r>
        <w:rPr>
          <w:rFonts w:ascii="Times New Roman" w:hAnsi="Times New Roman"/>
          <w:color w:val="000000"/>
          <w:sz w:val="24"/>
        </w:rPr>
        <w:t>) day after the last date on which such exercise would result in liability under Section 16(b);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Stock Appreciation Rights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7.1</w:t>
      </w:r>
    </w:p>
    <w:p>
      <w:pPr>
        <w:pStyle w:val="TextBody"/>
        <w:bidi w:val="0"/>
        <w:spacing w:before="240" w:after="283"/>
        <w:jc w:val="both"/>
        <w:rPr/>
      </w:pPr>
      <w:r>
        <w:rPr>
          <w:rFonts w:ascii="Times New Roman" w:hAnsi="Times New Roman"/>
          <w:color w:val="000000"/>
          <w:sz w:val="24"/>
          <w:u w:val="single"/>
        </w:rPr>
        <w:t>Grant of Stock Appreciation Rights</w:t>
      </w:r>
      <w:r>
        <w:rPr>
          <w:rFonts w:ascii="Times New Roman" w:hAnsi="Times New Roman"/>
          <w:color w:val="000000"/>
          <w:sz w:val="24"/>
        </w:rPr>
        <w:t xml:space="preserve">. Subject to the terms and provisions of the Plan, including without limitation the eligibility requirements of Section 5, a Stock Appreciation Right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7.2</w:t>
      </w:r>
    </w:p>
    <w:p>
      <w:pPr>
        <w:pStyle w:val="TextBody"/>
        <w:bidi w:val="0"/>
        <w:spacing w:before="240" w:after="283"/>
        <w:jc w:val="both"/>
        <w:rPr/>
      </w:pPr>
      <w:r>
        <w:rPr>
          <w:rFonts w:ascii="Times New Roman" w:hAnsi="Times New Roman"/>
          <w:color w:val="000000"/>
          <w:sz w:val="24"/>
          <w:u w:val="single"/>
        </w:rPr>
        <w:t>Number of Shares</w:t>
      </w:r>
      <w:r>
        <w:rPr>
          <w:rFonts w:ascii="Times New Roman" w:hAnsi="Times New Roman"/>
          <w:color w:val="000000"/>
          <w:sz w:val="24"/>
        </w:rPr>
        <w:t>. The Administrator will have complete discretion to determine the number of Shares subject to any Award of Stock Appreciation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7.3</w:t>
      </w:r>
    </w:p>
    <w:p>
      <w:pPr>
        <w:pStyle w:val="TextBody"/>
        <w:bidi w:val="0"/>
        <w:spacing w:before="240" w:after="283"/>
        <w:jc w:val="both"/>
        <w:rPr/>
      </w:pPr>
      <w:r>
        <w:rPr>
          <w:rFonts w:ascii="Times New Roman" w:hAnsi="Times New Roman"/>
          <w:color w:val="000000"/>
          <w:sz w:val="24"/>
          <w:u w:val="single"/>
        </w:rPr>
        <w:t>Exercise Price and Other Terms</w:t>
      </w:r>
      <w:r>
        <w:rPr>
          <w:rFonts w:ascii="Times New Roman" w:hAnsi="Times New Roman"/>
          <w:color w:val="000000"/>
          <w:sz w:val="24"/>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7.4</w:t>
      </w:r>
    </w:p>
    <w:p>
      <w:pPr>
        <w:pStyle w:val="TextBody"/>
        <w:bidi w:val="0"/>
        <w:spacing w:before="240" w:after="283"/>
        <w:jc w:val="both"/>
        <w:rPr/>
      </w:pPr>
      <w:r>
        <w:rPr>
          <w:rFonts w:ascii="Times New Roman" w:hAnsi="Times New Roman"/>
          <w:color w:val="000000"/>
          <w:sz w:val="24"/>
          <w:u w:val="single"/>
        </w:rPr>
        <w:t>Stock Appreciation Right Agreement</w:t>
      </w:r>
      <w:r>
        <w:rPr>
          <w:rFonts w:ascii="Times New Roman" w:hAnsi="Times New Roman"/>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7.5</w:t>
      </w:r>
    </w:p>
    <w:p>
      <w:pPr>
        <w:pStyle w:val="TextBody"/>
        <w:bidi w:val="0"/>
        <w:spacing w:before="240" w:after="283"/>
        <w:jc w:val="both"/>
        <w:rPr/>
      </w:pPr>
      <w:r>
        <w:rPr>
          <w:rFonts w:ascii="Times New Roman" w:hAnsi="Times New Roman"/>
          <w:color w:val="000000"/>
          <w:sz w:val="24"/>
          <w:u w:val="single"/>
        </w:rPr>
        <w:t>Expiration of Stock Appreciation Rights</w:t>
      </w:r>
      <w:r>
        <w:rPr>
          <w:rFonts w:ascii="Times New Roman" w:hAnsi="Times New Roman"/>
          <w:color w:val="000000"/>
          <w:sz w:val="24"/>
        </w:rPr>
        <w:t>. A Stock Appreciation Right granted under the Plan will expire upon the date determined by the Administrator, in its sole discretion, and set forth in the Award Agreement. Notwithstanding the foregoing, the rules of Section 6.4 relating to the maximum term and Section 6.3 relating to exercise also will apply to Stock Appreciation Rights.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7.6</w:t>
      </w:r>
    </w:p>
    <w:p>
      <w:pPr>
        <w:pStyle w:val="TextBody"/>
        <w:bidi w:val="0"/>
        <w:spacing w:before="240" w:after="283"/>
        <w:jc w:val="both"/>
        <w:rPr/>
      </w:pPr>
      <w:r>
        <w:rPr>
          <w:rFonts w:ascii="Times New Roman" w:hAnsi="Times New Roman"/>
          <w:color w:val="000000"/>
          <w:sz w:val="24"/>
          <w:u w:val="single"/>
        </w:rPr>
        <w:t>Payment of Stock Appreciation Right Amount</w:t>
      </w:r>
      <w:r>
        <w:rPr>
          <w:rFonts w:ascii="Times New Roman" w:hAnsi="Times New Roman"/>
          <w:color w:val="000000"/>
          <w:sz w:val="24"/>
        </w:rPr>
        <w:t>. Upon exercise of a Stock Appreciation Right, a Participant will be entitled to receive payment from the Company in an amount determined by multiplying: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difference between the Fair Market Value of a Share on the date of exercise over the exercise price; times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number of Shares with respect to which the Stock Appreciation Right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the discretion of the Administrator, the payment upon Stock Appreciation Right exercise may be in cash, in Shares of equivalent value, or in some combination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Restricted Stock</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8.1</w:t>
      </w:r>
    </w:p>
    <w:p>
      <w:pPr>
        <w:pStyle w:val="TextBody"/>
        <w:bidi w:val="0"/>
        <w:spacing w:before="240" w:after="283"/>
        <w:jc w:val="both"/>
        <w:rPr/>
      </w:pPr>
      <w:r>
        <w:rPr>
          <w:rFonts w:ascii="Times New Roman" w:hAnsi="Times New Roman"/>
          <w:color w:val="000000"/>
          <w:sz w:val="24"/>
          <w:u w:val="single"/>
        </w:rPr>
        <w:t>Grant of Restricted Stock</w:t>
      </w:r>
      <w:r>
        <w:rPr>
          <w:rFonts w:ascii="Times New Roman" w:hAnsi="Times New Roman"/>
          <w:color w:val="000000"/>
          <w:sz w:val="24"/>
        </w:rPr>
        <w:t>. Subject to the terms and provisions of the Plan, including without limitation the eligibility requirements of Section 5, the Administrator, at any time and from time to time, may grant Shares of Restricted Stock to any individual as a material inducement to the individual becoming an Employee, which grant shall become effective only if the individual actually becomes an Employee, in such amounts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8.2</w:t>
      </w:r>
    </w:p>
    <w:p>
      <w:pPr>
        <w:pStyle w:val="TextBody"/>
        <w:bidi w:val="0"/>
        <w:spacing w:before="240" w:after="283"/>
        <w:jc w:val="both"/>
        <w:rPr/>
      </w:pPr>
      <w:r>
        <w:rPr>
          <w:rFonts w:ascii="Times New Roman" w:hAnsi="Times New Roman"/>
          <w:color w:val="000000"/>
          <w:sz w:val="24"/>
          <w:u w:val="single"/>
        </w:rPr>
        <w:t>Restricted Stock Agreement</w:t>
      </w:r>
      <w:r>
        <w:rPr>
          <w:rFonts w:ascii="Times New Roman" w:hAnsi="Times New Roman"/>
          <w:color w:val="000000"/>
          <w:sz w:val="24"/>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8.3</w:t>
      </w:r>
    </w:p>
    <w:p>
      <w:pPr>
        <w:pStyle w:val="TextBody"/>
        <w:bidi w:val="0"/>
        <w:spacing w:before="240" w:after="283"/>
        <w:jc w:val="both"/>
        <w:rPr/>
      </w:pPr>
      <w:r>
        <w:rPr>
          <w:rFonts w:ascii="Times New Roman" w:hAnsi="Times New Roman"/>
          <w:color w:val="000000"/>
          <w:sz w:val="24"/>
          <w:u w:val="single"/>
        </w:rPr>
        <w:t>Transferability</w:t>
      </w:r>
      <w:r>
        <w:rPr>
          <w:rFonts w:ascii="Times New Roman" w:hAnsi="Times New Roman"/>
          <w:color w:val="000000"/>
          <w:sz w:val="24"/>
        </w:rPr>
        <w:t>. Except as provided in this Section 8 or as the Administrator determines, Shares of Restricted Stock may not be sold, transferred, pledged, assigned, or otherwise alienated or hypothecated until the end of the applicable Period of Restriction.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8.4</w:t>
      </w:r>
    </w:p>
    <w:p>
      <w:pPr>
        <w:pStyle w:val="TextBody"/>
        <w:bidi w:val="0"/>
        <w:spacing w:before="240" w:after="283"/>
        <w:jc w:val="both"/>
        <w:rPr/>
      </w:pPr>
      <w:r>
        <w:rPr>
          <w:rFonts w:ascii="Times New Roman" w:hAnsi="Times New Roman"/>
          <w:color w:val="000000"/>
          <w:sz w:val="24"/>
          <w:u w:val="single"/>
        </w:rPr>
        <w:t>Other Restrictions</w:t>
      </w:r>
      <w:r>
        <w:rPr>
          <w:rFonts w:ascii="Times New Roman" w:hAnsi="Times New Roman"/>
          <w:color w:val="000000"/>
          <w:sz w:val="24"/>
        </w:rPr>
        <w:t>. The Administrator, in its sole discretion, may impose such other restrictions on Shares of Restricted Stock as it may deem advisable or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8.5</w:t>
      </w:r>
    </w:p>
    <w:p>
      <w:pPr>
        <w:pStyle w:val="TextBody"/>
        <w:bidi w:val="0"/>
        <w:spacing w:before="240" w:after="283"/>
        <w:jc w:val="both"/>
        <w:rPr/>
      </w:pPr>
      <w:r>
        <w:rPr>
          <w:rFonts w:ascii="Times New Roman" w:hAnsi="Times New Roman"/>
          <w:color w:val="000000"/>
          <w:sz w:val="24"/>
          <w:u w:val="single"/>
        </w:rPr>
        <w:t>Removal of Restrictions</w:t>
      </w:r>
      <w:r>
        <w:rPr>
          <w:rFonts w:ascii="Times New Roman" w:hAnsi="Times New Roman"/>
          <w:color w:val="000000"/>
          <w:sz w:val="24"/>
        </w:rPr>
        <w:t xml:space="preserve">.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8.6</w:t>
      </w:r>
    </w:p>
    <w:p>
      <w:pPr>
        <w:pStyle w:val="TextBody"/>
        <w:bidi w:val="0"/>
        <w:spacing w:before="240" w:after="283"/>
        <w:jc w:val="both"/>
        <w:rPr/>
      </w:pPr>
      <w:r>
        <w:rPr>
          <w:rFonts w:ascii="Times New Roman" w:hAnsi="Times New Roman"/>
          <w:color w:val="000000"/>
          <w:sz w:val="24"/>
          <w:u w:val="single"/>
        </w:rPr>
        <w:t>Voting Rights</w:t>
      </w:r>
      <w:r>
        <w:rPr>
          <w:rFonts w:ascii="Times New Roman" w:hAnsi="Times New Roman"/>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8.7</w:t>
      </w:r>
    </w:p>
    <w:p>
      <w:pPr>
        <w:pStyle w:val="TextBody"/>
        <w:bidi w:val="0"/>
        <w:spacing w:before="240" w:after="283"/>
        <w:jc w:val="both"/>
        <w:rPr/>
      </w:pPr>
      <w:r>
        <w:rPr>
          <w:rFonts w:ascii="Times New Roman" w:hAnsi="Times New Roman"/>
          <w:color w:val="000000"/>
          <w:sz w:val="24"/>
          <w:u w:val="single"/>
        </w:rPr>
        <w:t>Dividends and Other Distributions</w:t>
      </w:r>
      <w:r>
        <w:rPr>
          <w:rFonts w:ascii="Times New Roman" w:hAnsi="Times New Roman"/>
          <w:color w:val="000000"/>
          <w:sz w:val="24"/>
        </w:rPr>
        <w:t xml:space="preserve">. During the Period of Restriction, Service Providers holding Shares of Restricted Stock will be entitled to receive all dividends and other distributions paid with respect to such Shares, unless the Administrator provides otherwise. If any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such dividends or distributions are paid in Shares, the Shares will be subject to the same restrictions on transferability and forfeitability as the Shares of Restricted Stock with respect to which they were paid.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8.8</w:t>
      </w:r>
    </w:p>
    <w:p>
      <w:pPr>
        <w:pStyle w:val="TextBody"/>
        <w:bidi w:val="0"/>
        <w:spacing w:before="240" w:after="283"/>
        <w:jc w:val="both"/>
        <w:rPr/>
      </w:pPr>
      <w:r>
        <w:rPr>
          <w:rFonts w:ascii="Times New Roman" w:hAnsi="Times New Roman"/>
          <w:color w:val="000000"/>
          <w:sz w:val="24"/>
          <w:u w:val="single"/>
        </w:rPr>
        <w:t>Return of Restricted Stock to Company</w:t>
      </w:r>
      <w:r>
        <w:rPr>
          <w:rFonts w:ascii="Times New Roman" w:hAnsi="Times New Roman"/>
          <w:color w:val="000000"/>
          <w:sz w:val="24"/>
        </w:rPr>
        <w:t>. On the date set forth in the Award Agreement, the Restricted Stock for which restrictions have not lapsed will revert to the Company and again will become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Restricted Stock Units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9.1</w:t>
      </w:r>
    </w:p>
    <w:p>
      <w:pPr>
        <w:pStyle w:val="TextBody"/>
        <w:bidi w:val="0"/>
        <w:spacing w:before="240" w:after="283"/>
        <w:jc w:val="both"/>
        <w:rPr/>
      </w:pPr>
      <w:r>
        <w:rPr>
          <w:rFonts w:ascii="Times New Roman" w:hAnsi="Times New Roman"/>
          <w:color w:val="000000"/>
          <w:sz w:val="24"/>
          <w:u w:val="single"/>
        </w:rPr>
        <w:t>Grant</w:t>
      </w:r>
      <w:r>
        <w:rPr>
          <w:rFonts w:ascii="Times New Roman" w:hAnsi="Times New Roman"/>
          <w:color w:val="000000"/>
          <w:sz w:val="24"/>
        </w:rPr>
        <w:t>. Subject to the terms and provisions of the Plan, including without limitation the eligibility requirements of Section 5, Restricted Stock Units may be granted at any time and from time to time as determined by the Administrator to any individual as a material inducement to the individual becoming an Employee, which grant shall become effective only if the individual actually becomes an Employee, in such amounts as the Administrator, in its sole discretion, will determine. After the Administrator determines that it will grant Restricted Stock Units, it will advise the Participant in an Award Agreement of the terms, conditions, and restrictions related to the grant, including the number of Restricted Stock Units.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9.2</w:t>
      </w:r>
    </w:p>
    <w:p>
      <w:pPr>
        <w:pStyle w:val="TextBody"/>
        <w:bidi w:val="0"/>
        <w:spacing w:before="240" w:after="283"/>
        <w:jc w:val="both"/>
        <w:rPr/>
      </w:pPr>
      <w:r>
        <w:rPr>
          <w:rFonts w:ascii="Times New Roman" w:hAnsi="Times New Roman"/>
          <w:color w:val="000000"/>
          <w:sz w:val="24"/>
          <w:u w:val="single"/>
        </w:rPr>
        <w:t>Vesting Criteria and Other Terms</w:t>
      </w:r>
      <w:r>
        <w:rPr>
          <w:rFonts w:ascii="Times New Roman" w:hAnsi="Times New Roman"/>
          <w:color w:val="000000"/>
          <w:sz w:val="24"/>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9.3</w:t>
      </w:r>
    </w:p>
    <w:p>
      <w:pPr>
        <w:pStyle w:val="TextBody"/>
        <w:bidi w:val="0"/>
        <w:spacing w:before="240" w:after="283"/>
        <w:jc w:val="both"/>
        <w:rPr/>
      </w:pPr>
      <w:r>
        <w:rPr>
          <w:rFonts w:ascii="Times New Roman" w:hAnsi="Times New Roman"/>
          <w:color w:val="000000"/>
          <w:sz w:val="24"/>
          <w:u w:val="single"/>
        </w:rPr>
        <w:t>Earning Restricted Stock Units</w:t>
      </w:r>
      <w:r>
        <w:rPr>
          <w:rFonts w:ascii="Times New Roman" w:hAnsi="Times New Roman"/>
          <w:color w:val="000000"/>
          <w:sz w:val="24"/>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9.4</w:t>
      </w:r>
    </w:p>
    <w:p>
      <w:pPr>
        <w:pStyle w:val="TextBody"/>
        <w:bidi w:val="0"/>
        <w:spacing w:before="240" w:after="283"/>
        <w:jc w:val="both"/>
        <w:rPr/>
      </w:pPr>
      <w:r>
        <w:rPr>
          <w:rFonts w:ascii="Times New Roman" w:hAnsi="Times New Roman"/>
          <w:color w:val="000000"/>
          <w:sz w:val="24"/>
          <w:u w:val="single"/>
        </w:rPr>
        <w:t>Form and Timing of Payment</w:t>
      </w:r>
      <w:r>
        <w:rPr>
          <w:rFonts w:ascii="Times New Roman" w:hAnsi="Times New Roman"/>
          <w:color w:val="000000"/>
          <w:sz w:val="24"/>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9.5</w:t>
      </w:r>
    </w:p>
    <w:p>
      <w:pPr>
        <w:pStyle w:val="TextBody"/>
        <w:bidi w:val="0"/>
        <w:spacing w:before="240" w:after="283"/>
        <w:jc w:val="both"/>
        <w:rPr/>
      </w:pPr>
      <w:r>
        <w:rPr>
          <w:rFonts w:ascii="Times New Roman" w:hAnsi="Times New Roman"/>
          <w:color w:val="000000"/>
          <w:sz w:val="24"/>
          <w:u w:val="single"/>
        </w:rPr>
        <w:t>Cancellation</w:t>
      </w:r>
      <w:r>
        <w:rPr>
          <w:rFonts w:ascii="Times New Roman" w:hAnsi="Times New Roman"/>
          <w:color w:val="000000"/>
          <w:sz w:val="24"/>
        </w:rPr>
        <w:t>. On the date set forth in the Award Agreement, all unearned Restricted Stock Units will be forfeited to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left"/>
        <w:rPr/>
      </w:pPr>
      <w:r>
        <w:rPr>
          <w:rFonts w:ascii="Times New Roman" w:hAnsi="Times New Roman"/>
          <w:color w:val="000000"/>
          <w:sz w:val="24"/>
          <w:u w:val="single"/>
        </w:rPr>
        <w:t>Performance Awards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both"/>
        <w:rPr/>
      </w:pPr>
      <w:r>
        <w:rPr>
          <w:rFonts w:ascii="Times New Roman" w:hAnsi="Times New Roman"/>
          <w:color w:val="000000"/>
          <w:sz w:val="24"/>
          <w:u w:val="single"/>
        </w:rPr>
        <w:t>Grant of Performance Awards</w:t>
      </w:r>
      <w:r>
        <w:rPr>
          <w:rFonts w:ascii="Times New Roman" w:hAnsi="Times New Roman"/>
          <w:color w:val="000000"/>
          <w:sz w:val="24"/>
        </w:rPr>
        <w:t xml:space="preserve">. Subject to the terms and provisions of the Plan, including without limitation the eligibility requirements of Section 5, Performance Awards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10.2</w:t>
      </w:r>
    </w:p>
    <w:p>
      <w:pPr>
        <w:pStyle w:val="TextBody"/>
        <w:bidi w:val="0"/>
        <w:spacing w:before="240" w:after="283"/>
        <w:jc w:val="both"/>
        <w:rPr/>
      </w:pPr>
      <w:r>
        <w:rPr>
          <w:rFonts w:ascii="Times New Roman" w:hAnsi="Times New Roman"/>
          <w:color w:val="000000"/>
          <w:sz w:val="24"/>
          <w:u w:val="single"/>
        </w:rPr>
        <w:t>Award Agreement</w:t>
      </w:r>
      <w:r>
        <w:rPr>
          <w:rFonts w:ascii="Times New Roman" w:hAnsi="Times New Roman"/>
          <w:color w:val="000000"/>
          <w:sz w:val="24"/>
        </w:rPr>
        <w:t xml:space="preserve">.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10.3</w:t>
      </w:r>
    </w:p>
    <w:p>
      <w:pPr>
        <w:pStyle w:val="TextBody"/>
        <w:bidi w:val="0"/>
        <w:spacing w:before="240" w:after="283"/>
        <w:jc w:val="both"/>
        <w:rPr/>
      </w:pPr>
      <w:r>
        <w:rPr>
          <w:rFonts w:ascii="Times New Roman" w:hAnsi="Times New Roman"/>
          <w:color w:val="000000"/>
          <w:sz w:val="24"/>
          <w:u w:val="single"/>
        </w:rPr>
        <w:t xml:space="preserve">Objectives or Vesting Provisions and Other Terms. </w:t>
      </w:r>
      <w:r>
        <w:rPr>
          <w:rFonts w:ascii="Times New Roman" w:hAnsi="Times New Roman"/>
          <w:color w:val="000000"/>
          <w:sz w:val="24"/>
        </w:rPr>
        <w:t>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10.4</w:t>
      </w:r>
    </w:p>
    <w:p>
      <w:pPr>
        <w:pStyle w:val="TextBody"/>
        <w:bidi w:val="0"/>
        <w:spacing w:before="240" w:after="283"/>
        <w:jc w:val="both"/>
        <w:rPr/>
      </w:pPr>
      <w:r>
        <w:rPr>
          <w:rFonts w:ascii="Times New Roman" w:hAnsi="Times New Roman"/>
          <w:color w:val="000000"/>
          <w:sz w:val="24"/>
          <w:u w:val="single"/>
        </w:rPr>
        <w:t>Earning Performance Awards</w:t>
      </w:r>
      <w:r>
        <w:rPr>
          <w:rFonts w:ascii="Times New Roman" w:hAnsi="Times New Roman"/>
          <w:color w:val="000000"/>
          <w:sz w:val="24"/>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10.5</w:t>
      </w:r>
    </w:p>
    <w:p>
      <w:pPr>
        <w:pStyle w:val="TextBody"/>
        <w:bidi w:val="0"/>
        <w:spacing w:before="240" w:after="283"/>
        <w:jc w:val="both"/>
        <w:rPr/>
      </w:pPr>
      <w:r>
        <w:rPr>
          <w:rFonts w:ascii="Times New Roman" w:hAnsi="Times New Roman"/>
          <w:color w:val="000000"/>
          <w:sz w:val="24"/>
          <w:u w:val="single"/>
        </w:rPr>
        <w:t>Form and Timing of Payment</w:t>
      </w:r>
      <w:r>
        <w:rPr>
          <w:rFonts w:ascii="Times New Roman" w:hAnsi="Times New Roman"/>
          <w:color w:val="000000"/>
          <w:sz w:val="24"/>
        </w:rPr>
        <w:t>. Payment of earned Performance Awards will be made at the time(s) determined by the Administrator and set forth in the Award Agreement. The Administrator, in its sole discretion, may settle earned Performance Awards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10.6</w:t>
      </w:r>
    </w:p>
    <w:p>
      <w:pPr>
        <w:pStyle w:val="TextBody"/>
        <w:bidi w:val="0"/>
        <w:spacing w:before="240" w:after="283"/>
        <w:jc w:val="both"/>
        <w:rPr/>
      </w:pPr>
      <w:r>
        <w:rPr>
          <w:rFonts w:ascii="Times New Roman" w:hAnsi="Times New Roman"/>
          <w:color w:val="000000"/>
          <w:sz w:val="24"/>
          <w:u w:val="single"/>
        </w:rPr>
        <w:t>Cancellation of Performance Awards</w:t>
      </w:r>
      <w:r>
        <w:rPr>
          <w:rFonts w:ascii="Times New Roman" w:hAnsi="Times New Roman"/>
          <w:color w:val="000000"/>
          <w:sz w:val="24"/>
        </w:rPr>
        <w:t>. On the date set forth in the Award Agreement, all unearned or unvested Performance Awards will be forfeited to the Company, and again will be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Compliance With Section 409A</w:t>
      </w:r>
      <w:r>
        <w:rPr>
          <w:rFonts w:ascii="Times New Roman" w:hAnsi="Times New Roman"/>
          <w:color w:val="000000"/>
          <w:sz w:val="24"/>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Leaves of Absence/Transfer Between Locations</w:t>
      </w:r>
      <w:r>
        <w:rPr>
          <w:rFonts w:ascii="Times New Roman" w:hAnsi="Times New Roman"/>
          <w:color w:val="000000"/>
          <w:sz w:val="24"/>
        </w:rPr>
        <w:t xml:space="preserve">. Unless the Administrator provides otherwise or as otherwise required by Applicable Laws, vesting of Awards granted hereunder will be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suspended during any unpaid leave of absence. A Participant will not cease to be an Employee in the case of (a) any leave of absence approved by the Company or (b) transfers between locations of the Company or between the Company, its Parent, or any of its Subsidiaries.</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Limited Transferability of Awards</w:t>
      </w:r>
      <w:r>
        <w:rPr>
          <w:rFonts w:ascii="Times New Roman" w:hAnsi="Times New Roman"/>
          <w:color w:val="000000"/>
          <w:sz w:val="24"/>
        </w:rPr>
        <w:t>. Unless determined otherwise by the Administrator (and subject to the provisions of Section 4.3),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6.5),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Adjustments; Dissolution or Liquidation; Merger or Change in Control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14.1</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14.2</w:t>
      </w:r>
    </w:p>
    <w:p>
      <w:pPr>
        <w:pStyle w:val="TextBody"/>
        <w:bidi w:val="0"/>
        <w:spacing w:before="240" w:after="283"/>
        <w:jc w:val="both"/>
        <w:rPr/>
      </w:pPr>
      <w:r>
        <w:rPr>
          <w:rFonts w:ascii="Times New Roman" w:hAnsi="Times New Roman"/>
          <w:color w:val="000000"/>
          <w:sz w:val="24"/>
          <w:u w:val="single"/>
        </w:rPr>
        <w:t>Dissolution or Liquidation</w:t>
      </w:r>
      <w:r>
        <w:rPr>
          <w:rFonts w:ascii="Times New Roman" w:hAnsi="Times New Roman"/>
          <w:color w:val="000000"/>
          <w:sz w:val="24"/>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14.3</w:t>
      </w:r>
    </w:p>
    <w:p>
      <w:pPr>
        <w:pStyle w:val="TextBody"/>
        <w:bidi w:val="0"/>
        <w:spacing w:before="240" w:after="283"/>
        <w:jc w:val="both"/>
        <w:rPr/>
      </w:pPr>
      <w:r>
        <w:rPr>
          <w:rFonts w:ascii="Times New Roman" w:hAnsi="Times New Roman"/>
          <w:color w:val="000000"/>
          <w:sz w:val="24"/>
          <w:u w:val="single"/>
        </w:rPr>
        <w:t>Merger or Change in Control</w:t>
      </w:r>
      <w:r>
        <w:rPr>
          <w:rFonts w:ascii="Times New Roman" w:hAnsi="Times New Roman"/>
          <w:color w:val="000000"/>
          <w:sz w:val="24"/>
        </w:rPr>
        <w:t xml:space="preserve">.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sole discretion; or (e) any combination of the foregoing. In taking any of the actions permitted under this Section 14.3, the Administrator will not be obligated to treat all Awards, all Awards held by a Participant, all Awards of the same type, or all portions of Awards, similarly.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Shares and Performance Units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purposes of this Section 14.3,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anything in this Section 14.3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in this Section 14.3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left"/>
        <w:rPr/>
      </w:pPr>
      <w:r>
        <w:rPr>
          <w:rFonts w:ascii="Times New Roman" w:hAnsi="Times New Roman"/>
          <w:color w:val="000000"/>
          <w:sz w:val="24"/>
          <w:u w:val="single"/>
        </w:rPr>
        <w:t>Tax Withholding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15.1</w:t>
      </w:r>
    </w:p>
    <w:p>
      <w:pPr>
        <w:pStyle w:val="TextBody"/>
        <w:bidi w:val="0"/>
        <w:spacing w:before="240" w:after="283"/>
        <w:jc w:val="both"/>
        <w:rPr/>
      </w:pPr>
      <w:r>
        <w:rPr>
          <w:rFonts w:ascii="Times New Roman" w:hAnsi="Times New Roman"/>
          <w:color w:val="000000"/>
          <w:sz w:val="24"/>
          <w:u w:val="single"/>
        </w:rPr>
        <w:t>Withholding Requirements</w:t>
      </w:r>
      <w:r>
        <w:rPr>
          <w:rFonts w:ascii="Times New Roman" w:hAnsi="Times New Roman"/>
          <w:color w:val="000000"/>
          <w:sz w:val="24"/>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w:t>
      </w:r>
      <w:r>
        <w:rPr>
          <w:color w:val="1F3864"/>
        </w:rPr>
        <w:t xml:space="preserve"> </w:t>
      </w:r>
      <w:r>
        <w:rPr>
          <w:rFonts w:ascii="Times New Roman" w:hAnsi="Times New Roman"/>
          <w:color w:val="000000"/>
          <w:sz w:val="24"/>
        </w:rPr>
        <w:t>or a relevant tax authority, an amount sufficient to satisfy U.S. federal, state, local, non</w:t>
        <w:noBreakHyphen/>
        <w:t xml:space="preserve">U.S., and other taxes (including the Participant’s FICA obligation) required to be withheld or paid with respect to such Award (or exercise thereof).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15.2</w:t>
      </w:r>
    </w:p>
    <w:p>
      <w:pPr>
        <w:pStyle w:val="TextBody"/>
        <w:bidi w:val="0"/>
        <w:spacing w:before="240" w:after="283"/>
        <w:jc w:val="both"/>
        <w:rPr/>
      </w:pPr>
      <w:r>
        <w:rPr>
          <w:rFonts w:ascii="Times New Roman" w:hAnsi="Times New Roman"/>
          <w:color w:val="000000"/>
          <w:sz w:val="24"/>
          <w:u w:val="single"/>
        </w:rPr>
        <w:t>Withholding Arrangements</w:t>
      </w:r>
      <w:r>
        <w:rPr>
          <w:rFonts w:ascii="Times New Roman" w:hAnsi="Times New Roman"/>
          <w:color w:val="000000"/>
          <w:sz w:val="24"/>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w:t>
      </w:r>
      <w:r>
        <w:rPr>
          <w:color w:val="1F3864"/>
        </w:rPr>
        <w:t xml:space="preserve"> </w:t>
      </w:r>
      <w:r>
        <w:rPr>
          <w:rFonts w:ascii="Times New Roman" w:hAnsi="Times New Roman"/>
          <w:color w:val="000000"/>
          <w:sz w:val="24"/>
        </w:rPr>
        <w:t>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No Effect on Employment or Service</w:t>
      </w:r>
      <w:r>
        <w:rPr>
          <w:rFonts w:ascii="Times New Roman" w:hAnsi="Times New Roman"/>
          <w:color w:val="000000"/>
          <w:sz w:val="24"/>
        </w:rPr>
        <w:t xml:space="preserve">. Neither the Plan nor any Award will confer upon a Participant any right with respect to continuing the Participant’s relationship as a Service Provider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Date of Grant</w:t>
      </w:r>
      <w:r>
        <w:rPr>
          <w:rFonts w:ascii="Times New Roman" w:hAnsi="Times New Roman"/>
          <w:color w:val="000000"/>
          <w:sz w:val="24"/>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Term of Plan</w:t>
      </w:r>
      <w:r>
        <w:rPr>
          <w:rFonts w:ascii="Times New Roman" w:hAnsi="Times New Roman"/>
          <w:color w:val="000000"/>
          <w:sz w:val="24"/>
        </w:rPr>
        <w:t>. The Plan will become effective upon its adoption by the Board or the designated Committee (as applicable). It will continue in effect for a term of ten (10) years from the date of the initial action by the Board or its designated Committee (as applicable) to adopt the Plan unless terminated earlier under Section 19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Amendment and Termination of the Plan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19.1</w:t>
      </w:r>
    </w:p>
    <w:p>
      <w:pPr>
        <w:pStyle w:val="TextBody"/>
        <w:bidi w:val="0"/>
        <w:spacing w:before="240" w:after="283"/>
        <w:jc w:val="both"/>
        <w:rPr/>
      </w:pPr>
      <w:r>
        <w:rPr>
          <w:rFonts w:ascii="Times New Roman" w:hAnsi="Times New Roman"/>
          <w:color w:val="000000"/>
          <w:sz w:val="24"/>
          <w:u w:val="single"/>
        </w:rPr>
        <w:t>Amendment and Termination</w:t>
      </w:r>
      <w:r>
        <w:rPr>
          <w:rFonts w:ascii="Times New Roman" w:hAnsi="Times New Roman"/>
          <w:color w:val="000000"/>
          <w:sz w:val="24"/>
        </w:rPr>
        <w:t xml:space="preserve">. The Administrator may at any time amend, alter, suspend or terminate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19.2</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xml:space="preserve">. The Company will obtain stockholder approval of any Plan amendment to the extent that the Administrator (in its discretion) determines such approval is necessary and desirable to comply with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19.3</w:t>
      </w:r>
    </w:p>
    <w:p>
      <w:pPr>
        <w:pStyle w:val="TextBody"/>
        <w:bidi w:val="0"/>
        <w:spacing w:before="240" w:after="283"/>
        <w:jc w:val="both"/>
        <w:rPr/>
      </w:pPr>
      <w:r>
        <w:rPr>
          <w:rFonts w:ascii="Times New Roman" w:hAnsi="Times New Roman"/>
          <w:color w:val="000000"/>
          <w:sz w:val="24"/>
          <w:u w:val="single"/>
        </w:rPr>
        <w:t>Effect of Amendment or Termination</w:t>
      </w:r>
      <w:r>
        <w:rPr>
          <w:rFonts w:ascii="Times New Roman" w:hAnsi="Times New Roman"/>
          <w:color w:val="000000"/>
          <w:sz w:val="24"/>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Conditions Upon Issuance of Shares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20.1</w:t>
      </w:r>
    </w:p>
    <w:p>
      <w:pPr>
        <w:pStyle w:val="TextBody"/>
        <w:bidi w:val="0"/>
        <w:spacing w:before="240" w:after="283"/>
        <w:jc w:val="both"/>
        <w:rPr/>
      </w:pPr>
      <w:r>
        <w:rPr>
          <w:rFonts w:ascii="Times New Roman" w:hAnsi="Times New Roman"/>
          <w:color w:val="000000"/>
          <w:sz w:val="24"/>
          <w:u w:val="single"/>
        </w:rPr>
        <w:t>Legal Compliance</w:t>
      </w:r>
      <w:r>
        <w:rPr>
          <w:rFonts w:ascii="Times New Roman" w:hAnsi="Times New Roman"/>
          <w:color w:val="000000"/>
          <w:sz w:val="24"/>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20.2</w:t>
      </w:r>
    </w:p>
    <w:p>
      <w:pPr>
        <w:pStyle w:val="TextBody"/>
        <w:bidi w:val="0"/>
        <w:spacing w:before="240" w:after="283"/>
        <w:jc w:val="both"/>
        <w:rPr/>
      </w:pPr>
      <w:r>
        <w:rPr>
          <w:rFonts w:ascii="Times New Roman" w:hAnsi="Times New Roman"/>
          <w:color w:val="000000"/>
          <w:sz w:val="24"/>
          <w:u w:val="single"/>
        </w:rPr>
        <w:t>Investment Representations</w:t>
      </w:r>
      <w:r>
        <w:rPr>
          <w:rFonts w:ascii="Times New Roman" w:hAnsi="Times New Roman"/>
          <w:color w:val="000000"/>
          <w:sz w:val="24"/>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Inability to Obtain Authority</w:t>
      </w:r>
      <w:r>
        <w:rPr>
          <w:rFonts w:ascii="Times New Roman" w:hAnsi="Times New Roman"/>
          <w:color w:val="000000"/>
          <w:sz w:val="24"/>
        </w:rPr>
        <w:t>. The inability of the Company to obtain authority from any regulatory body having jurisdiction or to complete or comply with the requirements of any registration or other qualification of the Shares under any U.S. state or federal law or non</w:t>
        <w:noBreakHyphen/>
        <w:t xml:space="preserve">U.S. law or under the rules and regulations of the Securities and Exchange Commission, the stock exchange on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Forfeiture Events</w:t>
      </w:r>
      <w:r>
        <w:rPr>
          <w:rFonts w:ascii="Times New Roman" w:hAnsi="Times New Roman"/>
          <w:color w:val="000000"/>
          <w:sz w:val="24"/>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noBreakHyphen/>
        <w:t>Frank Wall Street Reform and Consumer Protection Act) (the “</w:t>
      </w:r>
      <w:r>
        <w:rPr>
          <w:rFonts w:ascii="Times New Roman" w:hAnsi="Times New Roman"/>
          <w:color w:val="000000"/>
          <w:sz w:val="24"/>
          <w:u w:val="single"/>
        </w:rPr>
        <w:t>Clawback Policy</w:t>
      </w:r>
      <w:r>
        <w:rPr>
          <w:color w:val="000000"/>
        </w:rPr>
        <w:t>”</w:t>
      </w:r>
      <w:r>
        <w:rPr>
          <w:rFonts w:ascii="Times New Roman" w:hAnsi="Times New Roman"/>
          <w:color w:val="000000"/>
          <w:sz w:val="24"/>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22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NOTICE OF STOCK OPTION GRANT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the terms defined in the Athira Pharma, Inc. 2024 Inducement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shall have the same defined meanings in this Stock Option Agreement, which includes the Notice of Stock Option Grant (the “</w:t>
      </w:r>
      <w:r>
        <w:rPr>
          <w:rFonts w:ascii="Times New Roman" w:hAnsi="Times New Roman"/>
          <w:color w:val="000000"/>
          <w:sz w:val="24"/>
          <w:u w:val="single"/>
        </w:rPr>
        <w:t>Notice of Grant</w:t>
      </w:r>
      <w:r>
        <w:rPr>
          <w:rFonts w:ascii="Times New Roman" w:hAnsi="Times New Roman"/>
          <w:color w:val="000000"/>
          <w:sz w:val="20"/>
        </w:rPr>
        <w:t>”</w:t>
      </w:r>
      <w:r>
        <w:rPr>
          <w:rFonts w:ascii="Times New Roman" w:hAnsi="Times New Roman"/>
          <w:color w:val="000000"/>
          <w:sz w:val="24"/>
        </w:rPr>
        <w:t xml:space="preserve">), the Terms and Conditions of Stock Option Grant, attached hereto as </w:t>
      </w:r>
      <w:r>
        <w:rPr>
          <w:rFonts w:ascii="Times New Roman" w:hAnsi="Times New Roman"/>
          <w:b/>
          <w:color w:val="000000"/>
          <w:sz w:val="24"/>
          <w:u w:val="single"/>
        </w:rPr>
        <w:t>Exhibit A</w:t>
      </w:r>
      <w:r>
        <w:rPr>
          <w:rFonts w:ascii="Times New Roman" w:hAnsi="Times New Roman"/>
          <w:color w:val="000000"/>
          <w:sz w:val="24"/>
        </w:rPr>
        <w:t xml:space="preserve">, the Exercise Notice, attached hereto as </w:t>
      </w:r>
      <w:r>
        <w:rPr>
          <w:rFonts w:ascii="Times New Roman" w:hAnsi="Times New Roman"/>
          <w:b/>
          <w:color w:val="000000"/>
          <w:sz w:val="24"/>
          <w:u w:val="single"/>
        </w:rPr>
        <w:t>Exhibit B</w:t>
      </w:r>
      <w:r>
        <w:rPr>
          <w:rFonts w:ascii="Times New Roman" w:hAnsi="Times New Roman"/>
          <w:color w:val="000000"/>
          <w:sz w:val="24"/>
        </w:rPr>
        <w:t>, and all other exhibits, appendices, and addenda attached hereto (together, the “</w:t>
      </w:r>
      <w:r>
        <w:rPr>
          <w:rFonts w:ascii="Times New Roman" w:hAnsi="Times New Roman"/>
          <w:color w:val="000000"/>
          <w:sz w:val="24"/>
          <w:u w:val="single"/>
        </w:rPr>
        <w:t>Option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Participant Name: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Address: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Participant has been granted an Option to purchase Common Stock of the Company, subject to the terms and conditions of the Plan and this Option Agreement,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Grant Number: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Date of Grant: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Vesting Commencement Date: </w:t>
      </w:r>
    </w:p>
    <w:p>
      <w:pPr>
        <w:pStyle w:val="TextBody"/>
        <w:bidi w:val="0"/>
        <w:spacing w:before="240" w:after="283"/>
        <w:jc w:val="both"/>
        <w:rPr>
          <w:rFonts w:ascii="Times New Roman" w:hAnsi="Times New Roman"/>
          <w:sz w:val="20"/>
        </w:rPr>
      </w:pPr>
      <w:r>
        <w:rPr>
          <w:rFonts w:ascii="Times New Roman" w:hAnsi="Times New Roman"/>
          <w:color w:val="000000"/>
          <w:sz w:val="24"/>
        </w:rPr>
        <w:t>Exercise Price per Share: $</w:t>
      </w:r>
      <w:r>
        <w:rPr>
          <w:rFonts w:ascii="Times New Roman" w:hAnsi="Times New Roman"/>
          <w:color w:val="000000"/>
          <w:sz w:val="20"/>
          <w:u w:val="single"/>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Total Number of Shares Granted: </w:t>
      </w:r>
    </w:p>
    <w:p>
      <w:pPr>
        <w:pStyle w:val="TextBody"/>
        <w:bidi w:val="0"/>
        <w:spacing w:before="240" w:after="283"/>
        <w:jc w:val="both"/>
        <w:rPr>
          <w:rFonts w:ascii="Times New Roman" w:hAnsi="Times New Roman"/>
          <w:sz w:val="20"/>
        </w:rPr>
      </w:pPr>
      <w:r>
        <w:rPr>
          <w:rFonts w:ascii="Times New Roman" w:hAnsi="Times New Roman"/>
          <w:color w:val="000000"/>
          <w:sz w:val="24"/>
        </w:rPr>
        <w:t>Total Exercise Price: $</w:t>
      </w:r>
      <w:r>
        <w:rPr>
          <w:rFonts w:ascii="Times New Roman" w:hAnsi="Times New Roman"/>
          <w:color w:val="000000"/>
          <w:sz w:val="20"/>
          <w:u w:val="single"/>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Type of Option: ___ Incentive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___ Nonstatutory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Term/Expiration Date: </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Vesting Schedule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any acceleration provisions contained in the Plan, this Option Agreement or any other written agreement between Participant and the Company (or any Parent or Subsidiary of the Company, as applicable) governing the terms of this Option, this Option shall vest and be exercisable, in whole or in part, according to the following vesting schedule: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[Insert Vesting Schedule]</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Termination Period</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Option shall be exercisable, to the extent vested, for three (3) months after Participant ceases to be a Service Provider, unless (x) such cessation is due to Participant’s Disability, in which case this Option shall be exercisable, to the extent vested, for twelve (12) months after Participant ceases to be a Service Provider, or (y) such cessation is due to Participant’s death or Participant dies within three (3) months following such date of cessation, in which case this Option shall be exercisable, to the extent vested, for eighteen (18) months after Participant ceases to be a Service Provider. Notwithstanding the foregoing sentence, in no event may this Option be exercised after the Term/Expiration Date as provided above and this Option may be subject to earlier termination as provided in Section 14 of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hAnsi="Times New Roman"/>
          <w:color w:val="000000"/>
          <w:sz w:val="24"/>
          <w:u w:val="single"/>
        </w:rPr>
        <w:t>Exhibit A</w:t>
      </w:r>
      <w:r>
        <w:rPr>
          <w:rFonts w:ascii="Times New Roman" w:hAnsi="Times New Roman"/>
          <w:color w:val="000000"/>
          <w:sz w:val="24"/>
        </w:rPr>
        <w:t xml:space="preserve">, the Exercise Notice, attached hereto as </w:t>
      </w:r>
      <w:r>
        <w:rPr>
          <w:rFonts w:ascii="Times New Roman" w:hAnsi="Times New Roman"/>
          <w:color w:val="000000"/>
          <w:sz w:val="24"/>
          <w:u w:val="single"/>
        </w:rPr>
        <w:t>Exhibit B</w:t>
      </w:r>
      <w:r>
        <w:rPr>
          <w:rFonts w:ascii="Times New Roman" w:hAnsi="Times New Roman"/>
          <w:color w:val="000000"/>
          <w:sz w:val="24"/>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ATHIRA PHARMA, INC.</w:t>
      </w:r>
    </w:p>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Signature Signature</w:t>
      </w:r>
    </w:p>
    <w:p>
      <w:pPr>
        <w:pStyle w:val="TextBody"/>
        <w:bidi w:val="0"/>
        <w:jc w:val="left"/>
        <w:rPr>
          <w:rFonts w:ascii="Times New Roman" w:hAnsi="Times New Roman"/>
          <w:color w:val="000000"/>
          <w:sz w:val="20"/>
        </w:rPr>
      </w:pPr>
      <w:r>
        <w:rPr>
          <w:rFonts w:ascii="Times New Roman" w:hAnsi="Times New Roman"/>
          <w:color w:val="000000"/>
          <w:sz w:val="20"/>
        </w:rPr>
        <w:t>Print Name Print Name</w:t>
      </w:r>
    </w:p>
    <w:p>
      <w:pPr>
        <w:pStyle w:val="TextBody"/>
        <w:bidi w:val="0"/>
        <w:jc w:val="left"/>
        <w:rPr>
          <w:rFonts w:ascii="Times New Roman" w:hAnsi="Times New Roman"/>
          <w:color w:val="000000"/>
          <w:sz w:val="20"/>
        </w:rPr>
      </w:pPr>
      <w:r>
        <w:rPr>
          <w:rFonts w:ascii="Times New Roman" w:hAnsi="Times New Roman"/>
          <w:color w:val="000000"/>
          <w:sz w:val="20"/>
        </w:rPr>
        <w:t>Title</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Residence Address: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240" w:after="283"/>
        <w:jc w:val="both"/>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TERMS AND CONDITIONS OF STOCK OPTION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Grant of Option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The Company hereby grants to the individual (“</w:t>
      </w:r>
      <w:r>
        <w:rPr>
          <w:rFonts w:ascii="Times New Roman" w:hAnsi="Times New Roman"/>
          <w:color w:val="000000"/>
          <w:sz w:val="24"/>
          <w:u w:val="single"/>
        </w:rPr>
        <w:t>Participant</w:t>
      </w:r>
      <w:r>
        <w:rPr>
          <w:color w:val="000000"/>
        </w:rPr>
        <w:t>”</w:t>
      </w:r>
      <w:r>
        <w:rPr>
          <w:rFonts w:ascii="Times New Roman" w:hAnsi="Times New Roman"/>
          <w:color w:val="000000"/>
          <w:sz w:val="24"/>
        </w:rPr>
        <w:t>) named in the Notice of Stock Option Grant of this Option Agreement (the “</w:t>
      </w:r>
      <w:r>
        <w:rPr>
          <w:rFonts w:ascii="Times New Roman" w:hAnsi="Times New Roman"/>
          <w:color w:val="000000"/>
          <w:sz w:val="24"/>
          <w:u w:val="single"/>
        </w:rPr>
        <w:t>Notice of Grant</w:t>
      </w:r>
      <w:r>
        <w:rPr>
          <w:color w:val="000000"/>
        </w:rPr>
        <w:t>”</w:t>
      </w:r>
      <w:r>
        <w:rPr>
          <w:rFonts w:ascii="Times New Roman" w:hAnsi="Times New Roman"/>
          <w:color w:val="000000"/>
          <w:sz w:val="24"/>
        </w:rPr>
        <w:t>), an option (the “</w:t>
      </w:r>
      <w:r>
        <w:rPr>
          <w:rFonts w:ascii="Times New Roman" w:hAnsi="Times New Roman"/>
          <w:color w:val="000000"/>
          <w:sz w:val="24"/>
          <w:u w:val="single"/>
        </w:rPr>
        <w:t>Option</w:t>
      </w:r>
      <w:r>
        <w:rPr>
          <w:color w:val="000000"/>
        </w:rPr>
        <w:t>”</w:t>
      </w:r>
      <w:r>
        <w:rPr>
          <w:rFonts w:ascii="Times New Roman" w:hAnsi="Times New Roman"/>
          <w:color w:val="000000"/>
          <w:sz w:val="24"/>
        </w:rPr>
        <w:t>) to purchase the number of Shares set forth in the Notice of Grant, at the exercise price per Share set forth in the Notice of Grant (the “</w:t>
      </w:r>
      <w:r>
        <w:rPr>
          <w:rFonts w:ascii="Times New Roman" w:hAnsi="Times New Roman"/>
          <w:color w:val="000000"/>
          <w:sz w:val="24"/>
          <w:u w:val="single"/>
        </w:rPr>
        <w:t>Exercise Price</w:t>
      </w:r>
      <w:r>
        <w:rPr>
          <w:color w:val="000000"/>
        </w:rPr>
        <w:t>”</w:t>
      </w:r>
      <w:r>
        <w:rPr>
          <w:rFonts w:ascii="Times New Roman" w:hAnsi="Times New Roman"/>
          <w:color w:val="000000"/>
          <w:sz w:val="24"/>
        </w:rPr>
        <w:t>), subject to all of the terms and conditions in this Option Agreement and the Plan, which is incorporated herein by reference. Subject to Section 19 of the Plan, in the event of a conflict between the terms and conditions of the Plan and this Option Agreement, the terms and conditions of the Plan shall prevail.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For U.S. taxpayers, if designated in the Notice of Grant as an Incentive Stock Option (“</w:t>
      </w:r>
      <w:r>
        <w:rPr>
          <w:rFonts w:ascii="Times New Roman" w:hAnsi="Times New Roman"/>
          <w:color w:val="000000"/>
          <w:sz w:val="24"/>
          <w:u w:val="single"/>
        </w:rPr>
        <w:t>ISO</w:t>
      </w:r>
      <w:r>
        <w:rPr>
          <w:color w:val="000000"/>
        </w:rPr>
        <w:t>”</w:t>
      </w:r>
      <w:r>
        <w:rPr>
          <w:rFonts w:ascii="Times New Roman" w:hAnsi="Times New Roman"/>
          <w:color w:val="000000"/>
          <w:sz w:val="24"/>
        </w:rPr>
        <w:t>), this Option is intended to qualify as an Incentive Stock Option as defined in Section 422 of the Code. Nevertheless, to the extent that it exceeds the $100,000 rule of Code Section 422(d), this Option shall be treated as a Nonstatutory Stock Option (“</w:t>
      </w:r>
      <w:r>
        <w:rPr>
          <w:rFonts w:ascii="Times New Roman" w:hAnsi="Times New Roman"/>
          <w:color w:val="000000"/>
          <w:sz w:val="24"/>
          <w:u w:val="single"/>
        </w:rPr>
        <w:t>NSO</w:t>
      </w:r>
      <w:r>
        <w:rPr>
          <w:color w:val="000000"/>
        </w:rPr>
        <w:t>”</w:t>
      </w:r>
      <w:r>
        <w:rPr>
          <w:rFonts w:ascii="Times New Roman" w:hAnsi="Times New Roman"/>
          <w:color w:val="000000"/>
          <w:sz w:val="24"/>
        </w:rPr>
        <w:t xml:space="preserve">).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For non-U.S. taxpayers, the Option will be designated as an NSO.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Vesting Schedule</w:t>
      </w:r>
      <w:r>
        <w:rPr>
          <w:rFonts w:ascii="Times New Roman" w:hAnsi="Times New Roman"/>
          <w:color w:val="000000"/>
          <w:sz w:val="24"/>
        </w:rPr>
        <w:t>. Except as provided in Section 3, the Option awarded by this Option Agreement will vest in accordance with the vesting provisions set forth in the Notice of Grant. Unless specifically provided otherwise in this Option Agreement or other written agreement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Administrator Discretion</w:t>
      </w:r>
      <w:r>
        <w:rPr>
          <w:rFonts w:ascii="Times New Roman" w:hAnsi="Times New Roman"/>
          <w:color w:val="000000"/>
          <w:sz w:val="24"/>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Right to Exercise</w:t>
      </w:r>
      <w:r>
        <w:rPr>
          <w:rFonts w:ascii="Times New Roman" w:hAnsi="Times New Roman"/>
          <w:color w:val="000000"/>
          <w:sz w:val="24"/>
        </w:rPr>
        <w:t>. This Option shall be exercisable during its term in accordance with the Vesting Schedule set out in the Notice of Grant and with the applicable provisions of the Plan and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Method of Exercise</w:t>
      </w:r>
      <w:r>
        <w:rPr>
          <w:rFonts w:ascii="Times New Roman" w:hAnsi="Times New Roman"/>
          <w:color w:val="000000"/>
          <w:sz w:val="24"/>
        </w:rPr>
        <w:t>. This Option shall be exercisable by delivery of an exercise notice (the “</w:t>
      </w:r>
      <w:r>
        <w:rPr>
          <w:rFonts w:ascii="Times New Roman" w:hAnsi="Times New Roman"/>
          <w:color w:val="000000"/>
          <w:sz w:val="24"/>
          <w:u w:val="single"/>
        </w:rPr>
        <w:t>Exercise Notice</w:t>
      </w:r>
      <w:r>
        <w:rPr>
          <w:color w:val="000000"/>
        </w:rPr>
        <w:t>”</w:t>
      </w:r>
      <w:r>
        <w:rPr>
          <w:rFonts w:ascii="Times New Roman" w:hAnsi="Times New Roman"/>
          <w:color w:val="000000"/>
          <w:sz w:val="24"/>
        </w:rPr>
        <w:t xml:space="preserve">) in the form attached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to the Notice of Grant or in a manner and pursuant to such procedures as the Administrator may determine, which shall state the election to exercise the Option, the number of Shares with respect to which the Option is being exercised (the “</w:t>
      </w:r>
      <w:r>
        <w:rPr>
          <w:rFonts w:ascii="Times New Roman" w:hAnsi="Times New Roman"/>
          <w:color w:val="000000"/>
          <w:sz w:val="24"/>
          <w:u w:val="single"/>
        </w:rPr>
        <w:t>Exercised Shares</w:t>
      </w:r>
      <w:r>
        <w:rPr>
          <w:color w:val="000000"/>
        </w:rPr>
        <w:t>”</w:t>
      </w:r>
      <w:r>
        <w:rPr>
          <w:rFonts w:ascii="Times New Roman" w:hAnsi="Times New Roman"/>
          <w:color w:val="000000"/>
          <w:sz w:val="24"/>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Tax Obligations (as defined below). This Option shall be deemed to be exercised upon receipt by the Company of such fully executed Exercise Notice accompanied by the aggregate Exercise Price, together with any applicable Tax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Method of Payment</w:t>
      </w:r>
      <w:r>
        <w:rPr>
          <w:rFonts w:ascii="Times New Roman" w:hAnsi="Times New Roman"/>
          <w:color w:val="000000"/>
          <w:sz w:val="24"/>
        </w:rPr>
        <w:t>. Payment of the aggregate Exercise Price shall be by any of the following, or a combination thereof, at the election of Participant: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cash;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check;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consideration received by the Company under a formal cashless exercise program adopted by the Company in connection with the Plan; 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non-U.S. resident’s methods of exercise may be restricted by the terms and conditions of any appendix to this Agreement for Participant’s country (including the Country Addendum, as defined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Non-Transferability of Option</w:t>
      </w:r>
      <w:r>
        <w:rPr>
          <w:rFonts w:ascii="Times New Roman" w:hAnsi="Times New Roman"/>
          <w:color w:val="000000"/>
          <w:sz w:val="24"/>
        </w:rPr>
        <w:t xml:space="preserve">. This Option may not be transferred in any manner otherwise than by will or by the laws of descent or distribution and may be exercised during the lifetime of Participant only by Participant.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Term of Option</w:t>
      </w:r>
      <w:r>
        <w:rPr>
          <w:rFonts w:ascii="Times New Roman" w:hAnsi="Times New Roman"/>
          <w:color w:val="000000"/>
          <w:sz w:val="24"/>
        </w:rPr>
        <w:t>. This Option may be exercised only within the term set out in the Notice of Grant, and may be exercised during such term only in accordance with the Plan and the terms of this Option Agreement.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Tax Obligations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Responsibility for Taxes</w:t>
      </w:r>
      <w:r>
        <w:rPr>
          <w:rFonts w:ascii="Times New Roman" w:hAnsi="Times New Roman"/>
          <w:color w:val="000000"/>
          <w:sz w:val="24"/>
        </w:rPr>
        <w:t>. Participant acknowledges that, regardless of any action taken by the Company or, if different, Participant’s employer or any Parent or Subsidiary to which Participant is providing services (together, the “</w:t>
      </w:r>
      <w:r>
        <w:rPr>
          <w:rFonts w:ascii="Times New Roman" w:hAnsi="Times New Roman"/>
          <w:color w:val="000000"/>
          <w:sz w:val="24"/>
          <w:u w:val="single"/>
        </w:rPr>
        <w:t>Service Recipients</w:t>
      </w:r>
      <w:r>
        <w:rPr>
          <w:color w:val="000000"/>
        </w:rPr>
        <w:t>”</w:t>
      </w:r>
      <w:r>
        <w:rPr>
          <w:rFonts w:ascii="Times New Roman" w:hAnsi="Times New Roman"/>
          <w:color w:val="000000"/>
          <w:sz w:val="24"/>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 w:hAnsi="Times New Roman"/>
          <w:color w:val="000000"/>
          <w:sz w:val="24"/>
          <w:u w:val="single"/>
        </w:rPr>
        <w:t>Tax Obligations</w:t>
      </w:r>
      <w:r>
        <w:rPr>
          <w:color w:val="000000"/>
        </w:rPr>
        <w:t>”</w:t>
      </w:r>
      <w:r>
        <w:rPr>
          <w:rFonts w:ascii="Times New Roman" w:hAnsi="Times New Roman"/>
          <w:color w:val="000000"/>
          <w:sz w:val="24"/>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Tax Withholding</w:t>
      </w:r>
      <w:r>
        <w:rPr>
          <w:rFonts w:ascii="Times New Roman" w:hAnsi="Times New Roman"/>
          <w:color w:val="000000"/>
          <w:sz w:val="24"/>
        </w:rPr>
        <w:t xml:space="preserve">. Pursuant to such procedures as the Administrator may specify from time to time, the applicable Service Recipient(s)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Obligations withheld from Participant’s wages or other cash compensation paid to Participant by the applicable Service Recipient(s), (iv) delivering to the Company Shares that Participant owns and that have vested with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the Administrator will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have the right (but not the obligation) to satisfy any Tax Obligations by reducing the number of Shares otherwise deliverable to Participant.</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Notice of Disqualifying Disposition of ISO Shares</w:t>
      </w:r>
      <w:r>
        <w:rPr>
          <w:rFonts w:ascii="Times New Roman" w:hAnsi="Times New Roman"/>
          <w:color w:val="000000"/>
          <w:sz w:val="24"/>
        </w:rPr>
        <w:t xml:space="preserve">.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 w:hAnsi="Times New Roman"/>
          <w:color w:val="000000"/>
          <w:sz w:val="24"/>
          <w:u w:val="single"/>
        </w:rPr>
        <w:t>IRS</w:t>
      </w:r>
      <w:r>
        <w:rPr>
          <w:color w:val="000000"/>
        </w:rPr>
        <w:t>”</w:t>
      </w:r>
      <w:r>
        <w:rPr>
          <w:rFonts w:ascii="Times New Roman" w:hAnsi="Times New Roman"/>
          <w:color w:val="000000"/>
          <w:sz w:val="24"/>
        </w:rPr>
        <w:t>) to be less than the fair market value of an underlying share on the date of grant (a “</w:t>
      </w:r>
      <w:r>
        <w:rPr>
          <w:rFonts w:ascii="Times New Roman" w:hAnsi="Times New Roman"/>
          <w:color w:val="000000"/>
          <w:sz w:val="24"/>
          <w:u w:val="single"/>
        </w:rPr>
        <w:t>discount option</w:t>
      </w:r>
      <w:r>
        <w:rPr>
          <w:color w:val="000000"/>
        </w:rPr>
        <w:t>”</w:t>
      </w:r>
      <w:r>
        <w:rPr>
          <w:rFonts w:ascii="Times New Roman" w:hAnsi="Times New Roman"/>
          <w:color w:val="000000"/>
          <w:sz w:val="24"/>
        </w:rPr>
        <w:t xml:space="preserve">)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Rights as Stockholder</w:t>
      </w:r>
      <w:r>
        <w:rPr>
          <w:rFonts w:ascii="Times New Roman" w:hAnsi="Times New Roman"/>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Entire Agreement; Governing Law</w:t>
      </w:r>
      <w:r>
        <w:rPr>
          <w:rFonts w:ascii="Times New Roman" w:hAnsi="Times New Roman"/>
          <w:color w:val="000000"/>
          <w:sz w:val="24"/>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Delaware.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No Guarantee of Continued Service</w:t>
      </w:r>
      <w:r>
        <w:rPr>
          <w:rFonts w:ascii="Times New Roman" w:hAnsi="Times New Roman"/>
          <w:color w:val="000000"/>
          <w:sz w:val="24"/>
        </w:rPr>
        <w:t>. PARTICIPANT ACKNOWLEDGES AND AGREES THAT THE 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SUBJECT TO APPLICABLE LAW, WHICH TERMINATION, UNLESS PROVIDED OTHERWISE UNDER APPLICABLE LAW, MAY BE AT ANY TIME, WITH OR WITHOUT CAUSE.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Nature of Grant</w:t>
      </w:r>
      <w:r>
        <w:rPr>
          <w:rFonts w:ascii="Times New Roman" w:hAnsi="Times New Roman"/>
          <w:color w:val="000000"/>
          <w:sz w:val="24"/>
        </w:rPr>
        <w:t>. In accepting the Option, Participant acknowledges, understands and agrees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grant of the Option is voluntary and occasional and does not create any contractual or other right to receive future grants of options, or benefits in lieu of options, even if options have been granted in the past;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decisions with respect to future option or other grants, if any, will be at the sole discretion of the Administrator;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Participant is voluntarily participating in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Option and any Shares acquired under the Plan are not intended to replace any pension rights or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future value of the Shares underlying the Option is unknown, indeterminable, and cannot be predicted with certainty;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underlying Shares do not increase in value, the Option will have no value;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Participant exercises the Option and acquires Shares, the value of such Shares may increase or decrease in value, even below the Exercise Price;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purposes of the Option, Participant’s status as a Service Provider will be considered terminated as of the date Participant is no longer actively providing services to the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provisions apply only if Participant is providing services outside the United States: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Option and the Shares subject to the Option are not part of normal or expected compensation or salary for any purpose;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No Advice Regarding Grant</w:t>
      </w:r>
      <w:r>
        <w:rPr>
          <w:rFonts w:ascii="Times New Roman" w:hAnsi="Times New Roman"/>
          <w:color w:val="000000"/>
          <w:sz w:val="24"/>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b/>
          <w:color w:val="000000"/>
          <w:sz w:val="24"/>
          <w:u w:val="single"/>
        </w:rPr>
        <w:t>Data Privacy</w:t>
      </w:r>
      <w:r>
        <w:rPr>
          <w:rFonts w:ascii="Times New Roman" w:hAnsi="Times New Roman"/>
          <w:color w:val="000000"/>
          <w:sz w:val="24"/>
        </w:rPr>
        <w:t xml:space="preserve">. </w:t>
      </w:r>
      <w:r>
        <w:rPr>
          <w:rFonts w:ascii="Times New Roman" w:hAnsi="Times New Roman"/>
          <w:b/>
          <w:i/>
          <w:color w:val="000000"/>
          <w:sz w:val="24"/>
        </w:rPr>
        <w:t xml:space="preserve">Participant hereby explicitly and unambiguously consents to the collection, use and transfer, in 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 </w:t>
      </w:r>
    </w:p>
    <w:p>
      <w:pPr>
        <w:pStyle w:val="TextBody"/>
        <w:bidi w:val="0"/>
        <w:spacing w:before="240" w:after="283"/>
        <w:jc w:val="both"/>
        <w:rPr>
          <w:rFonts w:ascii="Times New Roman" w:hAnsi="Times New Roman"/>
          <w:sz w:val="20"/>
        </w:rPr>
      </w:pPr>
      <w:r>
        <w:rPr>
          <w:rFonts w:ascii="Times New Roman" w:hAnsi="Times New Roman"/>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Times New Roman" w:hAnsi="Times New Roman"/>
          <w:b/>
          <w:i/>
          <w:color w:val="000000"/>
          <w:sz w:val="24"/>
          <w:u w:val="single"/>
        </w:rPr>
        <w:t>Data</w:t>
      </w:r>
      <w:r>
        <w:rPr>
          <w:rFonts w:ascii="Times New Roman" w:hAnsi="Times New Roman"/>
          <w:color w:val="000000"/>
          <w:sz w:val="20"/>
        </w:rPr>
        <w:t>”</w:t>
      </w:r>
      <w:r>
        <w:rPr>
          <w:rFonts w:ascii="Times New Roman" w:hAnsi="Times New Roman"/>
          <w:b/>
          <w:i/>
          <w:color w:val="000000"/>
          <w:sz w:val="24"/>
        </w:rPr>
        <w:t>), for the exclusive purpose of implementing, administering and managing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Address for Notices</w:t>
      </w:r>
      <w:r>
        <w:rPr>
          <w:rFonts w:ascii="Times New Roman" w:hAnsi="Times New Roman"/>
          <w:color w:val="000000"/>
          <w:sz w:val="24"/>
        </w:rPr>
        <w:t xml:space="preserve">. Any notice to be given to the Company under the terms of this Option Agreement will be addressed to the Company at Athira Pharma, Inc., 400 Mason Rd., Suite 300, Seattle, Washington 98195-2141, or at such other address as the Company may hereafter designate in writing.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xml:space="preserve">.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the executors, administrators, heirs, successors and assigns of Participant. The rights and obligations of Participant under this Option Agreement may be assigned only with the prior written consent of the Company.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Additional Conditions to Issuance of Stock</w:t>
      </w:r>
      <w:r>
        <w:rPr>
          <w:rFonts w:ascii="Times New Roman" w:hAnsi="Times New Roman"/>
          <w:color w:val="000000"/>
          <w:sz w:val="24"/>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Language</w:t>
      </w:r>
      <w:r>
        <w:rPr>
          <w:rFonts w:ascii="Times New Roman" w:hAnsi="Times New Roman"/>
          <w:color w:val="000000"/>
          <w:sz w:val="24"/>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Interpretation</w:t>
      </w:r>
      <w:r>
        <w:rPr>
          <w:rFonts w:ascii="Times New Roman" w:hAnsi="Times New Roman"/>
          <w:color w:val="000000"/>
          <w:sz w:val="24"/>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Electronic Delivery and Acceptance</w:t>
      </w:r>
      <w:r>
        <w:rPr>
          <w:rFonts w:ascii="Times New Roman" w:hAnsi="Times New Roman"/>
          <w:color w:val="000000"/>
          <w:sz w:val="24"/>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Captions</w:t>
      </w:r>
      <w:r>
        <w:rPr>
          <w:rFonts w:ascii="Times New Roman" w:hAnsi="Times New Roman"/>
          <w:color w:val="000000"/>
          <w:sz w:val="24"/>
        </w:rPr>
        <w:t>. Captions provided herein are for convenience only and are not to serve as a basis for interpretation or construction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Option Agreement Severable</w:t>
      </w:r>
      <w:r>
        <w:rPr>
          <w:rFonts w:ascii="Times New Roman" w:hAnsi="Times New Roman"/>
          <w:color w:val="000000"/>
          <w:sz w:val="24"/>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Amendment, Suspension or Termination of the Plan</w:t>
      </w:r>
      <w:r>
        <w:rPr>
          <w:rFonts w:ascii="Times New Roman" w:hAnsi="Times New Roman"/>
          <w:color w:val="000000"/>
          <w:sz w:val="24"/>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rFonts w:ascii="Times New Roman" w:hAnsi="Times New Roman"/>
          <w:color w:val="000000"/>
          <w:sz w:val="24"/>
          <w:u w:val="single"/>
        </w:rPr>
        <w:t>Country Addendum</w:t>
      </w:r>
      <w:r>
        <w:rPr>
          <w:rFonts w:ascii="Times New Roman" w:hAnsi="Times New Roman"/>
          <w:color w:val="000000"/>
          <w:sz w:val="24"/>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Times New Roman" w:hAnsi="Times New Roman"/>
          <w:color w:val="000000"/>
          <w:sz w:val="24"/>
          <w:u w:val="single"/>
        </w:rPr>
        <w:t>Country Addendum</w:t>
      </w:r>
      <w:r>
        <w:rPr>
          <w:color w:val="000000"/>
        </w:rPr>
        <w:t>”</w:t>
      </w:r>
      <w:r>
        <w:rPr>
          <w:rFonts w:ascii="Times New Roman" w:hAnsi="Times New Roman"/>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rFonts w:ascii="Times New Roman" w:hAnsi="Times New Roman"/>
          <w:color w:val="000000"/>
          <w:sz w:val="24"/>
          <w:u w:val="single"/>
        </w:rPr>
        <w:t>Modifications to the Option Agreement</w:t>
      </w:r>
      <w:r>
        <w:rPr>
          <w:rFonts w:ascii="Times New Roman" w:hAnsi="Times New Roman"/>
          <w:color w:val="000000"/>
          <w:sz w:val="24"/>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rFonts w:ascii="Times New Roman" w:hAnsi="Times New Roman"/>
          <w:color w:val="000000"/>
          <w:sz w:val="24"/>
          <w:u w:val="single"/>
        </w:rPr>
        <w:t>No Waiver</w:t>
      </w:r>
      <w:r>
        <w:rPr>
          <w:rFonts w:ascii="Times New Roman" w:hAnsi="Times New Roman"/>
          <w:color w:val="000000"/>
          <w:sz w:val="24"/>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rFonts w:ascii="Times New Roman" w:hAnsi="Times New Roman"/>
          <w:color w:val="000000"/>
          <w:sz w:val="24"/>
          <w:u w:val="single"/>
        </w:rPr>
        <w:t>Tax Consequences</w:t>
      </w:r>
      <w:r>
        <w:rPr>
          <w:rFonts w:ascii="Times New Roman" w:hAnsi="Times New Roman"/>
          <w:color w:val="000000"/>
          <w:sz w:val="24"/>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pStyle w:val="TextBody"/>
        <w:bidi w:val="0"/>
        <w:jc w:val="center"/>
        <w:rPr>
          <w:rFonts w:ascii="Times New Roman" w:hAnsi="Times New Roman"/>
          <w:color w:val="000000"/>
          <w:sz w:val="24"/>
        </w:rPr>
      </w:pPr>
      <w:r>
        <w:rPr>
          <w:rFonts w:ascii="Times New Roman" w:hAnsi="Times New Roman"/>
          <w:color w:val="000000"/>
          <w:sz w:val="24"/>
        </w:rPr>
        <w:t>* *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sz w:val="20"/>
        </w:rPr>
      </w:pPr>
      <w:r>
        <w:rPr>
          <w:rFonts w:ascii="Times New Roman" w:hAnsi="Times New Roman"/>
          <w:b/>
          <w:color w:val="000000"/>
          <w:sz w:val="24"/>
        </w:rPr>
        <w:t>2024 INDUCEMENT EQUITY INCENTIVE PLAN</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EXERCISE NOTICE</w:t>
      </w:r>
    </w:p>
    <w:p>
      <w:pPr>
        <w:pStyle w:val="TextBody"/>
        <w:bidi w:val="0"/>
        <w:jc w:val="both"/>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Athira Pharma, Inc.</w:t>
      </w:r>
    </w:p>
    <w:p>
      <w:pPr>
        <w:pStyle w:val="TextBody"/>
        <w:bidi w:val="0"/>
        <w:jc w:val="left"/>
        <w:rPr>
          <w:rFonts w:ascii="Times New Roman" w:hAnsi="Times New Roman"/>
          <w:color w:val="000000"/>
          <w:sz w:val="24"/>
        </w:rPr>
      </w:pPr>
      <w:r>
        <w:rPr>
          <w:rFonts w:ascii="Times New Roman" w:hAnsi="Times New Roman"/>
          <w:color w:val="000000"/>
          <w:sz w:val="24"/>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Attention: [Finance Department]</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 Effective as of today, ________________, ____, the undersigned (“</w:t>
      </w:r>
      <w:r>
        <w:rPr>
          <w:rFonts w:ascii="Times New Roman" w:hAnsi="Times New Roman"/>
          <w:color w:val="000000"/>
          <w:sz w:val="24"/>
          <w:u w:val="single"/>
        </w:rPr>
        <w:t>Participant</w:t>
      </w:r>
      <w:r>
        <w:rPr>
          <w:color w:val="000000"/>
        </w:rPr>
        <w:t>”</w:t>
      </w:r>
      <w:r>
        <w:rPr>
          <w:rFonts w:ascii="Times New Roman" w:hAnsi="Times New Roman"/>
          <w:color w:val="000000"/>
          <w:sz w:val="24"/>
        </w:rPr>
        <w:t>) hereby elects to exercise Participant’s option (the “</w:t>
      </w:r>
      <w:r>
        <w:rPr>
          <w:rFonts w:ascii="Times New Roman" w:hAnsi="Times New Roman"/>
          <w:color w:val="000000"/>
          <w:sz w:val="24"/>
          <w:u w:val="single"/>
        </w:rPr>
        <w:t>Option</w:t>
      </w:r>
      <w:r>
        <w:rPr>
          <w:color w:val="000000"/>
        </w:rPr>
        <w:t>”</w:t>
      </w:r>
      <w:r>
        <w:rPr>
          <w:rFonts w:ascii="Times New Roman" w:hAnsi="Times New Roman"/>
          <w:color w:val="000000"/>
          <w:sz w:val="24"/>
        </w:rPr>
        <w:t>) to purchase ________________ shares of the Common Stock (the “Shares”) of Athira Pharma, Inc. (the “</w:t>
      </w:r>
      <w:r>
        <w:rPr>
          <w:rFonts w:ascii="Times New Roman" w:hAnsi="Times New Roman"/>
          <w:color w:val="000000"/>
          <w:sz w:val="24"/>
          <w:u w:val="single"/>
        </w:rPr>
        <w:t>Company</w:t>
      </w:r>
      <w:r>
        <w:rPr>
          <w:color w:val="000000"/>
        </w:rPr>
        <w:t>”</w:t>
      </w:r>
      <w:r>
        <w:rPr>
          <w:rFonts w:ascii="Times New Roman" w:hAnsi="Times New Roman"/>
          <w:color w:val="000000"/>
          <w:sz w:val="24"/>
        </w:rPr>
        <w:t>) under and pursuant to the 2024 Inducement Equity Incentive Plan (the “</w:t>
      </w:r>
      <w:r>
        <w:rPr>
          <w:rFonts w:ascii="Times New Roman" w:hAnsi="Times New Roman"/>
          <w:color w:val="000000"/>
          <w:sz w:val="24"/>
          <w:u w:val="single"/>
        </w:rPr>
        <w:t>Plan</w:t>
      </w:r>
      <w:r>
        <w:rPr>
          <w:color w:val="000000"/>
        </w:rPr>
        <w:t>”</w:t>
      </w:r>
      <w:r>
        <w:rPr>
          <w:rFonts w:ascii="Times New Roman" w:hAnsi="Times New Roman"/>
          <w:color w:val="000000"/>
          <w:sz w:val="24"/>
        </w:rPr>
        <w:t xml:space="preserve">) and the Stock Option Agreement dated ______________, _____, including the Notice of Stock Option Grant, and the Terms and Conditions of Stock Option Grant attached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thereto and other exhibits, appendices and addenda attached thereto (the “</w:t>
      </w:r>
      <w:r>
        <w:rPr>
          <w:rFonts w:ascii="Times New Roman" w:hAnsi="Times New Roman"/>
          <w:color w:val="000000"/>
          <w:sz w:val="24"/>
          <w:u w:val="single"/>
        </w:rPr>
        <w:t>Option Agreement</w:t>
      </w:r>
      <w:r>
        <w:rPr>
          <w:color w:val="000000"/>
        </w:rPr>
        <w:t>”</w:t>
      </w:r>
      <w:r>
        <w:rPr>
          <w:rFonts w:ascii="Times New Roman" w:hAnsi="Times New Roman"/>
          <w:color w:val="000000"/>
          <w:sz w:val="24"/>
        </w:rPr>
        <w:t xml:space="preserve">). Unless otherwise defined herein, capitalized terms used in this Exercise Notice will be ascribed the same defined meanings as set forth in the Option Agreement (or the Plan or other written agreement as specified in the Option Agreement). </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240" w:after="283"/>
        <w:jc w:val="both"/>
        <w:rPr/>
      </w:pPr>
      <w:r>
        <w:rPr>
          <w:rFonts w:ascii="Times New Roman" w:hAnsi="Times New Roman"/>
          <w:color w:val="000000"/>
          <w:sz w:val="24"/>
          <w:u w:val="single"/>
        </w:rPr>
        <w:t>Delivery of Payment</w:t>
      </w:r>
      <w:r>
        <w:rPr>
          <w:rFonts w:ascii="Times New Roman" w:hAnsi="Times New Roman"/>
          <w:color w:val="000000"/>
          <w:sz w:val="24"/>
        </w:rPr>
        <w:t>. Participant herewith delivers to the Company the full purchase price of the Shares, as set forth in the Option Agreement, and any Tax Obligations to be paid in connection with the exercise of the Option.</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240" w:after="283"/>
        <w:jc w:val="both"/>
        <w:rPr/>
      </w:pPr>
      <w:r>
        <w:rPr>
          <w:rFonts w:ascii="Times New Roman" w:hAnsi="Times New Roman"/>
          <w:color w:val="000000"/>
          <w:sz w:val="24"/>
          <w:u w:val="single"/>
        </w:rPr>
        <w:t>Representations of Participant</w:t>
      </w:r>
      <w:r>
        <w:rPr>
          <w:rFonts w:ascii="Times New Roman" w:hAnsi="Times New Roman"/>
          <w:color w:val="000000"/>
          <w:sz w:val="24"/>
        </w:rPr>
        <w:t>. Participant acknowledges that Participant has received, read and understood the Plan and the Option Agreement and agrees to abide by and be bound by their terms and conditions.</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240" w:after="283"/>
        <w:jc w:val="both"/>
        <w:rPr/>
      </w:pPr>
      <w:r>
        <w:rPr>
          <w:rFonts w:ascii="Times New Roman" w:hAnsi="Times New Roman"/>
          <w:color w:val="000000"/>
          <w:sz w:val="24"/>
          <w:u w:val="single"/>
        </w:rPr>
        <w:t>Rights as Stockholder</w:t>
      </w:r>
      <w:r>
        <w:rPr>
          <w:rFonts w:ascii="Times New Roman" w:hAnsi="Times New Roman"/>
          <w:color w:val="000000"/>
          <w:sz w:val="24"/>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14 of the Plan.</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240" w:after="283"/>
        <w:jc w:val="both"/>
        <w:rPr/>
      </w:pPr>
      <w:r>
        <w:rPr>
          <w:rFonts w:ascii="Times New Roman" w:hAnsi="Times New Roman"/>
          <w:color w:val="000000"/>
          <w:sz w:val="24"/>
          <w:u w:val="single"/>
        </w:rPr>
        <w:t>Tax Consultation</w:t>
      </w:r>
      <w:r>
        <w:rPr>
          <w:rFonts w:ascii="Times New Roman" w:hAnsi="Times New Roman"/>
          <w:color w:val="000000"/>
          <w:sz w:val="24"/>
        </w:rPr>
        <w:t xml:space="preserve">. Participant understands that Participant may suffer adverse tax consequences as a result of Participant’s purchase or disposition of the Shares. Participant represents that Participant has consulted with any tax consultants Participant deems advisable in connection with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purchase or disposition of the Shares and that Participant is not relying on the Company for any tax advice.</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240" w:after="283"/>
        <w:jc w:val="both"/>
        <w:rPr/>
      </w:pPr>
      <w:r>
        <w:rPr>
          <w:rFonts w:ascii="Times New Roman" w:hAnsi="Times New Roman"/>
          <w:color w:val="000000"/>
          <w:sz w:val="24"/>
          <w:u w:val="single"/>
        </w:rPr>
        <w:t>Interpretation</w:t>
      </w:r>
      <w:r>
        <w:rPr>
          <w:rFonts w:ascii="Times New Roman" w:hAnsi="Times New Roman"/>
          <w:color w:val="000000"/>
          <w:sz w:val="24"/>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240" w:after="283"/>
        <w:jc w:val="both"/>
        <w:rPr/>
      </w:pPr>
      <w:r>
        <w:rPr>
          <w:rFonts w:ascii="Times New Roman" w:hAnsi="Times New Roman"/>
          <w:color w:val="000000"/>
          <w:sz w:val="24"/>
          <w:u w:val="single"/>
        </w:rPr>
        <w:t>Governing Law; Severability</w:t>
      </w:r>
      <w:r>
        <w:rPr>
          <w:rFonts w:ascii="Times New Roman" w:hAnsi="Times New Roman"/>
          <w:color w:val="000000"/>
          <w:sz w:val="24"/>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240" w:after="283"/>
        <w:jc w:val="both"/>
        <w:rPr/>
      </w:pPr>
      <w:r>
        <w:rPr>
          <w:rFonts w:ascii="Times New Roman" w:hAnsi="Times New Roman"/>
          <w:color w:val="000000"/>
          <w:sz w:val="24"/>
          <w:u w:val="single"/>
        </w:rPr>
        <w:t>Entire Agreement</w:t>
      </w:r>
      <w:r>
        <w:rPr>
          <w:rFonts w:ascii="Times New Roman" w:hAnsi="Times New Roman"/>
          <w:color w:val="000000"/>
          <w:sz w:val="24"/>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Submitted by: Accepted by:</w:t>
      </w:r>
    </w:p>
    <w:p>
      <w:pPr>
        <w:pStyle w:val="TextBody"/>
        <w:bidi w:val="0"/>
        <w:jc w:val="both"/>
        <w:rPr>
          <w:rFonts w:ascii="Times New Roman" w:hAnsi="Times New Roman"/>
          <w:sz w:val="20"/>
        </w:rPr>
      </w:pP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ATHIRA PHARMA, INC.</w:t>
      </w:r>
    </w:p>
    <w:p>
      <w:pPr>
        <w:pStyle w:val="TextBody"/>
        <w:bidi w:val="0"/>
        <w:spacing w:before="240" w:after="283"/>
        <w:jc w:val="both"/>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br/>
      </w:r>
      <w:r>
        <w:rPr>
          <w:rFonts w:ascii="Times New Roman" w:hAnsi="Times New Roman"/>
          <w:color w:val="000000"/>
          <w:sz w:val="20"/>
        </w:rPr>
        <w:t>Signature By</w:t>
      </w:r>
    </w:p>
    <w:p>
      <w:pPr>
        <w:pStyle w:val="TextBody"/>
        <w:bidi w:val="0"/>
        <w:spacing w:before="120" w:after="283"/>
        <w:jc w:val="both"/>
        <w:rPr>
          <w:rFonts w:ascii="Times New Roman" w:hAnsi="Times New Roman"/>
          <w:sz w:val="20"/>
        </w:rPr>
      </w:pPr>
      <w:r>
        <w:rPr>
          <w:rFonts w:ascii="Times New Roman" w:hAnsi="Times New Roman"/>
          <w:color w:val="000000"/>
          <w:sz w:val="24"/>
        </w:rPr>
        <w:br/>
      </w:r>
      <w:r>
        <w:rPr>
          <w:rFonts w:ascii="Times New Roman" w:hAnsi="Times New Roman"/>
          <w:color w:val="000000"/>
          <w:sz w:val="20"/>
        </w:rPr>
        <w:t>Print Name Print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Title</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Address: Address: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br/>
        <w:br/>
      </w:r>
      <w:r>
        <w:rPr>
          <w:rFonts w:ascii="Times New Roman" w:hAnsi="Times New Roman"/>
          <w:color w:val="000000"/>
          <w:sz w:val="20"/>
          <w:u w:val="single"/>
        </w:rPr>
        <w:t> </w:t>
      </w:r>
    </w:p>
    <w:p>
      <w:pPr>
        <w:pStyle w:val="TextBody"/>
        <w:bidi w:val="0"/>
        <w:jc w:val="both"/>
        <w:rPr>
          <w:rFonts w:ascii="Times New Roman" w:hAnsi="Times New Roman"/>
          <w:color w:val="000000"/>
          <w:sz w:val="20"/>
        </w:rPr>
      </w:pPr>
      <w:r>
        <w:rPr>
          <w:rFonts w:ascii="Times New Roman" w:hAnsi="Times New Roman"/>
          <w:color w:val="000000"/>
          <w:sz w:val="20"/>
        </w:rPr>
        <w:t>Date Received</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sz w:val="20"/>
        </w:rPr>
      </w:pPr>
      <w:r>
        <w:rPr>
          <w:rFonts w:ascii="Times New Roman" w:hAnsi="Times New Roman"/>
          <w:b/>
          <w:color w:val="000000"/>
          <w:sz w:val="24"/>
        </w:rPr>
        <w:t>2024 INDUCEMENT EQUITY INCENTIVE PLAN</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COUNTRY ADDENDUM TO STOCK OPTION AGREEMENT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capitalized terms used in this Country Addendum to Stock Option Agreement (the “</w:t>
      </w:r>
      <w:r>
        <w:rPr>
          <w:rFonts w:ascii="Times New Roman" w:hAnsi="Times New Roman"/>
          <w:color w:val="000000"/>
          <w:sz w:val="24"/>
          <w:u w:val="single"/>
        </w:rPr>
        <w:t>Country Addendum</w:t>
      </w:r>
      <w:r>
        <w:rPr>
          <w:rFonts w:ascii="Times New Roman" w:hAnsi="Times New Roman"/>
          <w:color w:val="000000"/>
          <w:sz w:val="20"/>
        </w:rPr>
        <w:t>”</w:t>
      </w:r>
      <w:r>
        <w:rPr>
          <w:rFonts w:ascii="Times New Roman" w:hAnsi="Times New Roman"/>
          <w:color w:val="000000"/>
          <w:sz w:val="24"/>
        </w:rPr>
        <w:t>) will be ascribed the same defined meanings as set forth in the Option Agreement of which this Country Addendum forms a part (or the Plan or other written agreement as specified in the Option Agreement).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 respective countries as of ______, 202_.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pStyle w:val="TextBody"/>
        <w:bidi w:val="0"/>
        <w:spacing w:before="2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UNIT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NOTICE OF RESTRICTED STOCK UNIT GRANT</w:t>
      </w:r>
    </w:p>
    <w:p>
      <w:pPr>
        <w:pStyle w:val="TextBody"/>
        <w:bidi w:val="0"/>
        <w:spacing w:before="240" w:after="283"/>
        <w:jc w:val="left"/>
        <w:rPr>
          <w:rFonts w:ascii="Times New Roman" w:hAnsi="Times New Roman"/>
          <w:sz w:val="20"/>
        </w:rPr>
      </w:pPr>
      <w:r>
        <w:rPr>
          <w:rFonts w:ascii="Times New Roman" w:hAnsi="Times New Roman"/>
          <w:color w:val="000000"/>
          <w:sz w:val="24"/>
        </w:rPr>
        <w:t>Unless otherwise defined herein, the terms defined in the Athira Pharma, Inc. 2024 Inducement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will have the same defined meanings in this Restricted Stock Unit Agreement which includes the Notice of Restricted Stock Unit Grant (the “</w:t>
      </w:r>
      <w:r>
        <w:rPr>
          <w:rFonts w:ascii="Times New Roman" w:hAnsi="Times New Roman"/>
          <w:color w:val="000000"/>
          <w:sz w:val="24"/>
          <w:u w:val="single"/>
        </w:rPr>
        <w:t>Notice of Grant</w:t>
      </w:r>
      <w:r>
        <w:rPr>
          <w:rFonts w:ascii="Times New Roman" w:hAnsi="Times New Roman"/>
          <w:color w:val="000000"/>
          <w:sz w:val="20"/>
        </w:rPr>
        <w:t>”</w:t>
      </w:r>
      <w:r>
        <w:rPr>
          <w:rFonts w:ascii="Times New Roman" w:hAnsi="Times New Roman"/>
          <w:color w:val="000000"/>
          <w:sz w:val="24"/>
        </w:rPr>
        <w:t xml:space="preserve">), the Terms and Conditions of Restricted Stock Unit Grant, attached hereto as </w:t>
      </w:r>
      <w:r>
        <w:rPr>
          <w:rFonts w:ascii="Times New Roman" w:hAnsi="Times New Roman"/>
          <w:color w:val="000000"/>
          <w:sz w:val="24"/>
          <w:u w:val="single"/>
        </w:rPr>
        <w:t>Exhibit A</w:t>
      </w:r>
      <w:r>
        <w:rPr>
          <w:rFonts w:ascii="Times New Roman" w:hAnsi="Times New Roman"/>
          <w:color w:val="000000"/>
          <w:sz w:val="24"/>
        </w:rPr>
        <w:t>, and all other exhibits, appendices, and addenda attached hereto (the “</w:t>
      </w:r>
      <w:r>
        <w:rPr>
          <w:rFonts w:ascii="Times New Roman" w:hAnsi="Times New Roman"/>
          <w:color w:val="000000"/>
          <w:sz w:val="24"/>
          <w:u w:val="single"/>
        </w:rPr>
        <w:t>Award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 xml:space="preserve">Participant Name: </w:t>
      </w:r>
    </w:p>
    <w:p>
      <w:pPr>
        <w:pStyle w:val="TextBody"/>
        <w:bidi w:val="0"/>
        <w:jc w:val="left"/>
        <w:rPr>
          <w:rFonts w:ascii="Times New Roman" w:hAnsi="Times New Roman"/>
          <w:b/>
          <w:color w:val="000000"/>
          <w:sz w:val="24"/>
        </w:rPr>
      </w:pPr>
      <w:r>
        <w:rPr>
          <w:rFonts w:ascii="Times New Roman" w:hAnsi="Times New Roman"/>
          <w:b/>
          <w:color w:val="000000"/>
          <w:sz w:val="24"/>
        </w:rPr>
        <w:t xml:space="preserve">Address: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undersigned Participant has been granted an Award of Restricted Stock Units, subject to the terms and conditions of the Plan and this Award Agreement, as follows: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Grant Number: ______________________________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Date of Grant: ______________________________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Vesting Commencement Date: ______________________________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Total Number of Restricted Stock Units: ______________________________</w:t>
      </w:r>
    </w:p>
    <w:p>
      <w:pPr>
        <w:pStyle w:val="TextBody"/>
        <w:bidi w:val="0"/>
        <w:spacing w:before="240" w:after="283"/>
        <w:jc w:val="left"/>
        <w:rPr>
          <w:rFonts w:ascii="Times New Roman" w:hAnsi="Times New Roman"/>
          <w:sz w:val="20"/>
        </w:rPr>
      </w:pPr>
      <w:r>
        <w:rPr>
          <w:rFonts w:ascii="Times New Roman" w:hAnsi="Times New Roman"/>
          <w:color w:val="000000"/>
          <w:sz w:val="24"/>
          <w:u w:val="single"/>
        </w:rPr>
        <w:t>Vesting Schedule</w:t>
      </w:r>
      <w:r>
        <w:rPr>
          <w:rFonts w:ascii="Times New Roman" w:hAnsi="Times New Roman"/>
          <w:color w:val="000000"/>
          <w:sz w:val="24"/>
        </w:rPr>
        <w:t>:</w:t>
      </w:r>
    </w:p>
    <w:p>
      <w:pPr>
        <w:pStyle w:val="TextBody"/>
        <w:bidi w:val="0"/>
        <w:spacing w:before="120" w:after="283"/>
        <w:jc w:val="left"/>
        <w:rPr>
          <w:rFonts w:ascii="Times New Roman" w:hAnsi="Times New Roman"/>
          <w:sz w:val="20"/>
        </w:rPr>
      </w:pPr>
      <w:r>
        <w:rPr>
          <w:rFonts w:ascii="Times New Roman" w:hAnsi="Times New Roman"/>
          <w:color w:val="000000"/>
          <w:sz w:val="24"/>
        </w:rPr>
        <w:t>For purposes of this Agreement, “</w:t>
      </w:r>
      <w:r>
        <w:rPr>
          <w:rFonts w:ascii="Times New Roman" w:hAnsi="Times New Roman"/>
          <w:color w:val="000000"/>
          <w:sz w:val="24"/>
          <w:u w:val="single"/>
        </w:rPr>
        <w:t>Quarterly Vesting Dates</w:t>
      </w:r>
      <w:r>
        <w:rPr>
          <w:rFonts w:ascii="Times New Roman" w:hAnsi="Times New Roman"/>
          <w:color w:val="000000"/>
          <w:sz w:val="20"/>
        </w:rPr>
        <w:t xml:space="preserve">” </w:t>
      </w:r>
      <w:r>
        <w:rPr>
          <w:rFonts w:ascii="Times New Roman" w:hAnsi="Times New Roman"/>
          <w:color w:val="000000"/>
          <w:sz w:val="24"/>
        </w:rPr>
        <w:t>with respect to any calendar year means [Month Day], [Month Day], [Month Day], and [Month Day], provided, to the extent any of such dates occurs on a weekend day or U.S. federal holiday, the Quarterly Vesting Date will be deemed to occur instead on the immediately following day that is not a weekend day or U.S. federal holiday.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Subject to any acceleration provisions contained in the Plan, this Award Agreement or any other written agreement between Participant and the Company (or any Parent or Subsidiary of the Company, as applicable) governing the terms of this Award, the Restricted Stock Units will be scheduled to vest according to the following vesting schedule:</w:t>
      </w:r>
    </w:p>
    <w:p>
      <w:pPr>
        <w:pStyle w:val="TextBody"/>
        <w:bidi w:val="0"/>
        <w:spacing w:before="120" w:after="283"/>
        <w:jc w:val="left"/>
        <w:rPr>
          <w:rFonts w:ascii="Times New Roman" w:hAnsi="Times New Roman"/>
          <w:sz w:val="20"/>
        </w:rPr>
      </w:pPr>
      <w:r>
        <w:rPr>
          <w:rFonts w:ascii="Times New Roman" w:hAnsi="Times New Roman"/>
          <w:color w:val="000000"/>
          <w:sz w:val="24"/>
        </w:rPr>
        <w:t>[Insert Vesting Schedule]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By Participant’s signature and the signature of the representative of the Company below, Participant and the Company agree that this Award of Restricted Stock Units is granted under and governed by the terms and conditions of the Plan and this Award Agreement, including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4"/>
        </w:rPr>
        <w:t xml:space="preserve">Terms and Conditions of Restricted Stock Unit Grant, attached hereto as </w:t>
      </w:r>
      <w:r>
        <w:rPr>
          <w:rFonts w:ascii="Times New Roman" w:hAnsi="Times New Roman"/>
          <w:color w:val="000000"/>
          <w:sz w:val="24"/>
          <w:u w:val="single"/>
        </w:rPr>
        <w:t>Exhibit A</w:t>
      </w:r>
      <w:r>
        <w:rPr>
          <w:rFonts w:ascii="Times New Roman" w:hAnsi="Times New Roman"/>
          <w:color w:val="000000"/>
          <w:sz w:val="24"/>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pStyle w:val="TextBody"/>
        <w:bidi w:val="0"/>
        <w:spacing w:before="24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PARTICIPANT ATHIRA PHARMA,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Signature Signature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Print Name Print Name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Title</w:t>
      </w:r>
    </w:p>
    <w:p>
      <w:pPr>
        <w:pStyle w:val="TextBody"/>
        <w:bidi w:val="0"/>
        <w:spacing w:before="200" w:after="283"/>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Residence Address:</w:t>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center"/>
        <w:rPr/>
      </w:pPr>
      <w:r>
        <w:rPr/>
        <w:t> </w:t>
      </w:r>
    </w:p>
    <w:p>
      <w:pPr>
        <w:pStyle w:val="TextBody"/>
        <w:bidi w:val="0"/>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UNIT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TERMS AND CONDITIONS OF RESTRICTED STOCK UNIT GRANT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Grant of Restricted Stock Units</w:t>
      </w:r>
      <w:r>
        <w:rPr>
          <w:rFonts w:ascii="Times New Roman" w:hAnsi="Times New Roman"/>
          <w:color w:val="000000"/>
          <w:sz w:val="24"/>
        </w:rPr>
        <w:t>. The Company hereby grants to the individual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named in the Notice of Restricted Stock Unit Grant of this Award Agreement (the “</w:t>
      </w:r>
      <w:r>
        <w:rPr>
          <w:rFonts w:ascii="Times New Roman" w:hAnsi="Times New Roman"/>
          <w:color w:val="000000"/>
          <w:sz w:val="24"/>
          <w:u w:val="single"/>
        </w:rPr>
        <w:t>Notice of Grant</w:t>
      </w:r>
      <w:r>
        <w:rPr>
          <w:rFonts w:ascii="Times New Roman" w:hAnsi="Times New Roman"/>
          <w:color w:val="000000"/>
          <w:sz w:val="20"/>
        </w:rPr>
        <w:t>”</w:t>
      </w:r>
      <w:r>
        <w:rPr>
          <w:rFonts w:ascii="Times New Roman" w:hAnsi="Times New Roman"/>
          <w:color w:val="000000"/>
          <w:sz w:val="24"/>
        </w:rPr>
        <w:t>) under the Plan an Award of Restricted Stock Units, and subject to the terms and conditions of this Award Agreement and the Plan, which is incorporated herein by reference. Subject to Section 19 of the Plan, in the event of a conflict between the terms and conditions of the Plan and this Award Agreement, the terms and conditions of the Plan shall prevail.</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Company’s Obligation to Pay</w:t>
      </w:r>
      <w:r>
        <w:rPr>
          <w:rFonts w:ascii="Times New Roman" w:hAnsi="Times New Roman"/>
          <w:color w:val="000000"/>
          <w:sz w:val="24"/>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Vesting Schedule</w:t>
      </w:r>
      <w:r>
        <w:rPr>
          <w:rFonts w:ascii="Times New Roman" w:hAnsi="Times New Roman"/>
          <w:color w:val="000000"/>
          <w:sz w:val="24"/>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Payment after Vesting.</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General Rule</w:t>
      </w:r>
      <w:r>
        <w:rPr>
          <w:rFonts w:ascii="Times New Roman" w:hAnsi="Times New Roman"/>
          <w:color w:val="000000"/>
          <w:sz w:val="24"/>
        </w:rPr>
        <w:t>. Subject to Section 7, any Restricted Stock Units that vest will be paid to Participant (or in 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Discretionary Acceleration</w:t>
      </w:r>
      <w:r>
        <w:rPr>
          <w:rFonts w:ascii="Times New Roman" w:hAnsi="Times New Roman"/>
          <w:color w:val="000000"/>
          <w:sz w:val="24"/>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Section 409A.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 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 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Forfeiture Upon Termination as a Service Provider</w:t>
      </w:r>
      <w:r>
        <w:rPr>
          <w:rFonts w:ascii="Times New Roman" w:hAnsi="Times New Roman"/>
          <w:color w:val="000000"/>
          <w:sz w:val="24"/>
        </w:rPr>
        <w:t>. Unless specifically provided otherwise in this Award Agreement or other written agreement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Death of Participant</w:t>
      </w:r>
      <w:r>
        <w:rPr>
          <w:rFonts w:ascii="Times New Roman" w:hAnsi="Times New Roman"/>
          <w:color w:val="000000"/>
          <w:sz w:val="24"/>
        </w:rPr>
        <w:t>. Any distribution or delivery to be made to Participant under this Award Agreement, if Participant is then deceased, will be made to Participant’s designated beneficiary, or if no beneficiary survives Participant, the administrator or executor of Participant’s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Tax Obligations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Responsibility for Taxes</w:t>
      </w:r>
      <w:r>
        <w:rPr>
          <w:rFonts w:ascii="Times New Roman" w:hAnsi="Times New Roman"/>
          <w:color w:val="000000"/>
          <w:sz w:val="24"/>
        </w:rPr>
        <w:t>. Participant acknowledges that, regardless of any action taken by the Company or, if different, Participant’s employer or any Parent or Subsidiary of the Company to which Participant is providing services (together, the “</w:t>
      </w:r>
      <w:r>
        <w:rPr>
          <w:rFonts w:ascii="Times New Roman" w:hAnsi="Times New Roman"/>
          <w:color w:val="000000"/>
          <w:sz w:val="24"/>
          <w:u w:val="single"/>
        </w:rPr>
        <w:t>Service Recipients</w:t>
      </w:r>
      <w:r>
        <w:rPr>
          <w:rFonts w:ascii="Times New Roman" w:hAnsi="Times New Roman"/>
          <w:color w:val="000000"/>
          <w:sz w:val="20"/>
        </w:rPr>
        <w:t>”</w:t>
      </w:r>
      <w:r>
        <w:rPr>
          <w:rFonts w:ascii="Times New Roman" w:hAnsi="Times New Roman"/>
          <w:color w:val="000000"/>
          <w:sz w:val="24"/>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hAnsi="Times New Roman"/>
          <w:color w:val="000000"/>
          <w:sz w:val="24"/>
          <w:u w:val="single"/>
        </w:rPr>
        <w:t>Tax Obligations</w:t>
      </w:r>
      <w:r>
        <w:rPr>
          <w:rFonts w:ascii="Times New Roman" w:hAnsi="Times New Roman"/>
          <w:color w:val="000000"/>
          <w:sz w:val="20"/>
        </w:rPr>
        <w:t>”</w:t>
      </w:r>
      <w:r>
        <w:rPr>
          <w:rFonts w:ascii="Times New Roman" w:hAnsi="Times New Roman"/>
          <w:color w:val="000000"/>
          <w:sz w:val="24"/>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Tax Withholding</w:t>
      </w:r>
      <w:r>
        <w:rPr>
          <w:rFonts w:ascii="Times New Roman" w:hAnsi="Times New Roman"/>
          <w:color w:val="000000"/>
          <w:sz w:val="24"/>
        </w:rPr>
        <w:t>. Pursuant to such procedures as the Administrator may specify from time to time, the Service Recipient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in U.S. dollars,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applicable Service Recipient(s), (iv) delivering to the Company Shares that Participant owns and that already have vested with a fair market value equal to the Tax Obligations (or such greater amount as Participant may elect if permitted by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(vi) such other means as the Administrator deems appropriate. If the Tax Obligations are satisfied by withholding in Shares, for tax purposes, Participant is deemed to have been issued the full number of Shares subject to the vested Restricted Stock Units, notwithstanding that a number of the Shares are held back solely for the purpose of paying the Tax Obligations. To the extent determined appropriate by the Administrator in its discretion, the Administrator will have the right (but not the obligation) to satisfy any Tax Obligations by reducing the number of Shares otherwise deliverable to Participant.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Tax Consequences</w:t>
      </w:r>
      <w:r>
        <w:rPr>
          <w:rFonts w:ascii="Times New Roman" w:hAnsi="Times New Roman"/>
          <w:color w:val="000000"/>
          <w:sz w:val="24"/>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Company’s Obligation to Deliver Shares</w:t>
      </w:r>
      <w:r>
        <w:rPr>
          <w:rFonts w:ascii="Times New Roman" w:hAnsi="Times New Roman"/>
          <w:color w:val="000000"/>
          <w:sz w:val="24"/>
        </w:rPr>
        <w:t>. For clarification purposes, in no event will the Company issue Participant any Shares unless and until arrangements satisfactory to the Administrator have been made for the payment of Participant’s Tax Obligations. If Participant fails to make satisfactory arrangements for the payment of such Tax Obligations hereunder at the time any applicable Restricted Stock Units otherwise are scheduled to vest pursuant to Sections 3 or 4 or Participant’s Tax Obligations otherwise become due, Participant permanently will forfeit such Restricted Stock Units to which Participant’s Tax Obligation relates and any right to receive Shares thereunder and such Restricted Stock Units will be returned to the Company at no cost to the Company. Participant acknowledges and agrees that the Company may refuse to issue or deliver the Shares if such Tax Obligations are not delivered at the time they are due.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Rights as Stockholder</w:t>
      </w:r>
      <w:r>
        <w:rPr>
          <w:rFonts w:ascii="Times New Roman" w:hAnsi="Times New Roman"/>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No Guarantee of Continued Service</w:t>
      </w:r>
      <w:r>
        <w:rPr>
          <w:rFonts w:ascii="Times New Roman" w:hAnsi="Times New Roman"/>
          <w:color w:val="000000"/>
          <w:sz w:val="24"/>
        </w:rPr>
        <w:t>. PARTICIPANT ACKNOWLEDGES AND AGREES THAT THE VESTING OF THE RESTRICTED STOCK UNITS PURSUANT TO THE VESTING SCHEDULE HEREOF IS EARNED ONLY BY CONTINUING AS A SERVICE PROVIDER, WHICH UNLESS PROVIDED OTHERWISE UNDER APPLICABLE LAWS IS AT THE WILL OF THE APPLICABLE SERVICE RECIPIENT AND NOT THROUGH THE ACT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Grant is Not Transferable</w:t>
      </w:r>
      <w:r>
        <w:rPr>
          <w:rFonts w:ascii="Times New Roman" w:hAnsi="Times New Roman"/>
          <w:color w:val="000000"/>
          <w:sz w:val="24"/>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Nature of Grant</w:t>
      </w:r>
      <w:r>
        <w:rPr>
          <w:rFonts w:ascii="Times New Roman" w:hAnsi="Times New Roman"/>
          <w:color w:val="000000"/>
          <w:sz w:val="24"/>
        </w:rPr>
        <w:t>. In accepting this Award of Restricted Stock Units, Participant acknowledges, understands and agrees that: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 all decisions with respect to future Restricted Stock Units or other grants, if any, will be at the sole discretion of the Administrator;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 Participant is voluntarily participating in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 the Restricted Stock Units and the Shares subject to the Restricted Stock Units are not intended to replace any pension rights or compensation;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 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 the future value of the Shares underlying the Restricted Stock Units is unknown, indeterminable and cannot be predicted;</w:t>
      </w:r>
    </w:p>
    <w:p>
      <w:pPr>
        <w:pStyle w:val="TextBody"/>
        <w:bidi w:val="0"/>
        <w:spacing w:before="240" w:after="283"/>
        <w:jc w:val="left"/>
        <w:rPr>
          <w:rFonts w:ascii="Times New Roman" w:hAnsi="Times New Roman"/>
          <w:sz w:val="20"/>
        </w:rPr>
      </w:pPr>
      <w:r>
        <w:rPr>
          <w:rFonts w:ascii="Times New Roman" w:hAnsi="Times New Roman"/>
          <w:color w:val="000000"/>
          <w:sz w:val="24"/>
        </w:rPr>
        <w:t>(g) 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 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 the following provisions apply only if Participant is providing services outside the United States: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 the Restricted Stock Units and the Shares subject to the Restricted Stock Units are not part of normal or expected compensation or salary for any purpose;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 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 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No Advice Regarding Grant</w:t>
      </w:r>
      <w:r>
        <w:rPr>
          <w:rFonts w:ascii="Times New Roman" w:hAnsi="Times New Roman"/>
          <w:color w:val="000000"/>
          <w:sz w:val="24"/>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financial advisers regarding his or her participation in the Plan before taking any action related to the Plan.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13. </w:t>
      </w:r>
      <w:r>
        <w:rPr>
          <w:rFonts w:ascii="Times New Roman" w:hAnsi="Times New Roman"/>
          <w:b/>
          <w:i/>
          <w:color w:val="000000"/>
          <w:sz w:val="24"/>
          <w:u w:val="single"/>
        </w:rPr>
        <w:t>Data Privacy</w:t>
      </w:r>
      <w:r>
        <w:rPr>
          <w:rFonts w:ascii="Times New Roman" w:hAnsi="Times New Roman"/>
          <w:b/>
          <w:i/>
          <w:color w:val="000000"/>
          <w:sz w:val="24"/>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pStyle w:val="TextBody"/>
        <w:bidi w:val="0"/>
        <w:spacing w:before="240" w:after="283"/>
        <w:jc w:val="left"/>
        <w:rPr>
          <w:rFonts w:ascii="Times New Roman" w:hAnsi="Times New Roman"/>
          <w:sz w:val="20"/>
        </w:rPr>
      </w:pPr>
      <w:r>
        <w:rPr>
          <w:rFonts w:ascii="Times New Roman" w:hAnsi="Times New Roman"/>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hAnsi="Times New Roman"/>
          <w:b/>
          <w:i/>
          <w:color w:val="000000"/>
          <w:sz w:val="24"/>
          <w:u w:val="single"/>
        </w:rPr>
        <w:t>Data</w:t>
      </w:r>
      <w:r>
        <w:rPr>
          <w:rFonts w:ascii="Times New Roman" w:hAnsi="Times New Roman"/>
          <w:color w:val="000000"/>
          <w:sz w:val="20"/>
        </w:rPr>
        <w:t>”</w:t>
      </w:r>
      <w:r>
        <w:rPr>
          <w:rFonts w:ascii="Times New Roman" w:hAnsi="Times New Roman"/>
          <w:b/>
          <w:i/>
          <w:color w:val="000000"/>
          <w:sz w:val="24"/>
        </w:rPr>
        <w:t>), for the exclusive purpose of implementing, administering and managing the Plan.</w:t>
      </w:r>
    </w:p>
    <w:p>
      <w:pPr>
        <w:pStyle w:val="TextBody"/>
        <w:bidi w:val="0"/>
        <w:spacing w:before="240" w:after="283"/>
        <w:jc w:val="left"/>
        <w:rPr>
          <w:rFonts w:ascii="Times New Roman" w:hAnsi="Times New Roman"/>
          <w:b/>
          <w:i/>
          <w:color w:val="000000"/>
          <w:sz w:val="24"/>
        </w:rPr>
      </w:pPr>
      <w:r>
        <w:rPr>
          <w:rFonts w:ascii="Times New Roman" w:hAnsi="Times New Roman"/>
          <w:b/>
          <w:i/>
          <w:color w:val="000000"/>
          <w:sz w:val="24"/>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Address for Notices</w:t>
      </w:r>
      <w:r>
        <w:rPr>
          <w:rFonts w:ascii="Times New Roman" w:hAnsi="Times New Roman"/>
          <w:color w:val="000000"/>
          <w:sz w:val="24"/>
        </w:rPr>
        <w:t>. Any notice to be given to the Company under the terms of this Award Agreement will be addressed to the Company at Athira Pharma, Inc., 400 Mason Rd., Suite 300, Seattle, Washington 98195-2141, or at such other address as the Company may hereafter designate in writing.</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Successors and Assigns</w:t>
      </w:r>
      <w:r>
        <w:rPr>
          <w:rFonts w:ascii="Times New Roman" w:hAnsi="Times New Roman"/>
          <w:color w:val="000000"/>
          <w:sz w:val="24"/>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Additional Conditions to Issuance of Stock</w:t>
      </w:r>
      <w:r>
        <w:rPr>
          <w:rFonts w:ascii="Times New Roman" w:hAnsi="Times New Roman"/>
          <w:color w:val="000000"/>
          <w:sz w:val="24"/>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Language</w:t>
      </w:r>
      <w:r>
        <w:rPr>
          <w:rFonts w:ascii="Times New Roman" w:hAnsi="Times New Roman"/>
          <w:color w:val="000000"/>
          <w:sz w:val="24"/>
        </w:rPr>
        <w:t>. If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Interpretation</w:t>
      </w:r>
      <w:r>
        <w:rPr>
          <w:rFonts w:ascii="Times New Roman" w:hAnsi="Times New Roman"/>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Electronic Delivery and Acceptance</w:t>
      </w:r>
      <w:r>
        <w:rPr>
          <w:rFonts w:ascii="Times New Roman" w:hAnsi="Times New Roman"/>
          <w:color w:val="000000"/>
          <w:sz w:val="24"/>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electronic system established and maintained by the Company or a third party designated by the Company.</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Captions</w:t>
      </w:r>
      <w:r>
        <w:rPr>
          <w:rFonts w:ascii="Times New Roman" w:hAnsi="Times New Roman"/>
          <w:color w:val="000000"/>
          <w:sz w:val="24"/>
        </w:rPr>
        <w:t>. Captions provided herein are for convenience only and are not to serve as a basis for interpretation or construction of this Award Agreement.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Amendment, Suspension or Termination of the Plan</w:t>
      </w:r>
      <w:r>
        <w:rPr>
          <w:rFonts w:ascii="Times New Roman" w:hAnsi="Times New Roman"/>
          <w:color w:val="000000"/>
          <w:sz w:val="24"/>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Country Addendum</w:t>
      </w:r>
      <w:r>
        <w:rPr>
          <w:rFonts w:ascii="Times New Roman" w:hAnsi="Times New Roman"/>
          <w:color w:val="000000"/>
          <w:sz w:val="24"/>
        </w:rPr>
        <w:t>. Notwithstanding any provisions in this Award Agreement, the Restricted Stock Unit grant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hAnsi="Times New Roman"/>
          <w:color w:val="000000"/>
          <w:sz w:val="24"/>
          <w:u w:val="single"/>
        </w:rPr>
        <w:t>Country Addendum</w:t>
      </w:r>
      <w:r>
        <w:rPr>
          <w:rFonts w:ascii="Times New Roman" w:hAnsi="Times New Roman"/>
          <w:color w:val="000000"/>
          <w:sz w:val="20"/>
        </w:rPr>
        <w:t>”</w:t>
      </w:r>
      <w:r>
        <w:rPr>
          <w:rFonts w:ascii="Times New Roman" w:hAnsi="Times New Roman"/>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Modifications to the Award Agreement</w:t>
      </w:r>
      <w:r>
        <w:rPr>
          <w:rFonts w:ascii="Times New Roman" w:hAnsi="Times New Roman"/>
          <w:color w:val="000000"/>
          <w:sz w:val="24"/>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24. </w:t>
      </w:r>
      <w:r>
        <w:rPr>
          <w:rFonts w:ascii="Times New Roman" w:hAnsi="Times New Roman"/>
          <w:color w:val="000000"/>
          <w:sz w:val="24"/>
          <w:u w:val="single"/>
        </w:rPr>
        <w:t>No Waiver</w:t>
      </w:r>
      <w:r>
        <w:rPr>
          <w:rFonts w:ascii="Times New Roman" w:hAnsi="Times New Roman"/>
          <w:color w:val="000000"/>
          <w:sz w:val="24"/>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25. </w:t>
      </w:r>
      <w:r>
        <w:rPr>
          <w:rFonts w:ascii="Times New Roman" w:hAnsi="Times New Roman"/>
          <w:color w:val="000000"/>
          <w:sz w:val="24"/>
          <w:u w:val="single"/>
        </w:rPr>
        <w:t>Governing Law; Severability</w:t>
      </w:r>
      <w:r>
        <w:rPr>
          <w:rFonts w:ascii="Times New Roman" w:hAnsi="Times New Roman"/>
          <w:color w:val="000000"/>
          <w:sz w:val="24"/>
        </w:rPr>
        <w:t>.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26. </w:t>
      </w:r>
      <w:r>
        <w:rPr>
          <w:rFonts w:ascii="Times New Roman" w:hAnsi="Times New Roman"/>
          <w:color w:val="000000"/>
          <w:sz w:val="24"/>
          <w:u w:val="single"/>
        </w:rPr>
        <w:t>Entire Agreement</w:t>
      </w:r>
      <w:r>
        <w:rPr>
          <w:rFonts w:ascii="Times New Roman" w:hAnsi="Times New Roman"/>
          <w:color w:val="000000"/>
          <w:sz w:val="24"/>
        </w:rPr>
        <w:t>. The Plan is incorporated herein by reference. The Plan and this Award Agreement (including the exhibits, appendices, and addenda attached to the Notice of Grant)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COUNTRY ADDENDUM TO RESTRICTED STOCK UNIT AGREEMENT</w:t>
      </w:r>
    </w:p>
    <w:p>
      <w:pPr>
        <w:pStyle w:val="TextBody"/>
        <w:bidi w:val="0"/>
        <w:spacing w:before="240" w:after="283"/>
        <w:jc w:val="left"/>
        <w:rPr>
          <w:rFonts w:ascii="Times New Roman" w:hAnsi="Times New Roman"/>
          <w:sz w:val="20"/>
        </w:rPr>
      </w:pPr>
      <w:r>
        <w:rPr>
          <w:rFonts w:ascii="Times New Roman" w:hAnsi="Times New Roman"/>
          <w:color w:val="000000"/>
          <w:sz w:val="24"/>
        </w:rPr>
        <w:t>Unless otherwise defined herein, capitalized terms used in this Country Addendum to Restricted Stock Unit Agreement (the “</w:t>
      </w:r>
      <w:r>
        <w:rPr>
          <w:rFonts w:ascii="Times New Roman" w:hAnsi="Times New Roman"/>
          <w:color w:val="000000"/>
          <w:sz w:val="24"/>
          <w:u w:val="single"/>
        </w:rPr>
        <w:t>Country Addendum</w:t>
      </w:r>
      <w:r>
        <w:rPr>
          <w:rFonts w:ascii="Times New Roman" w:hAnsi="Times New Roman"/>
          <w:color w:val="000000"/>
          <w:sz w:val="20"/>
        </w:rPr>
        <w:t>”</w:t>
      </w:r>
      <w:r>
        <w:rPr>
          <w:rFonts w:ascii="Times New Roman" w:hAnsi="Times New Roman"/>
          <w:color w:val="000000"/>
          <w:sz w:val="24"/>
        </w:rPr>
        <w:t>) will be ascribed the same defined meanings as set forth in the Restricted Stock Unit Agreement of which this Country Addendum forms a part (or the Plan or other written agreement as specified in the Restricted Stock Unit Agreement).</w:t>
      </w:r>
    </w:p>
    <w:p>
      <w:pPr>
        <w:pStyle w:val="TextBody"/>
        <w:bidi w:val="0"/>
        <w:spacing w:before="240" w:after="283"/>
        <w:jc w:val="left"/>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left"/>
        <w:rPr>
          <w:rFonts w:ascii="Times New Roman" w:hAnsi="Times New Roman"/>
          <w:sz w:val="20"/>
        </w:rPr>
      </w:pPr>
      <w:r>
        <w:rPr>
          <w:rFonts w:ascii="Times New Roman" w:hAnsi="Times New Roman"/>
          <w:color w:val="000000"/>
          <w:sz w:val="24"/>
        </w:rPr>
        <w:t>This Country Addendum includes additional terms and conditions that govern the Award of Restricted Stock Units granted pursuant to the terms and conditions of the Athira Pharma, Inc. 2024 Inducement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and the Restricted Stock Unit Agreement to which this Country Addendum is attached (the “</w:t>
      </w:r>
      <w:r>
        <w:rPr>
          <w:rFonts w:ascii="Times New Roman" w:hAnsi="Times New Roman"/>
          <w:color w:val="000000"/>
          <w:sz w:val="24"/>
          <w:u w:val="single"/>
        </w:rPr>
        <w:t>Restricted Stock Unit Agreement</w:t>
      </w:r>
      <w:r>
        <w:rPr>
          <w:rFonts w:ascii="Times New Roman" w:hAnsi="Times New Roman"/>
          <w:color w:val="000000"/>
          <w:sz w:val="20"/>
        </w:rPr>
        <w:t>”</w:t>
      </w:r>
      <w:r>
        <w:rPr>
          <w:rFonts w:ascii="Times New Roman" w:hAnsi="Times New Roman"/>
          <w:color w:val="000000"/>
          <w:sz w:val="24"/>
        </w:rPr>
        <w:t>) to the extent the individual to whom the Restricted Stock Units were granted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Units is granted, the Company, in its discretion, will determine to what extent the terms and conditions contained herein will apply to the Participant.</w:t>
      </w:r>
    </w:p>
    <w:p>
      <w:pPr>
        <w:pStyle w:val="TextBody"/>
        <w:bidi w:val="0"/>
        <w:spacing w:before="240" w:after="283"/>
        <w:jc w:val="left"/>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left"/>
        <w:rPr>
          <w:rFonts w:ascii="Times New Roman" w:hAnsi="Times New Roman"/>
          <w:sz w:val="20"/>
        </w:rPr>
      </w:pPr>
      <w:r>
        <w:rPr>
          <w:rFonts w:ascii="Times New Roman" w:hAnsi="Times New Roman"/>
          <w:color w:val="000000"/>
          <w:sz w:val="24"/>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[______].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Finally, if Participant is a citizen or resident of a country other than the one in which Participant currently is residing and/or working, transfers residence and/or employment to another country after the grant of the Restricted Stock Units, or is considered a resident of another country for local law purposes, the information in this Country Addendum may not apply to Participant in the same manner.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2"/>
        </w:rPr>
      </w:pPr>
      <w:bookmarkStart w:id="6" w:name="atha-ex99_1.htm"/>
      <w:bookmarkStart w:id="7" w:name="ksathaex99_1"/>
      <w:bookmarkEnd w:id="6"/>
      <w:bookmarkEnd w:id="7"/>
      <w:r>
        <w:rPr>
          <w:rFonts w:ascii="Calibri;sans-serif" w:hAnsi="Calibri;sans-serif"/>
          <w:b/>
          <w:color w:val="000000"/>
          <w:sz w:val="22"/>
        </w:rPr>
        <w:t>Exhibit 99.1</w:t>
      </w:r>
      <w:r>
        <w:br w:type="page"/>
      </w:r>
    </w:p>
    <w:p>
      <w:pPr>
        <w:pStyle w:val="TextBody"/>
        <w:bidi w:val="0"/>
        <w:jc w:val="center"/>
        <w:rPr/>
      </w:pPr>
      <w:r>
        <w:rPr/>
        <w:drawing>
          <wp:inline distT="0" distB="0" distL="0" distR="0">
            <wp:extent cx="16573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819150"/>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Calibri;sans-serif" w:hAnsi="Calibri;sans-serif"/>
          <w:b/>
          <w:color w:val="000000"/>
          <w:sz w:val="28"/>
        </w:rPr>
      </w:pPr>
      <w:r>
        <w:rPr>
          <w:rFonts w:ascii="Calibri;sans-serif" w:hAnsi="Calibri;sans-serif"/>
          <w:b/>
          <w:color w:val="000000"/>
          <w:sz w:val="28"/>
        </w:rPr>
        <w:t>Athira Pharma Reports Full Year 2023 Financial Results and Pipeline and Business Updates</w:t>
      </w:r>
    </w:p>
    <w:p>
      <w:pPr>
        <w:pStyle w:val="TextBody"/>
        <w:bidi w:val="0"/>
        <w:jc w:val="center"/>
        <w:rPr/>
      </w:pPr>
      <w:r>
        <w:rPr/>
        <w:t> </w:t>
      </w:r>
    </w:p>
    <w:p>
      <w:pPr>
        <w:pStyle w:val="TextBody"/>
        <w:bidi w:val="0"/>
        <w:jc w:val="center"/>
        <w:rPr>
          <w:rFonts w:ascii="Times New Roman" w:hAnsi="Times New Roman"/>
          <w:sz w:val="20"/>
        </w:rPr>
      </w:pPr>
      <w:r>
        <w:rPr>
          <w:rFonts w:ascii="Calibri;sans-serif" w:hAnsi="Calibri;sans-serif"/>
          <w:i/>
          <w:color w:val="000000"/>
          <w:sz w:val="22"/>
        </w:rPr>
        <w:t>Enrollment completed in Phase 2/3 LIFT-AD clinical trial of fosgonimeton as a potential treatment for mild-to-moderate Alzheimer’s disease; topline data expected in second half of 2024</w:t>
      </w:r>
      <w:r>
        <w:rPr>
          <w:rFonts w:ascii="Times New Roman" w:hAnsi="Times New Roman"/>
          <w:color w:val="000000"/>
          <w:sz w:val="20"/>
        </w:rPr>
        <w:t xml:space="preserve"> </w:t>
      </w:r>
    </w:p>
    <w:p>
      <w:pPr>
        <w:pStyle w:val="TextBody"/>
        <w:bidi w:val="0"/>
        <w:spacing w:before="270" w:after="283"/>
        <w:jc w:val="center"/>
        <w:rPr>
          <w:rFonts w:ascii="Calibri;sans-serif" w:hAnsi="Calibri;sans-serif"/>
          <w:i/>
          <w:color w:val="000000"/>
          <w:sz w:val="22"/>
        </w:rPr>
      </w:pPr>
      <w:r>
        <w:rPr>
          <w:rFonts w:ascii="Calibri;sans-serif" w:hAnsi="Calibri;sans-serif"/>
          <w:i/>
          <w:color w:val="000000"/>
          <w:sz w:val="22"/>
        </w:rPr>
        <w:t>On track to initiate first-in-human studies of ATH-1105 for the treatment of amyotrophic lateral sclerosis in first half of 2024</w:t>
      </w:r>
    </w:p>
    <w:p>
      <w:pPr>
        <w:pStyle w:val="TextBody"/>
        <w:bidi w:val="0"/>
        <w:jc w:val="center"/>
        <w:rPr/>
      </w:pPr>
      <w:r>
        <w:rPr/>
        <w:t> </w:t>
      </w:r>
    </w:p>
    <w:p>
      <w:pPr>
        <w:pStyle w:val="TextBody"/>
        <w:bidi w:val="0"/>
        <w:jc w:val="center"/>
        <w:rPr>
          <w:rFonts w:ascii="Calibri;sans-serif" w:hAnsi="Calibri;sans-serif"/>
          <w:i/>
          <w:color w:val="000000"/>
          <w:sz w:val="22"/>
        </w:rPr>
      </w:pPr>
      <w:r>
        <w:rPr>
          <w:rFonts w:ascii="Calibri;sans-serif" w:hAnsi="Calibri;sans-serif"/>
          <w:i/>
          <w:color w:val="000000"/>
          <w:sz w:val="22"/>
        </w:rPr>
        <w:t>Strong balance sheet to support innovative pipeline through key inflection points</w:t>
      </w:r>
    </w:p>
    <w:p>
      <w:pPr>
        <w:pStyle w:val="TextBody"/>
        <w:bidi w:val="0"/>
        <w:jc w:val="center"/>
        <w:rPr/>
      </w:pPr>
      <w:r>
        <w:rPr/>
        <w:t> </w:t>
      </w:r>
    </w:p>
    <w:p>
      <w:pPr>
        <w:pStyle w:val="TextBody"/>
        <w:bidi w:val="0"/>
        <w:jc w:val="left"/>
        <w:rPr>
          <w:rFonts w:ascii="Times New Roman" w:hAnsi="Times New Roman"/>
          <w:sz w:val="20"/>
        </w:rPr>
      </w:pPr>
      <w:r>
        <w:rPr>
          <w:rFonts w:ascii="Calibri;sans-serif" w:hAnsi="Calibri;sans-serif"/>
          <w:b/>
          <w:color w:val="000000"/>
          <w:sz w:val="22"/>
        </w:rPr>
        <w:t>BOTHELL, Wash., February 22, 2024 – Athira Pharma, Inc.</w:t>
      </w:r>
      <w:r>
        <w:rPr>
          <w:rFonts w:ascii="Times New Roman" w:hAnsi="Times New Roman"/>
          <w:color w:val="000000"/>
          <w:sz w:val="20"/>
        </w:rPr>
        <w:t xml:space="preserve"> </w:t>
      </w:r>
      <w:r>
        <w:rPr>
          <w:rFonts w:ascii="Calibri;sans-serif" w:hAnsi="Calibri;sans-serif"/>
          <w:color w:val="000000"/>
          <w:sz w:val="22"/>
        </w:rPr>
        <w:t>(NASDAQ: ATHA), a late clinical-stage biopharmaceutical company focused on developing small molecules to restore neuronal health and slow neurodegeneration, today reported financial results for the year ended December 31, 2023, and reviewed recent pipeline and business updates.</w:t>
      </w:r>
    </w:p>
    <w:p>
      <w:pPr>
        <w:pStyle w:val="TextBody"/>
        <w:bidi w:val="0"/>
        <w:jc w:val="left"/>
        <w:rPr/>
      </w:pPr>
      <w:r>
        <w:rPr/>
        <w:t> </w:t>
      </w:r>
    </w:p>
    <w:p>
      <w:pPr>
        <w:pStyle w:val="TextBody"/>
        <w:bidi w:val="0"/>
        <w:jc w:val="left"/>
        <w:rPr/>
      </w:pPr>
      <w:r>
        <w:rPr>
          <w:color w:val="000000"/>
        </w:rPr>
        <w:t>“</w:t>
      </w:r>
      <w:r>
        <w:rPr>
          <w:rFonts w:ascii="Calibri;sans-serif" w:hAnsi="Calibri;sans-serif"/>
          <w:color w:val="000000"/>
          <w:sz w:val="22"/>
        </w:rPr>
        <w:t>We’ve made important progress in our pursuit to advance potential new treatment options for neurodegenerative diseases. Importantly, in January, we announced completing enrollment in our Phase 2/3 LIFT-AD clinical trial, which is evaluating fosgonimeton in approximately 315 patients with mild-to-moderate Alzheimer’s disease,” stated Mark Litton, Ph.D., President and Chief Executive Officer of Athira. “We are encouraged by results shown to date, which we believe support fosgonimeton’s potential to deliver a first-in-class therapy to Alzheimer’s disease patients and expect to report topline data from LIFT-AD in the second half of 2024. Additionally, we are excited to advance ATH-1105 for the potential treatment of ALS and remain on-track to initiate the first-in-human study in the first half of 2024. We ended 2023 with a strong balance sheet that we believe will support the ongoing advancement of our pipeline, including fosgonimeton and ATH-1105, through key inflection points.”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4"/>
        </w:rPr>
        <w:t>Recent Highlights</w:t>
      </w:r>
      <w:r>
        <w:rPr>
          <w:rFonts w:ascii="Times New Roman" w:hAnsi="Times New Roman"/>
          <w:color w:val="000000"/>
          <w:sz w:val="20"/>
        </w:rPr>
        <w:t xml:space="preserve"> </w:t>
      </w:r>
    </w:p>
    <w:p>
      <w:pPr>
        <w:pStyle w:val="TextBody"/>
        <w:bidi w:val="0"/>
        <w:spacing w:before="270" w:after="283"/>
        <w:jc w:val="left"/>
        <w:rPr>
          <w:rFonts w:ascii="Calibri;sans-serif" w:hAnsi="Calibri;sans-serif"/>
          <w:b/>
          <w:color w:val="000000"/>
          <w:sz w:val="24"/>
        </w:rPr>
      </w:pPr>
      <w:r>
        <w:rPr>
          <w:rFonts w:ascii="Calibri;sans-serif" w:hAnsi="Calibri;sans-serif"/>
          <w:b/>
          <w:color w:val="000000"/>
          <w:sz w:val="24"/>
        </w:rPr>
        <w:t>Pipeline</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color w:val="000000"/>
          <w:sz w:val="22"/>
        </w:rPr>
        <w:t xml:space="preserve">In February 2024, the Company announced publication of research highlighting the neuroprotective and anti-inflammatory effects of ATH-1105 in preclinical models of amyotrophic lateral sclerosis (ALS) in the peer-reviewed journal, </w:t>
      </w:r>
      <w:r>
        <w:rPr>
          <w:rFonts w:ascii="Calibri;sans-serif" w:hAnsi="Calibri;sans-serif"/>
          <w:i/>
          <w:color w:val="000000"/>
          <w:sz w:val="22"/>
        </w:rPr>
        <w:t xml:space="preserve">Frontiers in Neuroscience. </w:t>
      </w:r>
      <w:r>
        <w:rPr>
          <w:rFonts w:ascii="Calibri;sans-serif" w:hAnsi="Calibri;sans-serif"/>
          <w:color w:val="000000"/>
          <w:sz w:val="22"/>
        </w:rPr>
        <w:t xml:space="preserve">The original research article is titled: “ATH-1105, a small-molecule positive modulator of the neurotrophic HGF system, is neuroprotective, preserves neuromotor function, and extends survival in preclinical models of ALS.” </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 xml:space="preserve">In January 2024, the Company completed enrollment in the Phase 2/3 LIFT-AD clinical trial of fosgonimeton as a potential treatment for mild-to-moderate Alzheimer’s disease (AD). The Phase 2/3 LIFT-AD clinical trial enrolled approximately 315 patients.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In December 2023, the Company announced encouraging results from the exploratory Phase 2 SHAPE clinical trial to evaluate fosgonimeton in patients with Parkinson's disease dementia and dementia with Lewy bodies.</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color w:val="000000"/>
          <w:sz w:val="22"/>
        </w:rPr>
        <w:t>In December 2023, the Company presented preclinical data at the Motor Neurone Disease Association (MNDA) 34</w:t>
      </w:r>
      <w:r>
        <w:rPr>
          <w:rFonts w:ascii="Calibri;sans-serif" w:hAnsi="Calibri;sans-serif"/>
          <w:color w:val="000000"/>
          <w:sz w:val="15"/>
        </w:rPr>
        <w:t>th</w:t>
      </w:r>
      <w:r>
        <w:rPr>
          <w:color w:val="000000"/>
        </w:rPr>
        <w:t xml:space="preserve"> </w:t>
      </w:r>
      <w:r>
        <w:rPr>
          <w:rFonts w:ascii="Calibri;sans-serif" w:hAnsi="Calibri;sans-serif"/>
          <w:color w:val="000000"/>
          <w:sz w:val="22"/>
        </w:rPr>
        <w:t>International Symposium on ALS/MND demonstrating ATH-1105 is neuroprotective, extends survival, reduces motor and nerve function decline when administered early or late in disease progression</w:t>
      </w:r>
      <w:r>
        <w:rPr>
          <w:color w:val="000000"/>
        </w:rPr>
        <w:t xml:space="preserve"> </w:t>
      </w:r>
      <w:r>
        <w:rPr>
          <w:rFonts w:ascii="Calibri;sans-serif" w:hAnsi="Calibri;sans-serif"/>
          <w:color w:val="000000"/>
          <w:sz w:val="22"/>
        </w:rPr>
        <w:t>and is effective in combination with riluzole in a transgenic mouse model of ALS.</w:t>
      </w:r>
    </w:p>
    <w:p>
      <w:pPr>
        <w:pStyle w:val="TextBody"/>
        <w:bidi w:val="0"/>
        <w:spacing w:before="0" w:after="0"/>
        <w:jc w:val="left"/>
        <w:rPr>
          <w:color w:val="000000"/>
        </w:rPr>
      </w:pPr>
      <w:r>
        <w:rPr>
          <w:color w:val="000000"/>
        </w:rPr>
        <w:t>•</w:t>
      </w:r>
    </w:p>
    <w:p>
      <w:pPr>
        <w:pStyle w:val="TextBody"/>
        <w:bidi w:val="0"/>
        <w:jc w:val="left"/>
        <w:rPr/>
      </w:pPr>
      <w:r>
        <w:rPr>
          <w:rFonts w:ascii="Calibri;sans-serif" w:hAnsi="Calibri;sans-serif"/>
          <w:color w:val="000000"/>
          <w:sz w:val="22"/>
        </w:rPr>
        <w:t>In November 2023, the Company presented new preclinical data at the Society for Neuroscience (SfN) Annual Meeting</w:t>
      </w:r>
      <w:r>
        <w:rPr>
          <w:color w:val="000000"/>
        </w:rPr>
        <w:t xml:space="preserve"> </w:t>
      </w:r>
      <w:r>
        <w:rPr>
          <w:rFonts w:ascii="Calibri;sans-serif" w:hAnsi="Calibri;sans-serif"/>
          <w:color w:val="000000"/>
          <w:sz w:val="22"/>
        </w:rPr>
        <w:t>2023 highlighting the anti-inflammatory activity of fosgonimeton in microglial models, as well as the neuroprotective and procognitive effects of fosgonimeton in amyloid-β models of Alzheimer’s disease.</w:t>
      </w:r>
    </w:p>
    <w:p>
      <w:pPr>
        <w:pStyle w:val="TextBody"/>
        <w:bidi w:val="0"/>
        <w:spacing w:before="270" w:after="283"/>
        <w:jc w:val="left"/>
        <w:rPr>
          <w:rFonts w:ascii="Calibri;sans-serif" w:hAnsi="Calibri;sans-serif"/>
          <w:b/>
          <w:color w:val="000000"/>
          <w:sz w:val="24"/>
        </w:rPr>
      </w:pPr>
      <w:r>
        <w:rPr>
          <w:rFonts w:ascii="Calibri;sans-serif" w:hAnsi="Calibri;sans-serif"/>
          <w:b/>
          <w:color w:val="000000"/>
          <w:sz w:val="24"/>
        </w:rPr>
        <w:t>Corporate</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 xml:space="preserve">In February 2024, Rachel Lenington, the Company’s Chief Operating Officer, was appointed as Chief Operating Officer and Chief Development Officer, and Samantha Willing was appointed as Chief People Officer. </w:t>
      </w:r>
    </w:p>
    <w:p>
      <w:pPr>
        <w:pStyle w:val="TextBody"/>
        <w:bidi w:val="0"/>
        <w:spacing w:before="270" w:after="283"/>
        <w:jc w:val="left"/>
        <w:rPr>
          <w:rFonts w:ascii="Calibri;sans-serif" w:hAnsi="Calibri;sans-serif"/>
          <w:b/>
          <w:color w:val="000000"/>
          <w:sz w:val="24"/>
        </w:rPr>
      </w:pPr>
      <w:r>
        <w:rPr>
          <w:rFonts w:ascii="Calibri;sans-serif" w:hAnsi="Calibri;sans-serif"/>
          <w:b/>
          <w:color w:val="000000"/>
          <w:sz w:val="24"/>
        </w:rPr>
        <w:t>Upcoming Presentations</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color w:val="000000"/>
          <w:sz w:val="22"/>
        </w:rPr>
        <w:t>Athira will present clinical and preclinical data at the 18</w:t>
      </w:r>
      <w:r>
        <w:rPr>
          <w:rFonts w:ascii="Calibri;sans-serif" w:hAnsi="Calibri;sans-serif"/>
          <w:color w:val="000000"/>
          <w:sz w:val="15"/>
        </w:rPr>
        <w:t>th</w:t>
      </w:r>
      <w:r>
        <w:rPr>
          <w:color w:val="000000"/>
        </w:rPr>
        <w:t xml:space="preserve"> </w:t>
      </w:r>
      <w:r>
        <w:rPr>
          <w:rFonts w:ascii="Calibri;sans-serif" w:hAnsi="Calibri;sans-serif"/>
          <w:color w:val="000000"/>
          <w:sz w:val="22"/>
        </w:rPr>
        <w:t>International Conference on Alzheimer’s and Parkinson’s Diseases (AD/PD 2024) taking place March 5-9, 2024, in Lisbon, Portugal. Presentation details include: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Calibri;sans-serif" w:hAnsi="Calibri;sans-serif"/>
          <w:color w:val="000000"/>
          <w:sz w:val="22"/>
          <w:u w:val="single"/>
        </w:rPr>
        <w:t>Abstract Title:</w:t>
      </w:r>
      <w:r>
        <w:rPr>
          <w:color w:val="000000"/>
        </w:rPr>
        <w:t xml:space="preserve"> </w:t>
      </w:r>
      <w:r>
        <w:rPr>
          <w:rFonts w:ascii="Calibri;sans-serif" w:hAnsi="Calibri;sans-serif"/>
          <w:i/>
          <w:color w:val="000000"/>
          <w:sz w:val="22"/>
        </w:rPr>
        <w:t xml:space="preserve">Results from SHAPE: A Phase 2 Study of Fosgonimeton in Patients with Parkinson’s Disease Dementia and Dementia with Lewy Bodies </w:t>
      </w:r>
      <w:r>
        <w:rPr>
          <w:color w:val="000000"/>
        </w:rPr>
        <w:t xml:space="preserve">– </w:t>
      </w:r>
      <w:r>
        <w:rPr>
          <w:rFonts w:ascii="Calibri;sans-serif" w:hAnsi="Calibri;sans-serif"/>
          <w:color w:val="000000"/>
          <w:sz w:val="22"/>
        </w:rPr>
        <w:t>Poster #: P1050/#1857: Presenter: Hans Moebius, M.D., Ph.D., Senior Scientific Advisor</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Calibri;sans-serif" w:hAnsi="Calibri;sans-serif"/>
          <w:color w:val="000000"/>
          <w:sz w:val="22"/>
          <w:u w:val="single"/>
        </w:rPr>
        <w:t>Abstract Title:</w:t>
      </w:r>
      <w:r>
        <w:rPr>
          <w:color w:val="000000"/>
        </w:rPr>
        <w:t xml:space="preserve"> </w:t>
      </w:r>
      <w:r>
        <w:rPr>
          <w:rFonts w:ascii="Calibri;sans-serif" w:hAnsi="Calibri;sans-serif"/>
          <w:i/>
          <w:color w:val="000000"/>
          <w:sz w:val="22"/>
        </w:rPr>
        <w:t>Neuroprotective mechanisms of Fosgonimeton Against Excitotoxicity in Primary Neuron Culture</w:t>
      </w:r>
      <w:r>
        <w:rPr>
          <w:color w:val="000000"/>
        </w:rPr>
        <w:t xml:space="preserve"> – </w:t>
      </w:r>
      <w:r>
        <w:rPr>
          <w:rFonts w:ascii="Calibri;sans-serif" w:hAnsi="Calibri;sans-serif"/>
          <w:color w:val="000000"/>
          <w:sz w:val="22"/>
        </w:rPr>
        <w:t>Poster #: P0256/#1757; Presenter: Sherif Reda, Ph.D., Associate Director, Discovery Biology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pPr>
      <w:r>
        <w:rPr>
          <w:rFonts w:ascii="Calibri;sans-serif" w:hAnsi="Calibri;sans-serif"/>
          <w:color w:val="000000"/>
          <w:sz w:val="22"/>
          <w:u w:val="single"/>
        </w:rPr>
        <w:t>Abstract Title:</w:t>
      </w:r>
      <w:r>
        <w:rPr>
          <w:color w:val="000000"/>
        </w:rPr>
        <w:t xml:space="preserve"> </w:t>
      </w:r>
      <w:r>
        <w:rPr>
          <w:rFonts w:ascii="Calibri;sans-serif" w:hAnsi="Calibri;sans-serif"/>
          <w:i/>
          <w:color w:val="000000"/>
          <w:sz w:val="22"/>
        </w:rPr>
        <w:t>Fosgonimeton protects against α-synuclein-mediated pathology in preclinical models of Parkinson’s disease</w:t>
      </w:r>
      <w:r>
        <w:rPr>
          <w:color w:val="000000"/>
        </w:rPr>
        <w:t xml:space="preserve"> – </w:t>
      </w:r>
      <w:r>
        <w:rPr>
          <w:rFonts w:ascii="Calibri;sans-serif" w:hAnsi="Calibri;sans-serif"/>
          <w:color w:val="000000"/>
          <w:sz w:val="22"/>
        </w:rPr>
        <w:t>Poster #: P1046/#1243; Presenter: Sharay Setti, Ph.D., Senior Scientist II</w:t>
      </w:r>
    </w:p>
    <w:p>
      <w:pPr>
        <w:pStyle w:val="TextBody"/>
        <w:bidi w:val="0"/>
        <w:spacing w:before="270" w:after="283"/>
        <w:jc w:val="left"/>
        <w:rPr>
          <w:rFonts w:ascii="Calibri;sans-serif" w:hAnsi="Calibri;sans-serif"/>
          <w:b/>
          <w:color w:val="000000"/>
          <w:sz w:val="24"/>
        </w:rPr>
      </w:pPr>
      <w:r>
        <w:rPr>
          <w:rFonts w:ascii="Calibri;sans-serif" w:hAnsi="Calibri;sans-serif"/>
          <w:b/>
          <w:color w:val="000000"/>
          <w:sz w:val="24"/>
        </w:rPr>
        <w:t>Clinical Development &amp; Pipeline Programs</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Athira’s drug development pipeline includes potential first-in-class (fosgonimeton) and next-generation (ATH-1105 and ATH-1020) small molecule drug candidates designed to promote the neurotrophic hepatocyte growth factor (HGF) system, which activates neuroprotective, neurotrophic and anti-inflammatory pathways in the central nervous system. Athira’s drug candidates have distinct properties, which the Company believes may be applicable to a broad range of neurodegenerative diseases.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70" w:after="283"/>
        <w:jc w:val="left"/>
        <w:rPr>
          <w:rFonts w:ascii="Times New Roman" w:hAnsi="Times New Roman"/>
          <w:sz w:val="20"/>
        </w:rPr>
      </w:pPr>
      <w:r>
        <w:rPr>
          <w:rFonts w:ascii="Calibri;sans-serif" w:hAnsi="Calibri;sans-serif"/>
          <w:b/>
          <w:color w:val="000000"/>
          <w:sz w:val="22"/>
        </w:rPr>
        <w:t>Fosgonimeton (ATH-1017)</w:t>
      </w:r>
      <w:r>
        <w:rPr>
          <w:rFonts w:ascii="Times New Roman" w:hAnsi="Times New Roman"/>
          <w:color w:val="000000"/>
          <w:sz w:val="20"/>
        </w:rPr>
        <w:t xml:space="preserve"> – </w:t>
      </w:r>
      <w:r>
        <w:rPr>
          <w:rFonts w:ascii="Calibri;sans-serif" w:hAnsi="Calibri;sans-serif"/>
          <w:color w:val="000000"/>
          <w:sz w:val="22"/>
        </w:rPr>
        <w:t>A potentially first-in-class, once daily, subcutaneously administered drug candidate initially targeted for the potential treatment of Alzheimer’s disease.</w:t>
      </w:r>
    </w:p>
    <w:p>
      <w:pPr>
        <w:pStyle w:val="TextBody"/>
        <w:bidi w:val="0"/>
        <w:spacing w:before="270" w:after="283"/>
        <w:jc w:val="left"/>
        <w:rPr>
          <w:rFonts w:ascii="Times New Roman" w:hAnsi="Times New Roman"/>
          <w:sz w:val="20"/>
        </w:rPr>
      </w:pPr>
      <w:r>
        <w:rPr>
          <w:rFonts w:ascii="Calibri;sans-serif" w:hAnsi="Calibri;sans-serif"/>
          <w:b/>
          <w:i/>
          <w:color w:val="000000"/>
          <w:sz w:val="22"/>
        </w:rPr>
        <w:t xml:space="preserve">LIFT-AD Phase 2/3 clinical trial of fosgonimeton in mild-to-moderate Alzheimer’s disease </w:t>
      </w:r>
      <w:r>
        <w:rPr>
          <w:rFonts w:ascii="Calibri;sans-serif" w:hAnsi="Calibri;sans-serif"/>
          <w:i/>
          <w:color w:val="000000"/>
          <w:sz w:val="22"/>
        </w:rPr>
        <w:t>(</w:t>
      </w:r>
      <w:r>
        <w:rPr>
          <w:rFonts w:ascii="Calibri;sans-serif" w:hAnsi="Calibri;sans-serif"/>
          <w:i/>
          <w:sz w:val="22"/>
        </w:rPr>
        <w:t>NCT04488419</w:t>
      </w:r>
      <w:r>
        <w:rPr>
          <w:rFonts w:ascii="Calibri;sans-serif" w:hAnsi="Calibri;sans-serif"/>
          <w:i/>
          <w:color w:val="000000"/>
          <w:sz w:val="22"/>
        </w:rPr>
        <w: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 xml:space="preserve">The LIFT-AD study is investigating the effects of fosgonimeton 40 mg compared with placebo in mild-to-moderate AD patients who are not receiving background therapy.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 xml:space="preserve">In October 2022, following an unblinded interim efficacy and futility analysis, an independent data monitoring committee recommended continuation of the LIFT-AD study in patients with mild-to-moderate AD who are not receiving background therapy. The committee also determined that the study would be well powered to achieve the primary endpoint with approximately 300 patients given the preliminary effect observed in the unblinded interim analysis of approximately 100 patients treated.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In May 2023, Athira selected the 40 mg dose for further development and potential regulatory approval.</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In January 2024, Athira completed enrollment of the LIFT-AD study, randomizing approximately 315 patients in the primary analysis population.</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 xml:space="preserve">The Company expects to report topline data in the second half of 2024. </w:t>
      </w:r>
    </w:p>
    <w:p>
      <w:pPr>
        <w:pStyle w:val="TextBody"/>
        <w:bidi w:val="0"/>
        <w:spacing w:before="270" w:after="283"/>
        <w:jc w:val="left"/>
        <w:rPr>
          <w:rFonts w:ascii="Times New Roman" w:hAnsi="Times New Roman"/>
          <w:sz w:val="20"/>
        </w:rPr>
      </w:pPr>
      <w:r>
        <w:rPr>
          <w:rFonts w:ascii="Calibri;sans-serif" w:hAnsi="Calibri;sans-serif"/>
          <w:b/>
          <w:i/>
          <w:color w:val="000000"/>
          <w:sz w:val="22"/>
        </w:rPr>
        <w:t xml:space="preserve">Open Label Extension (OLEX) fosgonimeton trial </w:t>
      </w:r>
      <w:r>
        <w:rPr>
          <w:rFonts w:ascii="Calibri;sans-serif" w:hAnsi="Calibri;sans-serif"/>
          <w:i/>
          <w:color w:val="000000"/>
          <w:sz w:val="22"/>
        </w:rPr>
        <w:t>(</w:t>
      </w:r>
      <w:r>
        <w:rPr>
          <w:rFonts w:ascii="Calibri;sans-serif" w:hAnsi="Calibri;sans-serif"/>
          <w:i/>
          <w:sz w:val="22"/>
        </w:rPr>
        <w:t>NCT04886063</w:t>
      </w:r>
      <w:r>
        <w:rPr>
          <w:rFonts w:ascii="Calibri;sans-serif" w:hAnsi="Calibri;sans-serif"/>
          <w:i/>
          <w:color w:val="000000"/>
          <w:sz w:val="22"/>
        </w:rPr>
        <w:t>)</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Eligible participants who complete the LIFT-AD or ACT-AD trials and elect to participate in the ongoing OLEX are able to receive up to 30 months of open-label treatment.</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Greater than 85% of participants who completed either study have elected to enroll in OLEX to date.</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Currently, more than 60 patients are continuing fosgonimeton treatment beyond 18 months, which is unexpected in a progressive mild-to-moderate Alzheimer’s disease population.</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Athira believes the OLEX will complement its long-term safety database and provide insights into fosgonimeton’s long-term effects for up to three years of investigational treatment.</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i/>
          <w:color w:val="000000"/>
          <w:sz w:val="22"/>
        </w:rPr>
        <w:t xml:space="preserve">SHAPE Phase 2 clinical trial of fosgonimeton in mild-to-moderate Parkinson’s disease dementia and Dementia with Lewy bodies </w:t>
      </w:r>
      <w:r>
        <w:rPr>
          <w:rFonts w:ascii="Calibri;sans-serif" w:hAnsi="Calibri;sans-serif"/>
          <w:i/>
          <w:color w:val="000000"/>
          <w:sz w:val="22"/>
        </w:rPr>
        <w:t>(</w:t>
      </w:r>
      <w:r>
        <w:rPr>
          <w:rFonts w:ascii="Calibri;sans-serif" w:hAnsi="Calibri;sans-serif"/>
          <w:i/>
          <w:sz w:val="22"/>
        </w:rPr>
        <w:t>NCT04831281</w:t>
      </w:r>
      <w:r>
        <w:rPr>
          <w:rFonts w:ascii="Calibri;sans-serif" w:hAnsi="Calibri;sans-serif"/>
          <w:i/>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 xml:space="preserve">In December 2023, Athira announced encouraging results from the exploratory SHAPE Phase 2 clinical trial of fosgonimeton for the potential treatment of Parkinson's disease dementia and dementia with Lewy bodies.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Treatment with fosgonimeton 40 mg (n=5) compared to placebo (n=7) showed positive effects in cognitive measures including ADAS-Cog13, MMSE, and COWAT over the 6-month double-blind treatment period.</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The primary endpoint of the trial, a composite score of the change in Event-Related-Potential (ERP) P300 latency and cognitive assessment (ADAS-Cog13), was not met by protocoled analysis compared with placebo.</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 xml:space="preserve">Fosgonimeton was generally well tolerated, with a favorable safety profile. There were no treatment-related serious adverse events observed in the study. The most common adverse event in the treatment groups was injection site reactions.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Calibri;sans-serif" w:hAnsi="Calibri;sans-serif"/>
          <w:b/>
          <w:color w:val="000000"/>
          <w:sz w:val="22"/>
        </w:rPr>
        <w:t>ATH-1105</w:t>
      </w:r>
      <w:r>
        <w:rPr>
          <w:rFonts w:ascii="Times New Roman" w:hAnsi="Times New Roman"/>
          <w:color w:val="000000"/>
          <w:sz w:val="20"/>
        </w:rPr>
        <w:t xml:space="preserve"> – </w:t>
      </w:r>
      <w:r>
        <w:rPr>
          <w:rFonts w:ascii="Calibri;sans-serif" w:hAnsi="Calibri;sans-serif"/>
          <w:color w:val="000000"/>
          <w:sz w:val="22"/>
        </w:rPr>
        <w:t>A next-generation, orally administered, small molecule drug candidate in development for the potential treatment of ALS as the Company’s initial indication.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 xml:space="preserve">ATH-1105’s potential is supported by a growing body of preclinical evidence demonstrating statistically significant improvements on nerve and motor function, biomarkers of inflammation and neurodegeneration, and survival in various animal models of ALS.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These data were presented throughout 2023 at a variety of key scientific and medical meetings including the American Association of Neurology (AAN), the Alzheimer’s Association International Congress (AAIC), the Northeast Amyotrophic Lateral Sclerosis Consortium® (NEALS), and the Motor Neurone Disease Association (MNDA).</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The Company expects to initiate the first-in-human studies of ATH-1105 in the first half of 2024.</w:t>
      </w:r>
    </w:p>
    <w:p>
      <w:pPr>
        <w:pStyle w:val="TextBody"/>
        <w:bidi w:val="0"/>
        <w:spacing w:before="270" w:after="283"/>
        <w:jc w:val="left"/>
        <w:rPr>
          <w:rFonts w:ascii="Calibri;sans-serif" w:hAnsi="Calibri;sans-serif"/>
          <w:b/>
          <w:color w:val="000000"/>
          <w:sz w:val="24"/>
        </w:rPr>
      </w:pPr>
      <w:r>
        <w:rPr>
          <w:rFonts w:ascii="Calibri;sans-serif" w:hAnsi="Calibri;sans-serif"/>
          <w:b/>
          <w:color w:val="000000"/>
          <w:sz w:val="24"/>
        </w:rPr>
        <w:t>Financial Results</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Cash Position</w:t>
      </w:r>
      <w:r>
        <w:rPr>
          <w:rFonts w:ascii="Calibri;sans-serif" w:hAnsi="Calibri;sans-serif"/>
          <w:color w:val="000000"/>
          <w:sz w:val="22"/>
        </w:rPr>
        <w:t>. Cash, cash equivalents and investments were $147.4 million as of December 31, 2023, compared to $245.2 million as of December 31, 2022. Cash used in operations was $100.8 million for the year ended December 31, 2023, compared to $72.5 million for the year ended December 31, 2022.</w:t>
        <w:br/>
      </w:r>
      <w:r>
        <w:rPr>
          <w:color w:val="000000"/>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Research and Development (R&amp;D) Expenses</w:t>
      </w:r>
      <w:r>
        <w:rPr>
          <w:rFonts w:ascii="Calibri;sans-serif" w:hAnsi="Calibri;sans-serif"/>
          <w:color w:val="000000"/>
          <w:sz w:val="22"/>
        </w:rPr>
        <w:t xml:space="preserve">. R&amp;D expenses were $93.8 million for the year ended December 31, 2023, compared to $61.5 million for the year ended December 31, 2022. The increase was driven primarily by costs related to increased clinical trial and manufacturing activities, personnel costs, and preclinical research and development expenses. </w:t>
        <w:br/>
      </w:r>
      <w:r>
        <w:rPr>
          <w:color w:val="000000"/>
        </w:rPr>
        <w:t> </w:t>
      </w:r>
    </w:p>
    <w:p>
      <w:pPr>
        <w:pStyle w:val="TextBody"/>
        <w:bidi w:val="0"/>
        <w:spacing w:before="0" w:after="0"/>
        <w:jc w:val="left"/>
        <w:rPr>
          <w:color w:val="000000"/>
        </w:rPr>
      </w:pPr>
      <w:r>
        <w:rPr>
          <w:color w:val="000000"/>
        </w:rPr>
        <w:t>•</w:t>
      </w:r>
    </w:p>
    <w:p>
      <w:pPr>
        <w:pStyle w:val="TextBody"/>
        <w:bidi w:val="0"/>
        <w:jc w:val="left"/>
        <w:rPr/>
      </w:pPr>
      <w:r>
        <w:rPr>
          <w:rFonts w:ascii="Calibri;sans-serif" w:hAnsi="Calibri;sans-serif"/>
          <w:b/>
          <w:color w:val="000000"/>
          <w:sz w:val="22"/>
        </w:rPr>
        <w:t>General and Administrative (G&amp;A) Expenses</w:t>
      </w:r>
      <w:r>
        <w:rPr>
          <w:rFonts w:ascii="Calibri;sans-serif" w:hAnsi="Calibri;sans-serif"/>
          <w:color w:val="000000"/>
          <w:sz w:val="22"/>
        </w:rPr>
        <w:t>.</w:t>
      </w:r>
      <w:r>
        <w:rPr>
          <w:color w:val="000000"/>
        </w:rPr>
        <w:t xml:space="preserve"> </w:t>
      </w:r>
      <w:r>
        <w:rPr>
          <w:rFonts w:ascii="Calibri;sans-serif" w:hAnsi="Calibri;sans-serif"/>
          <w:color w:val="000000"/>
          <w:sz w:val="22"/>
        </w:rPr>
        <w:t>G&amp;A expenses were $33.3 million for the year ended December 31, 2023, compared to $32.6 million for the year ended December 31, 2022</w:t>
      </w:r>
      <w:r>
        <w:rPr>
          <w:rFonts w:ascii="Calibri;sans-serif" w:hAnsi="Calibri;sans-serif"/>
          <w:i/>
          <w:color w:val="000000"/>
          <w:sz w:val="22"/>
        </w:rPr>
        <w: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Legal Settlement Expense and Insurance Recovery</w:t>
      </w:r>
      <w:r>
        <w:rPr>
          <w:rFonts w:ascii="Calibri;sans-serif" w:hAnsi="Calibri;sans-serif"/>
          <w:color w:val="000000"/>
          <w:sz w:val="22"/>
        </w:rPr>
        <w:t>. In February 2023, the Company reached an agreement in principle to resolve all claims in the Company’s securities class action lawsuit. Under the proposed settlement, the Company agreed to make a one-time payment of $10.0 million and recorded a legal settlement expense of $10.0 million for the year ended December 31, 2022. Additionally, the Company recorded an insurance recovery of $1.6 million for the year ended December 31, 2023, representing the amount to be covered by the Company’s insurers.</w:t>
        <w:br/>
      </w:r>
      <w:r>
        <w:rPr>
          <w:color w:val="000000"/>
        </w:rPr>
        <w:t> </w:t>
      </w:r>
    </w:p>
    <w:p>
      <w:pPr>
        <w:pStyle w:val="TextBody"/>
        <w:bidi w:val="0"/>
        <w:spacing w:before="0" w:after="0"/>
        <w:jc w:val="left"/>
        <w:rPr>
          <w:color w:val="000000"/>
        </w:rPr>
      </w:pPr>
      <w:r>
        <w:rPr>
          <w:color w:val="000000"/>
        </w:rPr>
        <w:t>•</w:t>
      </w:r>
    </w:p>
    <w:p>
      <w:pPr>
        <w:pStyle w:val="TextBody"/>
        <w:bidi w:val="0"/>
        <w:jc w:val="left"/>
        <w:rPr/>
      </w:pPr>
      <w:r>
        <w:rPr>
          <w:rFonts w:ascii="Calibri;sans-serif" w:hAnsi="Calibri;sans-serif"/>
          <w:b/>
          <w:color w:val="000000"/>
          <w:sz w:val="22"/>
        </w:rPr>
        <w:t>Net Loss</w:t>
      </w:r>
      <w:r>
        <w:rPr>
          <w:rFonts w:ascii="Calibri;sans-serif" w:hAnsi="Calibri;sans-serif"/>
          <w:color w:val="000000"/>
          <w:sz w:val="22"/>
        </w:rPr>
        <w:t>. Net loss was $117.7 million, or $3.09 per share, for the year ended December 31, 2023, compared to a net loss of $95.6 million, or $2.53 per share, for the year ended December 31, 2022.</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About Athira Pharma, Inc.</w:t>
      </w:r>
      <w:r>
        <w:rPr>
          <w:rFonts w:ascii="Calibri;sans-serif" w:hAnsi="Calibri;sans-serif"/>
          <w:color w:val="000000"/>
          <w:sz w:val="22"/>
        </w:rPr>
        <w:br/>
        <w:t xml:space="preserve">Athira Pharma, Inc., headquartered in the Seattle, Washington area, is a late clinical-stage biopharmaceutical company focused on developing small molecules to restore neuronal health and slow neurodegeneration. Athira aims to alter the course of neurological diseases by advancing its pipeline of drug candidates that modulate the neurotrophic HGF system. For more information, visit </w:t>
      </w:r>
      <w:r>
        <w:rPr>
          <w:rFonts w:ascii="Calibri;sans-serif" w:hAnsi="Calibri;sans-serif"/>
          <w:sz w:val="22"/>
        </w:rPr>
        <w:t>www.athira.com</w:t>
      </w:r>
      <w:r>
        <w:rPr>
          <w:rFonts w:ascii="Calibri;sans-serif" w:hAnsi="Calibri;sans-serif"/>
          <w:color w:val="000000"/>
          <w:sz w:val="22"/>
        </w:rPr>
        <w:t xml:space="preserve">. You can also follow Athira on </w:t>
      </w:r>
      <w:r>
        <w:rPr>
          <w:rFonts w:ascii="Calibri;sans-serif" w:hAnsi="Calibri;sans-serif"/>
          <w:sz w:val="22"/>
        </w:rPr>
        <w:t>Facebook</w:t>
      </w:r>
      <w:r>
        <w:rPr>
          <w:rFonts w:ascii="Calibri;sans-serif" w:hAnsi="Calibri;sans-serif"/>
          <w:color w:val="000000"/>
          <w:sz w:val="22"/>
        </w:rPr>
        <w:t xml:space="preserve">, </w:t>
      </w:r>
      <w:r>
        <w:rPr>
          <w:rFonts w:ascii="Calibri;sans-serif" w:hAnsi="Calibri;sans-serif"/>
          <w:sz w:val="22"/>
        </w:rPr>
        <w:t>LinkedIn</w:t>
      </w:r>
      <w:r>
        <w:rPr>
          <w:rFonts w:ascii="Calibri;sans-serif" w:hAnsi="Calibri;sans-serif"/>
          <w:color w:val="000000"/>
          <w:sz w:val="22"/>
        </w:rPr>
        <w:t xml:space="preserve">, </w:t>
      </w:r>
      <w:r>
        <w:rPr>
          <w:rFonts w:ascii="Calibri;sans-serif" w:hAnsi="Calibri;sans-serif"/>
          <w:sz w:val="22"/>
        </w:rPr>
        <w:t>X</w:t>
      </w:r>
      <w:r>
        <w:rPr>
          <w:rFonts w:ascii="Times New Roman" w:hAnsi="Times New Roman"/>
          <w:color w:val="000000"/>
          <w:sz w:val="20"/>
        </w:rPr>
        <w:t xml:space="preserve"> </w:t>
      </w:r>
      <w:r>
        <w:rPr>
          <w:rFonts w:ascii="Calibri;sans-serif" w:hAnsi="Calibri;sans-serif"/>
          <w:color w:val="000000"/>
          <w:sz w:val="22"/>
        </w:rPr>
        <w:t xml:space="preserve">(formerly known as Twitter) and </w:t>
      </w:r>
      <w:r>
        <w:rPr>
          <w:rFonts w:ascii="Calibri;sans-serif" w:hAnsi="Calibri;sans-serif"/>
          <w:sz w:val="22"/>
        </w:rPr>
        <w:t>Instagram</w:t>
      </w:r>
      <w:r>
        <w:rPr>
          <w:rFonts w:ascii="Calibri;sans-serif" w:hAnsi="Calibri;sans-serif"/>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Calibri;sans-serif" w:hAnsi="Calibri;sans-serif"/>
          <w:b/>
          <w:color w:val="000000"/>
          <w:sz w:val="22"/>
        </w:rPr>
        <w:t>Forward-Looking Statements</w:t>
      </w:r>
      <w:r>
        <w:rPr>
          <w:rFonts w:ascii="Calibri;sans-serif" w:hAnsi="Calibri;sans-serif"/>
          <w:color w:val="000000"/>
          <w:sz w:val="22"/>
        </w:rPr>
        <w:b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drug candidates as a potential treatment for Alzheimer’s disease, Parkinson’s disease, Parkinson’s disease dementia, Dementia with Lewy bodies, amyotrophic lateral sclerosis, and other neurodegenerative diseases; future development plans; the anticipated reporting of data; the potential learnings from preclinical studies, the ACT-AD and SHAPE trials, and LIFT-AD unblinded interim efficacy and futility analysis and their ability to inform and improve future clinical development plans; expectations regarding the potential efficacy and commercial potential of Athira’s drug candidates;</w:t>
      </w:r>
      <w:r>
        <w:rPr>
          <w:rFonts w:ascii="Times New Roman" w:hAnsi="Times New Roman"/>
          <w:color w:val="000000"/>
          <w:sz w:val="20"/>
        </w:rPr>
        <w:t xml:space="preserve"> </w:t>
      </w:r>
      <w:r>
        <w:rPr>
          <w:rFonts w:ascii="Calibri;sans-serif" w:hAnsi="Calibri;sans-serif"/>
          <w:color w:val="000000"/>
          <w:sz w:val="22"/>
        </w:rPr>
        <w:t>and Athira’s ability to advance its drug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“suggest,” “potential,”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data from preclinical and clinical trials may not support the safety, efficacy and tolerability of Athira’s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 submissions or approval; Athira may not be able to recruit sufficient patients for its clinical trials; the outcome of legal proceedings that have been or may in the future be instituted against Athira, its directors and officers; possible negative interactions of Athira's drug candidates with other treatments; Athira’s assumptions regarding its financial condition and the sufficiency of its cash, cash equivalents and investments to fund its planned operations may be incorrect; adverse conditions in the general domestic and global economic markets; the impact of competition; regulatory agencies may be delayed in reviewing, commenting on or approving any of Athira’s clinical development plans as a result of pandemics or health epidemics, which could further delay development timelines; the impact of expanded drug candidate development and clinical activities on operating expenses; the impact of new or changing laws and regulations; as well as the other risks detailed in Athira’s filings with the Securities and Exchange Commission from time to time.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Investor &amp; Media Contact:</w:t>
      </w:r>
    </w:p>
    <w:p>
      <w:pPr>
        <w:pStyle w:val="TextBody"/>
        <w:bidi w:val="0"/>
        <w:jc w:val="left"/>
        <w:rPr>
          <w:rFonts w:ascii="Times New Roman" w:hAnsi="Times New Roman"/>
          <w:sz w:val="20"/>
        </w:rPr>
      </w:pPr>
      <w:r>
        <w:rPr>
          <w:rFonts w:ascii="Calibri;sans-serif" w:hAnsi="Calibri;sans-serif"/>
          <w:color w:val="000000"/>
          <w:sz w:val="22"/>
        </w:rPr>
        <w:t>Julie Rathbun</w:t>
        <w:br/>
        <w:t>Athira Pharma</w:t>
        <w:br/>
      </w:r>
      <w:r>
        <w:rPr>
          <w:rFonts w:ascii="Calibri;sans-serif" w:hAnsi="Calibri;sans-serif"/>
          <w:color w:val="0000FF"/>
          <w:sz w:val="22"/>
          <w:u w:val="single"/>
        </w:rPr>
        <w:t>Julie.rathbun@athira.com</w:t>
      </w:r>
      <w:r>
        <w:rPr>
          <w:rFonts w:ascii="Calibri;sans-serif" w:hAnsi="Calibri;sans-serif"/>
          <w:color w:val="000000"/>
          <w:sz w:val="22"/>
        </w:rPr>
        <w:br/>
        <w:t>206-769-9219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Balance Sheets</w:t>
      </w:r>
    </w:p>
    <w:p>
      <w:pPr>
        <w:pStyle w:val="TextBody"/>
        <w:bidi w:val="0"/>
        <w:jc w:val="center"/>
        <w:rPr>
          <w:rFonts w:ascii="Arial" w:hAnsi="Arial"/>
          <w:color w:val="000000"/>
          <w:sz w:val="20"/>
        </w:rPr>
      </w:pPr>
      <w:r>
        <w:rPr>
          <w:rFonts w:ascii="Arial" w:hAnsi="Arial"/>
          <w:color w:val="000000"/>
          <w:sz w:val="20"/>
        </w:rPr>
        <w:t>(Amounts in thousands)</w:t>
      </w:r>
    </w:p>
    <w:p>
      <w:pPr>
        <w:pStyle w:val="TextBody"/>
        <w:bidi w:val="0"/>
        <w:jc w:val="center"/>
        <w:rPr/>
      </w:pPr>
      <w:r>
        <w:rPr/>
        <w:t> </w:t>
      </w:r>
    </w:p>
    <w:tbl>
      <w:tblPr>
        <w:tblW w:w="6169" w:type="dxa"/>
        <w:jc w:val="left"/>
        <w:tblInd w:w="0" w:type="dxa"/>
        <w:tblLayout w:type="fixed"/>
        <w:tblCellMar>
          <w:top w:w="28" w:type="dxa"/>
          <w:left w:w="28" w:type="dxa"/>
          <w:bottom w:w="28" w:type="dxa"/>
          <w:right w:w="28" w:type="dxa"/>
        </w:tblCellMar>
      </w:tblPr>
      <w:tblGrid>
        <w:gridCol w:w="3526"/>
        <w:gridCol w:w="146"/>
        <w:gridCol w:w="211"/>
        <w:gridCol w:w="796"/>
        <w:gridCol w:w="146"/>
        <w:gridCol w:w="146"/>
        <w:gridCol w:w="211"/>
        <w:gridCol w:w="79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104,378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short-term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5,516</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5,791</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258,153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130,188</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235,137</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258,153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Arial" w:hAnsi="Arial"/>
          <w:color w:val="000000"/>
          <w:sz w:val="20"/>
        </w:rPr>
      </w:pPr>
      <w:bookmarkStart w:id="8" w:name="range_a1_e16"/>
      <w:bookmarkEnd w:id="8"/>
      <w:r>
        <w:rPr>
          <w:rFonts w:ascii="Arial" w:hAnsi="Arial"/>
          <w:color w:val="000000"/>
          <w:sz w:val="20"/>
        </w:rPr>
        <w:t>(Amounts in thousands, except share and per share amounts)</w:t>
      </w:r>
    </w:p>
    <w:p>
      <w:pPr>
        <w:pStyle w:val="TextBody"/>
        <w:bidi w:val="0"/>
        <w:jc w:val="center"/>
        <w:rPr/>
      </w:pPr>
      <w:r>
        <w:rPr/>
        <w:t> </w:t>
      </w:r>
    </w:p>
    <w:tbl>
      <w:tblPr>
        <w:tblW w:w="8866" w:type="dxa"/>
        <w:jc w:val="left"/>
        <w:tblInd w:w="0" w:type="dxa"/>
        <w:tblLayout w:type="fixed"/>
        <w:tblCellMar>
          <w:top w:w="28" w:type="dxa"/>
          <w:left w:w="28" w:type="dxa"/>
          <w:bottom w:w="28" w:type="dxa"/>
          <w:right w:w="28" w:type="dxa"/>
        </w:tblCellMar>
      </w:tblPr>
      <w:tblGrid>
        <w:gridCol w:w="5116"/>
        <w:gridCol w:w="146"/>
        <w:gridCol w:w="211"/>
        <w:gridCol w:w="1066"/>
        <w:gridCol w:w="166"/>
        <w:gridCol w:w="146"/>
        <w:gridCol w:w="211"/>
        <w:gridCol w:w="1066"/>
        <w:gridCol w:w="738"/>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73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73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shd w:fill="D1F4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shd w:fill="D1F4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61,464</w:t>
            </w:r>
          </w:p>
        </w:tc>
        <w:tc>
          <w:tcPr>
            <w:tcW w:w="738"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5116" w:type="dxa"/>
            <w:tcBorders/>
            <w:shd w:fill="D1F4FF" w:val="clear"/>
            <w:tcMar>
              <w:top w:w="0" w:type="dxa"/>
              <w:left w:w="0" w:type="dxa"/>
              <w:bottom w:w="0" w:type="dxa"/>
              <w:right w:w="0" w:type="dxa"/>
            </w:tcMar>
            <w:vAlign w:val="center"/>
          </w:tcPr>
          <w:p>
            <w:pPr>
              <w:pStyle w:val="TableContents"/>
              <w:bidi w:val="0"/>
              <w:spacing w:before="0" w:after="283"/>
              <w:ind w:left="274" w:right="0" w:firstLine="274"/>
              <w:jc w:val="left"/>
              <w:rPr>
                <w:rFonts w:ascii="Arial" w:hAnsi="Arial"/>
                <w:color w:val="000000"/>
                <w:sz w:val="20"/>
              </w:rPr>
            </w:pPr>
            <w:r>
              <w:rPr>
                <w:rFonts w:ascii="Arial" w:hAnsi="Arial"/>
                <w:color w:val="000000"/>
                <w:sz w:val="20"/>
              </w:rPr>
              <w:t>General and administrative</w:t>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D1F4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33,304</w:t>
            </w:r>
          </w:p>
        </w:tc>
        <w:tc>
          <w:tcPr>
            <w:tcW w:w="16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D1F4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32,552</w:t>
            </w:r>
          </w:p>
        </w:tc>
        <w:tc>
          <w:tcPr>
            <w:tcW w:w="738" w:type="dxa"/>
            <w:tcBorders/>
            <w:shd w:fill="D1F4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rFonts w:ascii="Arial" w:hAnsi="Arial"/>
                <w:color w:val="000000"/>
                <w:sz w:val="20"/>
              </w:rPr>
            </w:pPr>
            <w:r>
              <w:rPr>
                <w:rFonts w:ascii="Arial" w:hAnsi="Arial"/>
                <w:color w:val="000000"/>
                <w:sz w:val="20"/>
              </w:rPr>
              <w:t>Legal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738"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5116" w:type="dxa"/>
            <w:tcBorders/>
            <w:shd w:fill="D1F4FF" w:val="clear"/>
            <w:tcMar>
              <w:top w:w="0" w:type="dxa"/>
              <w:left w:w="0" w:type="dxa"/>
              <w:bottom w:w="0" w:type="dxa"/>
              <w:right w:w="0" w:type="dxa"/>
            </w:tcMar>
            <w:vAlign w:val="center"/>
          </w:tcPr>
          <w:p>
            <w:pPr>
              <w:pStyle w:val="TableContents"/>
              <w:bidi w:val="0"/>
              <w:spacing w:before="0" w:after="283"/>
              <w:ind w:left="274" w:right="0" w:firstLine="274"/>
              <w:jc w:val="left"/>
              <w:rPr>
                <w:rFonts w:ascii="Arial" w:hAnsi="Arial"/>
                <w:color w:val="000000"/>
                <w:sz w:val="20"/>
              </w:rPr>
            </w:pPr>
            <w:r>
              <w:rPr>
                <w:rFonts w:ascii="Arial" w:hAnsi="Arial"/>
                <w:color w:val="000000"/>
                <w:sz w:val="20"/>
              </w:rPr>
              <w:t>Insurance recovery related to legal settlement</w:t>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w:t>
            </w:r>
          </w:p>
        </w:tc>
        <w:tc>
          <w:tcPr>
            <w:tcW w:w="166"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38" w:type="dxa"/>
            <w:tcBorders>
              <w:bottom w:val="single" w:sz="2" w:space="0" w:color="000000"/>
            </w:tcBorders>
            <w:shd w:fill="D1F4FF" w:val="clear"/>
            <w:tcMar>
              <w:top w:w="0" w:type="dxa"/>
              <w:left w:w="0" w:type="dxa"/>
              <w:right w:w="0" w:type="dxa"/>
            </w:tcMar>
            <w:vAlign w:val="center"/>
          </w:tcPr>
          <w:p>
            <w:pPr>
              <w:pStyle w:val="TableContents"/>
              <w:bidi w:val="0"/>
              <w:spacing w:before="0" w:after="283"/>
              <w:ind w:left="0" w:right="0" w:firstLine="547"/>
              <w:jc w:val="left"/>
              <w:rPr/>
            </w:pPr>
            <w:r>
              <w:rPr/>
              <w:t> </w:t>
            </w:r>
          </w:p>
        </w:tc>
      </w:tr>
      <w:tr>
        <w:trPr/>
        <w:tc>
          <w:tcPr>
            <w:tcW w:w="5116" w:type="dxa"/>
            <w:tcBorders/>
            <w:tcMar>
              <w:top w:w="0" w:type="dxa"/>
              <w:left w:w="0" w:type="dxa"/>
              <w:bottom w:w="0" w:type="dxa"/>
              <w:right w:w="0" w:type="dxa"/>
            </w:tcMar>
            <w:vAlign w:val="center"/>
          </w:tcPr>
          <w:p>
            <w:pPr>
              <w:pStyle w:val="TableContents"/>
              <w:bidi w:val="0"/>
              <w:spacing w:before="0" w:after="283"/>
              <w:ind w:left="547" w:right="0" w:firstLine="547"/>
              <w:jc w:val="left"/>
              <w:rPr>
                <w:rFonts w:ascii="Arial" w:hAnsi="Arial"/>
                <w:color w:val="000000"/>
                <w:sz w:val="20"/>
              </w:rPr>
            </w:pPr>
            <w:r>
              <w:rPr>
                <w:rFonts w:ascii="Arial" w:hAnsi="Arial"/>
                <w:color w:val="000000"/>
                <w:sz w:val="20"/>
              </w:rPr>
              <w:t>Total operating expenses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125,466</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104,016</w:t>
            </w:r>
          </w:p>
        </w:tc>
        <w:tc>
          <w:tcPr>
            <w:tcW w:w="738"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shd w:fill="D1F4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D1F4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(125,466</w:t>
            </w:r>
          </w:p>
        </w:tc>
        <w:tc>
          <w:tcPr>
            <w:tcW w:w="166" w:type="dxa"/>
            <w:tcBorders/>
            <w:shd w:fill="D1F4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D1F4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(104,016</w:t>
            </w:r>
          </w:p>
        </w:tc>
        <w:tc>
          <w:tcPr>
            <w:tcW w:w="738" w:type="dxa"/>
            <w:tcBorders/>
            <w:shd w:fill="D1F4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5,161</w:t>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shd w:fill="D1F4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7,637</w:t>
            </w:r>
          </w:p>
        </w:tc>
        <w:tc>
          <w:tcPr>
            <w:tcW w:w="166"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3,216</w:t>
            </w:r>
          </w:p>
        </w:tc>
        <w:tc>
          <w:tcPr>
            <w:tcW w:w="738"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(117,672</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(95,639</w:t>
            </w:r>
          </w:p>
        </w:tc>
        <w:tc>
          <w:tcPr>
            <w:tcW w:w="738"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D1F4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gain (loss) on available-for-sale securities</w:t>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1,607</w:t>
            </w:r>
          </w:p>
        </w:tc>
        <w:tc>
          <w:tcPr>
            <w:tcW w:w="166"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(1,568</w:t>
            </w:r>
          </w:p>
        </w:tc>
        <w:tc>
          <w:tcPr>
            <w:tcW w:w="738" w:type="dxa"/>
            <w:tcBorders>
              <w:bottom w:val="single" w:sz="2" w:space="0" w:color="000000"/>
            </w:tcBorders>
            <w:shd w:fill="D1F4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attributable to common stockholders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(116,065</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(97,207</w:t>
            </w:r>
          </w:p>
        </w:tc>
        <w:tc>
          <w:tcPr>
            <w:tcW w:w="738"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D1F4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Net loss per share attributable to common stockholders,</w:t>
            </w:r>
          </w:p>
          <w:p>
            <w:pPr>
              <w:pStyle w:val="TableContents"/>
              <w:bidi w:val="0"/>
              <w:spacing w:before="0" w:after="283"/>
              <w:jc w:val="left"/>
              <w:rPr>
                <w:color w:val="000000"/>
              </w:rPr>
            </w:pPr>
            <w:r>
              <w:rPr>
                <w:color w:val="000000"/>
              </w:rPr>
              <w:t>   </w:t>
            </w:r>
            <w:r>
              <w:rPr>
                <w:rFonts w:ascii="Arial" w:hAnsi="Arial"/>
                <w:color w:val="000000"/>
                <w:sz w:val="20"/>
              </w:rPr>
              <w:t>basic and diluted</w:t>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D1F4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D1F4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w:t>
            </w:r>
          </w:p>
        </w:tc>
        <w:tc>
          <w:tcPr>
            <w:tcW w:w="166" w:type="dxa"/>
            <w:tcBorders>
              <w:bottom w:val="double" w:sz="6" w:space="0" w:color="000000"/>
            </w:tcBorders>
            <w:shd w:fill="D1F4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1F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D1F4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D1F4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w:t>
            </w:r>
          </w:p>
        </w:tc>
        <w:tc>
          <w:tcPr>
            <w:tcW w:w="738" w:type="dxa"/>
            <w:tcBorders>
              <w:bottom w:val="double" w:sz="6" w:space="0" w:color="000000"/>
            </w:tcBorders>
            <w:shd w:fill="D1F4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Weighted-average shares used in computing net loss per</w:t>
            </w:r>
          </w:p>
          <w:p>
            <w:pPr>
              <w:pStyle w:val="TableContents"/>
              <w:bidi w:val="0"/>
              <w:jc w:val="left"/>
              <w:rPr>
                <w:color w:val="000000"/>
              </w:rPr>
            </w:pPr>
            <w:r>
              <w:rPr>
                <w:color w:val="000000"/>
              </w:rPr>
              <w:t>   </w:t>
            </w:r>
            <w:r>
              <w:rPr>
                <w:rFonts w:ascii="Arial" w:hAnsi="Arial"/>
                <w:color w:val="000000"/>
                <w:sz w:val="20"/>
              </w:rPr>
              <w:t>share attributable to common stockholders, basic</w:t>
            </w:r>
          </w:p>
          <w:p>
            <w:pPr>
              <w:pStyle w:val="TableContents"/>
              <w:bidi w:val="0"/>
              <w:spacing w:before="0" w:after="283"/>
              <w:jc w:val="left"/>
              <w:rPr>
                <w:color w:val="000000"/>
              </w:rPr>
            </w:pPr>
            <w:r>
              <w:rPr>
                <w:color w:val="000000"/>
              </w:rPr>
              <w:t>   </w:t>
            </w:r>
            <w:r>
              <w:rPr>
                <w:rFonts w:ascii="Arial" w:hAnsi="Arial"/>
                <w:color w:val="000000"/>
                <w:sz w:val="20"/>
              </w:rPr>
              <w:t>and diluted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38,020,182</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37,733,240</w:t>
            </w:r>
          </w:p>
        </w:tc>
        <w:tc>
          <w:tcPr>
            <w:tcW w:w="738"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Arial">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25751</Words>
  <Characters>138490</Characters>
  <CharactersWithSpaces>163655</CharactersWithSpaces>
  <Paragraphs>1099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