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spacing w:after="0" w:line="286" w:lineRule="auto"/>
        <w:rPr>
          <w:sz w:val="20"/>
          <w:szCs w:val="20"/>
          <w:color w:val="auto"/>
        </w:rPr>
      </w:pPr>
      <w:r>
        <w:rPr>
          <w:rFonts w:ascii="Times New Roman" w:cs="Times New Roman" w:eastAsia="Times New Roman" w:hAnsi="Times New Roman"/>
          <w:sz w:val="21"/>
          <w:szCs w:val="21"/>
          <w:b w:val="1"/>
          <w:bCs w:val="1"/>
          <w:color w:val="auto"/>
        </w:rPr>
        <w:t>INFORMATION TO BE INCLUDED IN STATEMENTS PURSUANT TO RULES 13d-1(b),(c) AND (d) AND AMENDMENTS THERETO FILED PURSUANT TO 13d-2 UNDER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Athira Pharma,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 $0.0001 par value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04746L104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September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-7620</wp:posOffset>
            </wp:positionV>
            <wp:extent cx="2259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5933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5220" w:hanging="207"/>
        <w:spacing w:after="0"/>
        <w:tabs>
          <w:tab w:leader="none" w:pos="5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9" w:lineRule="exact"/>
        <w:rPr>
          <w:rFonts w:ascii="MS PGothic" w:cs="MS PGothic" w:eastAsia="MS PGothic" w:hAnsi="MS PGothic"/>
          <w:sz w:val="18"/>
          <w:szCs w:val="18"/>
          <w:color w:val="auto"/>
        </w:rPr>
      </w:pPr>
    </w:p>
    <w:p>
      <w:pPr>
        <w:ind w:left="5220" w:hanging="202"/>
        <w:spacing w:after="0"/>
        <w:tabs>
          <w:tab w:leader="none" w:pos="5220"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9" w:lineRule="exact"/>
        <w:rPr>
          <w:rFonts w:ascii="MS PGothic" w:cs="MS PGothic" w:eastAsia="MS PGothic" w:hAnsi="MS PGothic"/>
          <w:sz w:val="18"/>
          <w:szCs w:val="18"/>
          <w:color w:val="auto"/>
        </w:rPr>
      </w:pPr>
    </w:p>
    <w:p>
      <w:pPr>
        <w:ind w:left="5220" w:hanging="207"/>
        <w:spacing w:after="0"/>
        <w:tabs>
          <w:tab w:leader="none" w:pos="5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 w:name="page2"/>
    <w:bookmarkEnd w:id="1"/>
    <w:p>
      <w:pPr>
        <w:ind w:left="940"/>
        <w:spacing w:after="0"/>
        <w:rPr>
          <w:sz w:val="20"/>
          <w:szCs w:val="20"/>
          <w:color w:val="auto"/>
        </w:rPr>
      </w:pPr>
      <w:r>
        <w:rPr>
          <w:rFonts w:ascii="Times New Roman" w:cs="Times New Roman" w:eastAsia="Times New Roman" w:hAnsi="Times New Roman"/>
          <w:sz w:val="18"/>
          <w:szCs w:val="18"/>
          <w:b w:val="1"/>
          <w:bCs w:val="1"/>
          <w:color w:val="auto"/>
        </w:rPr>
        <w:t>CUSIP No. 04746L104</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-169545</wp:posOffset>
            </wp:positionV>
            <wp:extent cx="7132320" cy="669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 xml:space="preserve">Page </w:t>
      </w:r>
      <w:r>
        <w:rPr>
          <w:rFonts w:ascii="Times New Roman" w:cs="Times New Roman" w:eastAsia="Times New Roman" w:hAnsi="Times New Roman"/>
          <w:sz w:val="17"/>
          <w:szCs w:val="17"/>
          <w:b w:val="1"/>
          <w:bCs w:val="1"/>
          <w:u w:val="single" w:color="auto"/>
          <w:color w:val="auto"/>
        </w:rPr>
        <w:t>2</w:t>
      </w:r>
      <w:r>
        <w:rPr>
          <w:rFonts w:ascii="Times New Roman" w:cs="Times New Roman" w:eastAsia="Times New Roman" w:hAnsi="Times New Roman"/>
          <w:sz w:val="17"/>
          <w:szCs w:val="17"/>
          <w:b w:val="1"/>
          <w:bCs w:val="1"/>
          <w:color w:val="auto"/>
        </w:rPr>
        <w:t xml:space="preserve"> of </w:t>
      </w:r>
      <w:r>
        <w:rPr>
          <w:rFonts w:ascii="Times New Roman" w:cs="Times New Roman" w:eastAsia="Times New Roman" w:hAnsi="Times New Roman"/>
          <w:sz w:val="17"/>
          <w:szCs w:val="17"/>
          <w:b w:val="1"/>
          <w:bCs w:val="1"/>
          <w:u w:val="single" w:color="auto"/>
          <w:color w:val="auto"/>
        </w:rPr>
        <w:t>15</w:t>
      </w:r>
      <w:r>
        <w:rPr>
          <w:rFonts w:ascii="Times New Roman" w:cs="Times New Roman" w:eastAsia="Times New Roman" w:hAnsi="Times New Roman"/>
          <w:sz w:val="17"/>
          <w:szCs w:val="17"/>
          <w:b w:val="1"/>
          <w:bCs w:val="1"/>
          <w:color w:val="auto"/>
        </w:rPr>
        <w:t xml:space="preserve"> Pages</w:t>
      </w:r>
    </w:p>
    <w:p>
      <w:pPr>
        <w:spacing w:after="0" w:line="119" w:lineRule="exact"/>
        <w:rPr>
          <w:sz w:val="20"/>
          <w:szCs w:val="20"/>
          <w:color w:val="auto"/>
        </w:rPr>
      </w:pPr>
    </w:p>
    <w:p>
      <w:pPr>
        <w:sectPr>
          <w:pgSz w:w="11900" w:h="16838" w:orient="portrait"/>
          <w:cols w:equalWidth="0" w:num="3">
            <w:col w:w="4700" w:space="720"/>
            <w:col w:w="2540" w:space="720"/>
            <w:col w:w="2560"/>
          </w:cols>
          <w:pgMar w:left="320" w:top="914" w:right="339" w:bottom="1440" w:gutter="0" w:footer="0" w:header="0"/>
        </w:sectPr>
      </w:pPr>
    </w:p>
    <w:p>
      <w:pPr>
        <w:ind w:left="1040" w:hanging="1019"/>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(ENTITIES ONLY)</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0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Viking Global Investors LP</w:t>
            </w:r>
          </w:p>
        </w:tc>
        <w:tc>
          <w:tcPr>
            <w:tcW w:w="0" w:type="dxa"/>
            <w:vAlign w:val="bottom"/>
          </w:tcPr>
          <w:p>
            <w:pPr>
              <w:spacing w:after="0"/>
              <w:rPr>
                <w:sz w:val="1"/>
                <w:szCs w:val="1"/>
                <w:color w:val="auto"/>
              </w:rPr>
            </w:pPr>
          </w:p>
        </w:tc>
      </w:tr>
      <w:tr>
        <w:trPr>
          <w:trHeight w:val="252"/>
        </w:trPr>
        <w:tc>
          <w:tcPr>
            <w:tcW w:w="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2</w:t>
            </w:r>
          </w:p>
        </w:tc>
        <w:tc>
          <w:tcPr>
            <w:tcW w:w="10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9"/>
        </w:trPr>
        <w:tc>
          <w:tcPr>
            <w:tcW w:w="560" w:type="dxa"/>
            <w:vAlign w:val="bottom"/>
            <w:vMerge w:val="continue"/>
          </w:tcPr>
          <w:p>
            <w:pPr>
              <w:spacing w:after="0"/>
              <w:rPr>
                <w:sz w:val="8"/>
                <w:szCs w:val="8"/>
                <w:color w:val="auto"/>
              </w:rPr>
            </w:pPr>
          </w:p>
        </w:tc>
        <w:tc>
          <w:tcPr>
            <w:tcW w:w="10360" w:type="dxa"/>
            <w:vAlign w:val="bottom"/>
            <w:vMerge w:val="restart"/>
          </w:tcPr>
          <w:p>
            <w:pPr>
              <w:ind w:left="101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117"/>
        </w:trPr>
        <w:tc>
          <w:tcPr>
            <w:tcW w:w="56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0360" w:type="dxa"/>
            <w:vAlign w:val="bottom"/>
          </w:tcPr>
          <w:p>
            <w:pPr>
              <w:ind w:left="10140"/>
              <w:spacing w:after="0"/>
              <w:rPr>
                <w:sz w:val="20"/>
                <w:szCs w:val="20"/>
                <w:color w:val="auto"/>
              </w:rPr>
            </w:pPr>
            <w:r>
              <w:rPr>
                <w:rFonts w:ascii="Times New Roman" w:cs="Times New Roman" w:eastAsia="Times New Roman" w:hAnsi="Times New Roman"/>
                <w:sz w:val="18"/>
                <w:szCs w:val="18"/>
                <w:color w:val="auto"/>
                <w:w w:val="95"/>
              </w:rPr>
              <w:t>(b)</w:t>
            </w:r>
          </w:p>
        </w:tc>
        <w:tc>
          <w:tcPr>
            <w:tcW w:w="0" w:type="dxa"/>
            <w:vAlign w:val="bottom"/>
          </w:tcPr>
          <w:p>
            <w:pPr>
              <w:spacing w:after="0"/>
              <w:rPr>
                <w:sz w:val="1"/>
                <w:szCs w:val="1"/>
                <w:color w:val="auto"/>
              </w:rPr>
            </w:pPr>
          </w:p>
        </w:tc>
      </w:tr>
    </w:tbl>
    <w:p>
      <w:pPr>
        <w:ind w:left="1040" w:hanging="1019"/>
        <w:spacing w:after="0" w:line="184" w:lineRule="auto"/>
        <w:tabs>
          <w:tab w:leader="none" w:pos="1040" w:val="left"/>
        </w:tabs>
        <w:numPr>
          <w:ilvl w:val="0"/>
          <w:numId w:val="3"/>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5"/>
          <w:szCs w:val="15"/>
          <w:color w:val="auto"/>
        </w:rPr>
        <w:t>SEC USE ONLY</w:t>
      </w:r>
    </w:p>
    <w:p>
      <w:pPr>
        <w:spacing w:after="0" w:line="288" w:lineRule="exact"/>
        <w:rPr>
          <w:sz w:val="20"/>
          <w:szCs w:val="20"/>
          <w:color w:val="auto"/>
        </w:rPr>
      </w:pPr>
    </w:p>
    <w:p>
      <w:pPr>
        <w:ind w:left="1040" w:hanging="1019"/>
        <w:spacing w:after="0"/>
        <w:tabs>
          <w:tab w:leader="none" w:pos="1040" w:val="left"/>
        </w:tabs>
        <w:numPr>
          <w:ilvl w:val="0"/>
          <w:numId w:val="4"/>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Delaware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5</w:t>
            </w:r>
          </w:p>
        </w:tc>
        <w:tc>
          <w:tcPr>
            <w:tcW w:w="8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63"/>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680" w:type="dxa"/>
            <w:vAlign w:val="bottom"/>
            <w:tcBorders>
              <w:right w:val="single" w:sz="8" w:color="auto"/>
            </w:tcBorders>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bottom w:val="single" w:sz="8" w:color="auto"/>
              <w:right w:val="single" w:sz="8" w:color="auto"/>
            </w:tcBorders>
          </w:tcPr>
          <w:p>
            <w:pPr>
              <w:spacing w:after="0"/>
              <w:rPr>
                <w:sz w:val="7"/>
                <w:szCs w:val="7"/>
                <w:color w:val="auto"/>
              </w:rPr>
            </w:pPr>
          </w:p>
        </w:tc>
        <w:tc>
          <w:tcPr>
            <w:tcW w:w="8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2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6</w:t>
            </w: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4"/>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right w:val="single" w:sz="8" w:color="auto"/>
            </w:tcBorders>
            <w:vMerge w:val="continue"/>
          </w:tcPr>
          <w:p>
            <w:pPr>
              <w:spacing w:after="0"/>
              <w:rPr>
                <w:sz w:val="8"/>
                <w:szCs w:val="8"/>
                <w:color w:val="auto"/>
              </w:rPr>
            </w:pPr>
          </w:p>
        </w:tc>
        <w:tc>
          <w:tcPr>
            <w:tcW w:w="8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2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2,120,653*</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7</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17"/>
        </w:trPr>
        <w:tc>
          <w:tcPr>
            <w:tcW w:w="228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6"/>
        </w:trPr>
        <w:tc>
          <w:tcPr>
            <w:tcW w:w="2280" w:type="dxa"/>
            <w:vAlign w:val="bottom"/>
            <w:tcBorders>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8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8</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2,120,653*</w:t>
            </w:r>
          </w:p>
        </w:tc>
        <w:tc>
          <w:tcPr>
            <w:tcW w:w="0" w:type="dxa"/>
            <w:vAlign w:val="bottom"/>
          </w:tcPr>
          <w:p>
            <w:pPr>
              <w:spacing w:after="0"/>
              <w:rPr>
                <w:sz w:val="1"/>
                <w:szCs w:val="1"/>
                <w:color w:val="auto"/>
              </w:rPr>
            </w:pPr>
          </w:p>
        </w:tc>
      </w:tr>
      <w:tr>
        <w:trPr>
          <w:trHeight w:val="473"/>
        </w:trPr>
        <w:tc>
          <w:tcPr>
            <w:tcW w:w="22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14" w:right="339" w:bottom="1440"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2,120,653*</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w:t>
      </w:r>
      <w:r>
        <w:rPr>
          <w:rFonts w:ascii="Times New Roman" w:cs="Times New Roman" w:eastAsia="Times New Roman" w:hAnsi="Times New Roman"/>
          <w:sz w:val="17"/>
          <w:szCs w:val="17"/>
          <w:b w:val="1"/>
          <w:bCs w:val="1"/>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ectPr>
          <w:pgSz w:w="11900" w:h="16838" w:orient="portrait"/>
          <w:cols w:equalWidth="0" w:num="2">
            <w:col w:w="320" w:space="720"/>
            <w:col w:w="10200"/>
          </w:cols>
          <w:pgMar w:left="320" w:top="914" w:right="3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18"/>
          <w:szCs w:val="18"/>
          <w:b w:val="1"/>
          <w:bCs w:val="1"/>
          <w:color w:val="auto"/>
        </w:rPr>
        <w:t>CUSIP No. 04746L104</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-169545</wp:posOffset>
            </wp:positionV>
            <wp:extent cx="7132320" cy="6557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557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 xml:space="preserve">Page </w:t>
      </w:r>
      <w:r>
        <w:rPr>
          <w:rFonts w:ascii="Times New Roman" w:cs="Times New Roman" w:eastAsia="Times New Roman" w:hAnsi="Times New Roman"/>
          <w:sz w:val="17"/>
          <w:szCs w:val="17"/>
          <w:b w:val="1"/>
          <w:bCs w:val="1"/>
          <w:u w:val="single" w:color="auto"/>
          <w:color w:val="auto"/>
        </w:rPr>
        <w:t>3</w:t>
      </w:r>
      <w:r>
        <w:rPr>
          <w:rFonts w:ascii="Times New Roman" w:cs="Times New Roman" w:eastAsia="Times New Roman" w:hAnsi="Times New Roman"/>
          <w:sz w:val="17"/>
          <w:szCs w:val="17"/>
          <w:b w:val="1"/>
          <w:bCs w:val="1"/>
          <w:color w:val="auto"/>
        </w:rPr>
        <w:t xml:space="preserve"> of </w:t>
      </w:r>
      <w:r>
        <w:rPr>
          <w:rFonts w:ascii="Times New Roman" w:cs="Times New Roman" w:eastAsia="Times New Roman" w:hAnsi="Times New Roman"/>
          <w:sz w:val="17"/>
          <w:szCs w:val="17"/>
          <w:b w:val="1"/>
          <w:bCs w:val="1"/>
          <w:u w:val="single" w:color="auto"/>
          <w:color w:val="auto"/>
        </w:rPr>
        <w:t>15</w:t>
      </w:r>
      <w:r>
        <w:rPr>
          <w:rFonts w:ascii="Times New Roman" w:cs="Times New Roman" w:eastAsia="Times New Roman" w:hAnsi="Times New Roman"/>
          <w:sz w:val="17"/>
          <w:szCs w:val="17"/>
          <w:b w:val="1"/>
          <w:bCs w:val="1"/>
          <w:color w:val="auto"/>
        </w:rPr>
        <w:t xml:space="preserve"> Pages</w:t>
      </w:r>
    </w:p>
    <w:p>
      <w:pPr>
        <w:spacing w:after="0" w:line="119" w:lineRule="exact"/>
        <w:rPr>
          <w:sz w:val="20"/>
          <w:szCs w:val="20"/>
          <w:color w:val="auto"/>
        </w:rPr>
      </w:pPr>
    </w:p>
    <w:p>
      <w:pPr>
        <w:sectPr>
          <w:pgSz w:w="11900" w:h="16838" w:orient="portrait"/>
          <w:cols w:equalWidth="0" w:num="3">
            <w:col w:w="4700" w:space="720"/>
            <w:col w:w="2540" w:space="720"/>
            <w:col w:w="2560"/>
          </w:cols>
          <w:pgMar w:left="320" w:top="914" w:right="339" w:bottom="1440" w:gutter="0" w:footer="0" w:header="0"/>
        </w:sectPr>
      </w:pPr>
    </w:p>
    <w:p>
      <w:pPr>
        <w:ind w:left="1040" w:hanging="10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(ENTITIES ONLY)</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0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Viking Global Opportunities GP LLC</w:t>
            </w:r>
          </w:p>
        </w:tc>
        <w:tc>
          <w:tcPr>
            <w:tcW w:w="0" w:type="dxa"/>
            <w:vAlign w:val="bottom"/>
          </w:tcPr>
          <w:p>
            <w:pPr>
              <w:spacing w:after="0"/>
              <w:rPr>
                <w:sz w:val="1"/>
                <w:szCs w:val="1"/>
                <w:color w:val="auto"/>
              </w:rPr>
            </w:pPr>
          </w:p>
        </w:tc>
      </w:tr>
      <w:tr>
        <w:trPr>
          <w:trHeight w:val="252"/>
        </w:trPr>
        <w:tc>
          <w:tcPr>
            <w:tcW w:w="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2</w:t>
            </w:r>
          </w:p>
        </w:tc>
        <w:tc>
          <w:tcPr>
            <w:tcW w:w="10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9"/>
        </w:trPr>
        <w:tc>
          <w:tcPr>
            <w:tcW w:w="560" w:type="dxa"/>
            <w:vAlign w:val="bottom"/>
            <w:vMerge w:val="continue"/>
          </w:tcPr>
          <w:p>
            <w:pPr>
              <w:spacing w:after="0"/>
              <w:rPr>
                <w:sz w:val="8"/>
                <w:szCs w:val="8"/>
                <w:color w:val="auto"/>
              </w:rPr>
            </w:pPr>
          </w:p>
        </w:tc>
        <w:tc>
          <w:tcPr>
            <w:tcW w:w="10360" w:type="dxa"/>
            <w:vAlign w:val="bottom"/>
            <w:vMerge w:val="restart"/>
          </w:tcPr>
          <w:p>
            <w:pPr>
              <w:ind w:left="101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117"/>
        </w:trPr>
        <w:tc>
          <w:tcPr>
            <w:tcW w:w="56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0360" w:type="dxa"/>
            <w:vAlign w:val="bottom"/>
          </w:tcPr>
          <w:p>
            <w:pPr>
              <w:ind w:left="10140"/>
              <w:spacing w:after="0"/>
              <w:rPr>
                <w:sz w:val="20"/>
                <w:szCs w:val="20"/>
                <w:color w:val="auto"/>
              </w:rPr>
            </w:pPr>
            <w:r>
              <w:rPr>
                <w:rFonts w:ascii="Times New Roman" w:cs="Times New Roman" w:eastAsia="Times New Roman" w:hAnsi="Times New Roman"/>
                <w:sz w:val="18"/>
                <w:szCs w:val="18"/>
                <w:color w:val="auto"/>
                <w:w w:val="95"/>
              </w:rPr>
              <w:t>(b)</w:t>
            </w:r>
          </w:p>
        </w:tc>
        <w:tc>
          <w:tcPr>
            <w:tcW w:w="0" w:type="dxa"/>
            <w:vAlign w:val="bottom"/>
          </w:tcPr>
          <w:p>
            <w:pPr>
              <w:spacing w:after="0"/>
              <w:rPr>
                <w:sz w:val="1"/>
                <w:szCs w:val="1"/>
                <w:color w:val="auto"/>
              </w:rPr>
            </w:pPr>
          </w:p>
        </w:tc>
      </w:tr>
    </w:tbl>
    <w:p>
      <w:pPr>
        <w:ind w:left="1040" w:hanging="1019"/>
        <w:spacing w:after="0" w:line="184" w:lineRule="auto"/>
        <w:tabs>
          <w:tab w:leader="none" w:pos="1040" w:val="left"/>
        </w:tabs>
        <w:numPr>
          <w:ilvl w:val="0"/>
          <w:numId w:val="6"/>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5"/>
          <w:szCs w:val="15"/>
          <w:color w:val="auto"/>
        </w:rPr>
        <w:t>SEC USE ONLY</w:t>
      </w:r>
    </w:p>
    <w:p>
      <w:pPr>
        <w:spacing w:after="0" w:line="288" w:lineRule="exact"/>
        <w:rPr>
          <w:sz w:val="20"/>
          <w:szCs w:val="20"/>
          <w:color w:val="auto"/>
        </w:rPr>
      </w:pPr>
    </w:p>
    <w:p>
      <w:pPr>
        <w:ind w:left="1040" w:hanging="1019"/>
        <w:spacing w:after="0"/>
        <w:tabs>
          <w:tab w:leader="none" w:pos="1040" w:val="left"/>
        </w:tabs>
        <w:numPr>
          <w:ilvl w:val="0"/>
          <w:numId w:val="7"/>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Delaware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5</w:t>
            </w:r>
          </w:p>
        </w:tc>
        <w:tc>
          <w:tcPr>
            <w:tcW w:w="8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63"/>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680" w:type="dxa"/>
            <w:vAlign w:val="bottom"/>
            <w:tcBorders>
              <w:right w:val="single" w:sz="8" w:color="auto"/>
            </w:tcBorders>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bottom w:val="single" w:sz="8" w:color="auto"/>
              <w:right w:val="single" w:sz="8" w:color="auto"/>
            </w:tcBorders>
          </w:tcPr>
          <w:p>
            <w:pPr>
              <w:spacing w:after="0"/>
              <w:rPr>
                <w:sz w:val="7"/>
                <w:szCs w:val="7"/>
                <w:color w:val="auto"/>
              </w:rPr>
            </w:pPr>
          </w:p>
        </w:tc>
        <w:tc>
          <w:tcPr>
            <w:tcW w:w="8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2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6</w:t>
            </w: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right w:val="single" w:sz="8" w:color="auto"/>
            </w:tcBorders>
            <w:vMerge w:val="continue"/>
          </w:tcPr>
          <w:p>
            <w:pPr>
              <w:spacing w:after="0"/>
              <w:rPr>
                <w:sz w:val="8"/>
                <w:szCs w:val="8"/>
                <w:color w:val="auto"/>
              </w:rPr>
            </w:pPr>
          </w:p>
        </w:tc>
        <w:tc>
          <w:tcPr>
            <w:tcW w:w="8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2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2,120,653*</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7</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17"/>
        </w:trPr>
        <w:tc>
          <w:tcPr>
            <w:tcW w:w="228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6"/>
        </w:trPr>
        <w:tc>
          <w:tcPr>
            <w:tcW w:w="2280" w:type="dxa"/>
            <w:vAlign w:val="bottom"/>
            <w:tcBorders>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8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8</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2,120,653*</w:t>
            </w:r>
          </w:p>
        </w:tc>
        <w:tc>
          <w:tcPr>
            <w:tcW w:w="0" w:type="dxa"/>
            <w:vAlign w:val="bottom"/>
          </w:tcPr>
          <w:p>
            <w:pPr>
              <w:spacing w:after="0"/>
              <w:rPr>
                <w:sz w:val="1"/>
                <w:szCs w:val="1"/>
                <w:color w:val="auto"/>
              </w:rPr>
            </w:pPr>
          </w:p>
        </w:tc>
      </w:tr>
      <w:tr>
        <w:trPr>
          <w:trHeight w:val="256"/>
        </w:trPr>
        <w:tc>
          <w:tcPr>
            <w:tcW w:w="228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8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14" w:right="339" w:bottom="1440"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2,120,653*</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w:t>
      </w:r>
      <w:r>
        <w:rPr>
          <w:rFonts w:ascii="Times New Roman" w:cs="Times New Roman" w:eastAsia="Times New Roman" w:hAnsi="Times New Roman"/>
          <w:sz w:val="17"/>
          <w:szCs w:val="17"/>
          <w:b w:val="1"/>
          <w:bCs w:val="1"/>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ectPr>
          <w:pgSz w:w="11900" w:h="16838" w:orient="portrait"/>
          <w:cols w:equalWidth="0" w:num="2">
            <w:col w:w="320" w:space="720"/>
            <w:col w:w="10200"/>
          </w:cols>
          <w:pgMar w:left="320" w:top="914" w:right="3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3" w:name="page4"/>
    <w:bookmarkEnd w:id="3"/>
    <w:p>
      <w:pPr>
        <w:ind w:left="940"/>
        <w:spacing w:after="0"/>
        <w:rPr>
          <w:sz w:val="20"/>
          <w:szCs w:val="20"/>
          <w:color w:val="auto"/>
        </w:rPr>
      </w:pPr>
      <w:r>
        <w:rPr>
          <w:rFonts w:ascii="Times New Roman" w:cs="Times New Roman" w:eastAsia="Times New Roman" w:hAnsi="Times New Roman"/>
          <w:sz w:val="18"/>
          <w:szCs w:val="18"/>
          <w:b w:val="1"/>
          <w:bCs w:val="1"/>
          <w:color w:val="auto"/>
        </w:rPr>
        <w:t>CUSIP No. 04746L104</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-169545</wp:posOffset>
            </wp:positionV>
            <wp:extent cx="7132320" cy="6420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420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 xml:space="preserve">Page </w:t>
      </w:r>
      <w:r>
        <w:rPr>
          <w:rFonts w:ascii="Times New Roman" w:cs="Times New Roman" w:eastAsia="Times New Roman" w:hAnsi="Times New Roman"/>
          <w:sz w:val="17"/>
          <w:szCs w:val="17"/>
          <w:b w:val="1"/>
          <w:bCs w:val="1"/>
          <w:u w:val="single" w:color="auto"/>
          <w:color w:val="auto"/>
        </w:rPr>
        <w:t>4</w:t>
      </w:r>
      <w:r>
        <w:rPr>
          <w:rFonts w:ascii="Times New Roman" w:cs="Times New Roman" w:eastAsia="Times New Roman" w:hAnsi="Times New Roman"/>
          <w:sz w:val="17"/>
          <w:szCs w:val="17"/>
          <w:b w:val="1"/>
          <w:bCs w:val="1"/>
          <w:color w:val="auto"/>
        </w:rPr>
        <w:t xml:space="preserve"> of </w:t>
      </w:r>
      <w:r>
        <w:rPr>
          <w:rFonts w:ascii="Times New Roman" w:cs="Times New Roman" w:eastAsia="Times New Roman" w:hAnsi="Times New Roman"/>
          <w:sz w:val="17"/>
          <w:szCs w:val="17"/>
          <w:b w:val="1"/>
          <w:bCs w:val="1"/>
          <w:u w:val="single" w:color="auto"/>
          <w:color w:val="auto"/>
        </w:rPr>
        <w:t>15</w:t>
      </w:r>
      <w:r>
        <w:rPr>
          <w:rFonts w:ascii="Times New Roman" w:cs="Times New Roman" w:eastAsia="Times New Roman" w:hAnsi="Times New Roman"/>
          <w:sz w:val="17"/>
          <w:szCs w:val="17"/>
          <w:b w:val="1"/>
          <w:bCs w:val="1"/>
          <w:color w:val="auto"/>
        </w:rPr>
        <w:t xml:space="preserve"> Pages</w:t>
      </w:r>
    </w:p>
    <w:p>
      <w:pPr>
        <w:spacing w:after="0" w:line="119" w:lineRule="exact"/>
        <w:rPr>
          <w:sz w:val="20"/>
          <w:szCs w:val="20"/>
          <w:color w:val="auto"/>
        </w:rPr>
      </w:pPr>
    </w:p>
    <w:p>
      <w:pPr>
        <w:sectPr>
          <w:pgSz w:w="11900" w:h="16838" w:orient="portrait"/>
          <w:cols w:equalWidth="0" w:num="3">
            <w:col w:w="4700" w:space="720"/>
            <w:col w:w="2540" w:space="720"/>
            <w:col w:w="2560"/>
          </w:cols>
          <w:pgMar w:left="320" w:top="779" w:right="339" w:bottom="1440" w:gutter="0" w:footer="0" w:header="0"/>
        </w:sectPr>
      </w:pPr>
    </w:p>
    <w:p>
      <w:pPr>
        <w:ind w:left="1040" w:hanging="10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(ENTITIES ONLY)</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0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Viking Global Opportunities Portfolio GP LLC</w:t>
            </w:r>
          </w:p>
        </w:tc>
        <w:tc>
          <w:tcPr>
            <w:tcW w:w="0" w:type="dxa"/>
            <w:vAlign w:val="bottom"/>
          </w:tcPr>
          <w:p>
            <w:pPr>
              <w:spacing w:after="0"/>
              <w:rPr>
                <w:sz w:val="1"/>
                <w:szCs w:val="1"/>
                <w:color w:val="auto"/>
              </w:rPr>
            </w:pPr>
          </w:p>
        </w:tc>
      </w:tr>
      <w:tr>
        <w:trPr>
          <w:trHeight w:val="252"/>
        </w:trPr>
        <w:tc>
          <w:tcPr>
            <w:tcW w:w="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2</w:t>
            </w:r>
          </w:p>
        </w:tc>
        <w:tc>
          <w:tcPr>
            <w:tcW w:w="10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9"/>
        </w:trPr>
        <w:tc>
          <w:tcPr>
            <w:tcW w:w="560" w:type="dxa"/>
            <w:vAlign w:val="bottom"/>
            <w:vMerge w:val="continue"/>
          </w:tcPr>
          <w:p>
            <w:pPr>
              <w:spacing w:after="0"/>
              <w:rPr>
                <w:sz w:val="8"/>
                <w:szCs w:val="8"/>
                <w:color w:val="auto"/>
              </w:rPr>
            </w:pPr>
          </w:p>
        </w:tc>
        <w:tc>
          <w:tcPr>
            <w:tcW w:w="10360" w:type="dxa"/>
            <w:vAlign w:val="bottom"/>
            <w:vMerge w:val="restart"/>
          </w:tcPr>
          <w:p>
            <w:pPr>
              <w:ind w:left="101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117"/>
        </w:trPr>
        <w:tc>
          <w:tcPr>
            <w:tcW w:w="56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0360" w:type="dxa"/>
            <w:vAlign w:val="bottom"/>
          </w:tcPr>
          <w:p>
            <w:pPr>
              <w:ind w:left="10140"/>
              <w:spacing w:after="0"/>
              <w:rPr>
                <w:sz w:val="20"/>
                <w:szCs w:val="20"/>
                <w:color w:val="auto"/>
              </w:rPr>
            </w:pPr>
            <w:r>
              <w:rPr>
                <w:rFonts w:ascii="Times New Roman" w:cs="Times New Roman" w:eastAsia="Times New Roman" w:hAnsi="Times New Roman"/>
                <w:sz w:val="18"/>
                <w:szCs w:val="18"/>
                <w:color w:val="auto"/>
                <w:w w:val="95"/>
              </w:rPr>
              <w:t>(b)</w:t>
            </w:r>
          </w:p>
        </w:tc>
        <w:tc>
          <w:tcPr>
            <w:tcW w:w="0" w:type="dxa"/>
            <w:vAlign w:val="bottom"/>
          </w:tcPr>
          <w:p>
            <w:pPr>
              <w:spacing w:after="0"/>
              <w:rPr>
                <w:sz w:val="1"/>
                <w:szCs w:val="1"/>
                <w:color w:val="auto"/>
              </w:rPr>
            </w:pPr>
          </w:p>
        </w:tc>
      </w:tr>
    </w:tbl>
    <w:p>
      <w:pPr>
        <w:ind w:left="1040" w:hanging="1019"/>
        <w:spacing w:after="0" w:line="184" w:lineRule="auto"/>
        <w:tabs>
          <w:tab w:leader="none" w:pos="1040" w:val="left"/>
        </w:tabs>
        <w:numPr>
          <w:ilvl w:val="0"/>
          <w:numId w:val="9"/>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5"/>
          <w:szCs w:val="15"/>
          <w:color w:val="auto"/>
        </w:rPr>
        <w:t>SEC USE ONLY</w:t>
      </w:r>
    </w:p>
    <w:p>
      <w:pPr>
        <w:spacing w:after="0" w:line="288" w:lineRule="exact"/>
        <w:rPr>
          <w:sz w:val="20"/>
          <w:szCs w:val="20"/>
          <w:color w:val="auto"/>
        </w:rPr>
      </w:pPr>
    </w:p>
    <w:p>
      <w:pPr>
        <w:ind w:left="1040" w:hanging="1019"/>
        <w:spacing w:after="0"/>
        <w:tabs>
          <w:tab w:leader="none" w:pos="1040" w:val="left"/>
        </w:tabs>
        <w:numPr>
          <w:ilvl w:val="0"/>
          <w:numId w:val="10"/>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Delaware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5</w:t>
            </w:r>
          </w:p>
        </w:tc>
        <w:tc>
          <w:tcPr>
            <w:tcW w:w="8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63"/>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680" w:type="dxa"/>
            <w:vAlign w:val="bottom"/>
            <w:tcBorders>
              <w:right w:val="single" w:sz="8" w:color="auto"/>
            </w:tcBorders>
          </w:tcPr>
          <w:p>
            <w:pPr>
              <w:spacing w:after="0"/>
              <w:rPr>
                <w:sz w:val="8"/>
                <w:szCs w:val="8"/>
                <w:color w:val="auto"/>
              </w:rPr>
            </w:pPr>
          </w:p>
        </w:tc>
        <w:tc>
          <w:tcPr>
            <w:tcW w:w="8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2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bottom w:val="single" w:sz="8" w:color="auto"/>
              <w:right w:val="single" w:sz="8" w:color="auto"/>
            </w:tcBorders>
          </w:tcPr>
          <w:p>
            <w:pPr>
              <w:spacing w:after="0"/>
              <w:rPr>
                <w:sz w:val="7"/>
                <w:szCs w:val="7"/>
                <w:color w:val="auto"/>
              </w:rPr>
            </w:pPr>
          </w:p>
        </w:tc>
        <w:tc>
          <w:tcPr>
            <w:tcW w:w="8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2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6</w:t>
            </w: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right w:val="single" w:sz="8" w:color="auto"/>
            </w:tcBorders>
            <w:vMerge w:val="continue"/>
          </w:tcPr>
          <w:p>
            <w:pPr>
              <w:spacing w:after="0"/>
              <w:rPr>
                <w:sz w:val="8"/>
                <w:szCs w:val="8"/>
                <w:color w:val="auto"/>
              </w:rPr>
            </w:pPr>
          </w:p>
        </w:tc>
        <w:tc>
          <w:tcPr>
            <w:tcW w:w="8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280" w:type="dxa"/>
            <w:vAlign w:val="bottom"/>
            <w:tcBorders>
              <w:right w:val="single" w:sz="8" w:color="auto"/>
            </w:tcBorders>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2,120,653*</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7</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17"/>
        </w:trPr>
        <w:tc>
          <w:tcPr>
            <w:tcW w:w="228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8</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2,120,653*</w:t>
            </w:r>
          </w:p>
        </w:tc>
        <w:tc>
          <w:tcPr>
            <w:tcW w:w="0" w:type="dxa"/>
            <w:vAlign w:val="bottom"/>
          </w:tcPr>
          <w:p>
            <w:pPr>
              <w:spacing w:after="0"/>
              <w:rPr>
                <w:sz w:val="1"/>
                <w:szCs w:val="1"/>
                <w:color w:val="auto"/>
              </w:rPr>
            </w:pPr>
          </w:p>
        </w:tc>
      </w:tr>
      <w:tr>
        <w:trPr>
          <w:trHeight w:val="40"/>
        </w:trPr>
        <w:tc>
          <w:tcPr>
            <w:tcW w:w="22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ind w:left="1040" w:right="3660" w:hanging="1019"/>
        <w:spacing w:after="0" w:line="296" w:lineRule="auto"/>
        <w:tabs>
          <w:tab w:leader="none" w:pos="1040" w:val="left"/>
        </w:tabs>
        <w:numPr>
          <w:ilvl w:val="0"/>
          <w:numId w:val="11"/>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AGGREGATE AMOUNT BENEFICIALLY OWNED BY EACH REPORTING PERSON 2,120,653*</w:t>
      </w:r>
    </w:p>
    <w:p>
      <w:pPr>
        <w:ind w:left="1040" w:hanging="1019"/>
        <w:spacing w:after="0" w:line="229" w:lineRule="auto"/>
        <w:tabs>
          <w:tab w:leader="none" w:pos="1040" w:val="left"/>
        </w:tabs>
        <w:numPr>
          <w:ilvl w:val="1"/>
          <w:numId w:val="1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CHECK BOX IF THE AGGREGATE AMOUNT IN ROW (9) EXCLUDES CERTAIN SHARES</w:t>
      </w:r>
      <w:r>
        <w:rPr>
          <w:rFonts w:ascii="Times New Roman" w:cs="Times New Roman" w:eastAsia="Times New Roman" w:hAnsi="Times New Roman"/>
          <w:sz w:val="18"/>
          <w:szCs w:val="18"/>
          <w:b w:val="1"/>
          <w:bCs w:val="1"/>
          <w:color w:val="auto"/>
        </w:rPr>
        <w:t>*</w:t>
      </w:r>
    </w:p>
    <w:p>
      <w:pPr>
        <w:spacing w:after="0" w:line="251" w:lineRule="exact"/>
        <w:rPr>
          <w:rFonts w:ascii="Times New Roman" w:cs="Times New Roman" w:eastAsia="Times New Roman" w:hAnsi="Times New Roman"/>
          <w:sz w:val="36"/>
          <w:szCs w:val="36"/>
          <w:color w:val="auto"/>
          <w:vertAlign w:val="subscript"/>
        </w:rPr>
      </w:pPr>
    </w:p>
    <w:p>
      <w:pPr>
        <w:ind w:left="1040" w:right="5260" w:hanging="1019"/>
        <w:spacing w:after="0" w:line="303" w:lineRule="auto"/>
        <w:tabs>
          <w:tab w:leader="none" w:pos="1040" w:val="left"/>
        </w:tabs>
        <w:numPr>
          <w:ilvl w:val="1"/>
          <w:numId w:val="1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PERCENT OF CLASS REPRESENTED BY AMOUNT IN ROW 9 6.9%*</w:t>
      </w:r>
    </w:p>
    <w:p>
      <w:pPr>
        <w:spacing w:after="0" w:line="161" w:lineRule="exact"/>
        <w:rPr>
          <w:rFonts w:ascii="Times New Roman" w:cs="Times New Roman" w:eastAsia="Times New Roman" w:hAnsi="Times New Roman"/>
          <w:sz w:val="36"/>
          <w:szCs w:val="36"/>
          <w:color w:val="auto"/>
          <w:vertAlign w:val="subscript"/>
        </w:rPr>
      </w:pPr>
    </w:p>
    <w:p>
      <w:pPr>
        <w:ind w:left="1040" w:right="7700" w:hanging="1019"/>
        <w:spacing w:after="0" w:line="355" w:lineRule="auto"/>
        <w:tabs>
          <w:tab w:leader="none" w:pos="1040" w:val="left"/>
        </w:tabs>
        <w:numPr>
          <w:ilvl w:val="1"/>
          <w:numId w:val="1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TYPE OF REPORTING PERSON OO</w:t>
      </w:r>
    </w:p>
    <w:p>
      <w:pPr>
        <w:spacing w:after="0" w:line="256" w:lineRule="exact"/>
        <w:rPr>
          <w:rFonts w:ascii="Times New Roman" w:cs="Times New Roman" w:eastAsia="Times New Roman" w:hAnsi="Times New Roman"/>
          <w:sz w:val="36"/>
          <w:szCs w:val="36"/>
          <w:color w:val="auto"/>
          <w:vertAlign w:val="subscript"/>
        </w:rPr>
      </w:pPr>
    </w:p>
    <w:p>
      <w:pPr>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4" w:name="page5"/>
    <w:bookmarkEnd w:id="4"/>
    <w:p>
      <w:pPr>
        <w:ind w:left="940"/>
        <w:spacing w:after="0"/>
        <w:rPr>
          <w:sz w:val="20"/>
          <w:szCs w:val="20"/>
          <w:color w:val="auto"/>
        </w:rPr>
      </w:pPr>
      <w:r>
        <w:rPr>
          <w:rFonts w:ascii="Times New Roman" w:cs="Times New Roman" w:eastAsia="Times New Roman" w:hAnsi="Times New Roman"/>
          <w:sz w:val="18"/>
          <w:szCs w:val="18"/>
          <w:b w:val="1"/>
          <w:bCs w:val="1"/>
          <w:color w:val="auto"/>
        </w:rPr>
        <w:t>CUSIP No. 04746L104</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-169545</wp:posOffset>
            </wp:positionV>
            <wp:extent cx="7132320" cy="6532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 xml:space="preserve">Page </w:t>
      </w:r>
      <w:r>
        <w:rPr>
          <w:rFonts w:ascii="Times New Roman" w:cs="Times New Roman" w:eastAsia="Times New Roman" w:hAnsi="Times New Roman"/>
          <w:sz w:val="17"/>
          <w:szCs w:val="17"/>
          <w:b w:val="1"/>
          <w:bCs w:val="1"/>
          <w:u w:val="single" w:color="auto"/>
          <w:color w:val="auto"/>
        </w:rPr>
        <w:t>5</w:t>
      </w:r>
      <w:r>
        <w:rPr>
          <w:rFonts w:ascii="Times New Roman" w:cs="Times New Roman" w:eastAsia="Times New Roman" w:hAnsi="Times New Roman"/>
          <w:sz w:val="17"/>
          <w:szCs w:val="17"/>
          <w:b w:val="1"/>
          <w:bCs w:val="1"/>
          <w:color w:val="auto"/>
        </w:rPr>
        <w:t xml:space="preserve"> of </w:t>
      </w:r>
      <w:r>
        <w:rPr>
          <w:rFonts w:ascii="Times New Roman" w:cs="Times New Roman" w:eastAsia="Times New Roman" w:hAnsi="Times New Roman"/>
          <w:sz w:val="17"/>
          <w:szCs w:val="17"/>
          <w:b w:val="1"/>
          <w:bCs w:val="1"/>
          <w:u w:val="single" w:color="auto"/>
          <w:color w:val="auto"/>
        </w:rPr>
        <w:t>15</w:t>
      </w:r>
      <w:r>
        <w:rPr>
          <w:rFonts w:ascii="Times New Roman" w:cs="Times New Roman" w:eastAsia="Times New Roman" w:hAnsi="Times New Roman"/>
          <w:sz w:val="17"/>
          <w:szCs w:val="17"/>
          <w:b w:val="1"/>
          <w:bCs w:val="1"/>
          <w:color w:val="auto"/>
        </w:rPr>
        <w:t xml:space="preserve"> Pages</w:t>
      </w:r>
    </w:p>
    <w:p>
      <w:pPr>
        <w:spacing w:after="0" w:line="119" w:lineRule="exact"/>
        <w:rPr>
          <w:sz w:val="20"/>
          <w:szCs w:val="20"/>
          <w:color w:val="auto"/>
        </w:rPr>
      </w:pPr>
    </w:p>
    <w:p>
      <w:pPr>
        <w:sectPr>
          <w:pgSz w:w="11900" w:h="16838" w:orient="portrait"/>
          <w:cols w:equalWidth="0" w:num="3">
            <w:col w:w="4700" w:space="720"/>
            <w:col w:w="2540" w:space="720"/>
            <w:col w:w="2560"/>
          </w:cols>
          <w:pgMar w:left="320" w:top="779" w:right="339" w:bottom="1440" w:gutter="0" w:footer="0" w:header="0"/>
        </w:sectPr>
      </w:pPr>
    </w:p>
    <w:p>
      <w:pPr>
        <w:ind w:left="1040" w:hanging="10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 (ENTITIES ONLY)</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Viking Global Opportunities Liquid Portfolio Sub-Master LP</w:t>
            </w:r>
          </w:p>
        </w:tc>
        <w:tc>
          <w:tcPr>
            <w:tcW w:w="0" w:type="dxa"/>
            <w:vAlign w:val="bottom"/>
          </w:tcPr>
          <w:p>
            <w:pPr>
              <w:spacing w:after="0"/>
              <w:rPr>
                <w:sz w:val="1"/>
                <w:szCs w:val="1"/>
                <w:color w:val="auto"/>
              </w:rPr>
            </w:pPr>
          </w:p>
        </w:tc>
      </w:tr>
      <w:tr>
        <w:trPr>
          <w:trHeight w:val="252"/>
        </w:trPr>
        <w:tc>
          <w:tcPr>
            <w:tcW w:w="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2</w:t>
            </w: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9"/>
        </w:trPr>
        <w:tc>
          <w:tcPr>
            <w:tcW w:w="560" w:type="dxa"/>
            <w:vAlign w:val="bottom"/>
            <w:vMerge w:val="continue"/>
          </w:tcPr>
          <w:p>
            <w:pPr>
              <w:spacing w:after="0"/>
              <w:rPr>
                <w:sz w:val="8"/>
                <w:szCs w:val="8"/>
                <w:color w:val="auto"/>
              </w:rPr>
            </w:pPr>
          </w:p>
        </w:tc>
        <w:tc>
          <w:tcPr>
            <w:tcW w:w="10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117"/>
        </w:trPr>
        <w:tc>
          <w:tcPr>
            <w:tcW w:w="560" w:type="dxa"/>
            <w:vAlign w:val="bottom"/>
          </w:tcPr>
          <w:p>
            <w:pPr>
              <w:spacing w:after="0"/>
              <w:rPr>
                <w:sz w:val="10"/>
                <w:szCs w:val="10"/>
                <w:color w:val="auto"/>
              </w:rPr>
            </w:pPr>
          </w:p>
        </w:tc>
        <w:tc>
          <w:tcPr>
            <w:tcW w:w="10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0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bl>
    <w:p>
      <w:pPr>
        <w:ind w:left="1040" w:hanging="1019"/>
        <w:spacing w:after="0" w:line="184" w:lineRule="auto"/>
        <w:tabs>
          <w:tab w:leader="none" w:pos="1040" w:val="left"/>
        </w:tabs>
        <w:numPr>
          <w:ilvl w:val="0"/>
          <w:numId w:val="14"/>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5"/>
          <w:szCs w:val="15"/>
          <w:color w:val="auto"/>
        </w:rPr>
        <w:t>SEC USE ONLY</w:t>
      </w:r>
    </w:p>
    <w:p>
      <w:pPr>
        <w:spacing w:after="0" w:line="288" w:lineRule="exact"/>
        <w:rPr>
          <w:sz w:val="20"/>
          <w:szCs w:val="20"/>
          <w:color w:val="auto"/>
        </w:rPr>
      </w:pPr>
    </w:p>
    <w:p>
      <w:pPr>
        <w:ind w:left="1040" w:hanging="1019"/>
        <w:spacing w:after="0"/>
        <w:tabs>
          <w:tab w:leader="none" w:pos="1040" w:val="left"/>
        </w:tabs>
        <w:numPr>
          <w:ilvl w:val="0"/>
          <w:numId w:val="15"/>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Cayman Islands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5</w:t>
            </w:r>
          </w:p>
        </w:tc>
        <w:tc>
          <w:tcPr>
            <w:tcW w:w="8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63"/>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680" w:type="dxa"/>
            <w:vAlign w:val="bottom"/>
            <w:tcBorders>
              <w:right w:val="single" w:sz="8" w:color="auto"/>
            </w:tcBorders>
          </w:tcPr>
          <w:p>
            <w:pPr>
              <w:spacing w:after="0"/>
              <w:rPr>
                <w:sz w:val="8"/>
                <w:szCs w:val="8"/>
                <w:color w:val="auto"/>
              </w:rPr>
            </w:pPr>
          </w:p>
        </w:tc>
        <w:tc>
          <w:tcPr>
            <w:tcW w:w="8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28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280" w:type="dxa"/>
            <w:vAlign w:val="bottom"/>
            <w:tcBorders>
              <w:right w:val="single" w:sz="8" w:color="auto"/>
            </w:tcBorders>
            <w:vMerge w:val="continue"/>
          </w:tcPr>
          <w:p>
            <w:pPr>
              <w:spacing w:after="0"/>
              <w:rPr>
                <w:sz w:val="13"/>
                <w:szCs w:val="13"/>
                <w:color w:val="auto"/>
              </w:rPr>
            </w:pP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6</w:t>
            </w: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vMerge w:val="continue"/>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7</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76"/>
        </w:trPr>
        <w:tc>
          <w:tcPr>
            <w:tcW w:w="22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80" w:type="dxa"/>
            <w:vAlign w:val="bottom"/>
            <w:tcBorders>
              <w:right w:val="single" w:sz="8" w:color="auto"/>
            </w:tcBorders>
          </w:tcPr>
          <w:p>
            <w:pPr>
              <w:spacing w:after="0"/>
              <w:rPr>
                <w:sz w:val="24"/>
                <w:szCs w:val="24"/>
                <w:color w:val="auto"/>
              </w:rPr>
            </w:pP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Borders>
              <w:right w:val="single" w:sz="8" w:color="auto"/>
            </w:tcBorders>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80" w:type="dxa"/>
            <w:vAlign w:val="bottom"/>
            <w:tcBorders>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8</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472"/>
        </w:trPr>
        <w:tc>
          <w:tcPr>
            <w:tcW w:w="22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779" w:right="339" w:bottom="1440"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w:t>
      </w:r>
      <w:r>
        <w:rPr>
          <w:rFonts w:ascii="Times New Roman" w:cs="Times New Roman" w:eastAsia="Times New Roman" w:hAnsi="Times New Roman"/>
          <w:sz w:val="17"/>
          <w:szCs w:val="17"/>
          <w:b w:val="1"/>
          <w:bCs w:val="1"/>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ectPr>
          <w:pgSz w:w="11900" w:h="16838" w:orient="portrait"/>
          <w:cols w:equalWidth="0" w:num="2">
            <w:col w:w="320" w:space="720"/>
            <w:col w:w="10200"/>
          </w:cols>
          <w:pgMar w:left="320" w:top="779" w:right="339" w:bottom="1440" w:gutter="0" w:footer="0" w:header="0"/>
          <w:type w:val="continuous"/>
        </w:sect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5" w:name="page6"/>
    <w:bookmarkEnd w:id="5"/>
    <w:p>
      <w:pPr>
        <w:ind w:left="940"/>
        <w:spacing w:after="0"/>
        <w:rPr>
          <w:sz w:val="20"/>
          <w:szCs w:val="20"/>
          <w:color w:val="auto"/>
        </w:rPr>
      </w:pPr>
      <w:r>
        <w:rPr>
          <w:rFonts w:ascii="Times New Roman" w:cs="Times New Roman" w:eastAsia="Times New Roman" w:hAnsi="Times New Roman"/>
          <w:sz w:val="18"/>
          <w:szCs w:val="18"/>
          <w:b w:val="1"/>
          <w:bCs w:val="1"/>
          <w:color w:val="auto"/>
        </w:rPr>
        <w:t>CUSIP No. 04746L104</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-169545</wp:posOffset>
            </wp:positionV>
            <wp:extent cx="7132320" cy="6669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 xml:space="preserve">Page </w:t>
      </w:r>
      <w:r>
        <w:rPr>
          <w:rFonts w:ascii="Times New Roman" w:cs="Times New Roman" w:eastAsia="Times New Roman" w:hAnsi="Times New Roman"/>
          <w:sz w:val="17"/>
          <w:szCs w:val="17"/>
          <w:b w:val="1"/>
          <w:bCs w:val="1"/>
          <w:u w:val="single" w:color="auto"/>
          <w:color w:val="auto"/>
        </w:rPr>
        <w:t>6</w:t>
      </w:r>
      <w:r>
        <w:rPr>
          <w:rFonts w:ascii="Times New Roman" w:cs="Times New Roman" w:eastAsia="Times New Roman" w:hAnsi="Times New Roman"/>
          <w:sz w:val="17"/>
          <w:szCs w:val="17"/>
          <w:b w:val="1"/>
          <w:bCs w:val="1"/>
          <w:color w:val="auto"/>
        </w:rPr>
        <w:t xml:space="preserve"> of </w:t>
      </w:r>
      <w:r>
        <w:rPr>
          <w:rFonts w:ascii="Times New Roman" w:cs="Times New Roman" w:eastAsia="Times New Roman" w:hAnsi="Times New Roman"/>
          <w:sz w:val="17"/>
          <w:szCs w:val="17"/>
          <w:b w:val="1"/>
          <w:bCs w:val="1"/>
          <w:u w:val="single" w:color="auto"/>
          <w:color w:val="auto"/>
        </w:rPr>
        <w:t>15</w:t>
      </w:r>
      <w:r>
        <w:rPr>
          <w:rFonts w:ascii="Times New Roman" w:cs="Times New Roman" w:eastAsia="Times New Roman" w:hAnsi="Times New Roman"/>
          <w:sz w:val="17"/>
          <w:szCs w:val="17"/>
          <w:b w:val="1"/>
          <w:bCs w:val="1"/>
          <w:color w:val="auto"/>
        </w:rPr>
        <w:t xml:space="preserve"> Pages</w:t>
      </w:r>
    </w:p>
    <w:p>
      <w:pPr>
        <w:spacing w:after="0" w:line="119" w:lineRule="exact"/>
        <w:rPr>
          <w:sz w:val="20"/>
          <w:szCs w:val="20"/>
          <w:color w:val="auto"/>
        </w:rPr>
      </w:pPr>
    </w:p>
    <w:p>
      <w:pPr>
        <w:sectPr>
          <w:pgSz w:w="11900" w:h="16838" w:orient="portrait"/>
          <w:cols w:equalWidth="0" w:num="3">
            <w:col w:w="4700" w:space="720"/>
            <w:col w:w="2540" w:space="720"/>
            <w:col w:w="2560"/>
          </w:cols>
          <w:pgMar w:left="320" w:top="1103" w:right="339" w:bottom="1440" w:gutter="0" w:footer="0" w:header="0"/>
        </w:sectPr>
      </w:pPr>
    </w:p>
    <w:p>
      <w:pPr>
        <w:ind w:left="1040" w:hanging="10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0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Viking Global Opportunities Illiquid Investments Sub-Master LP</w:t>
            </w:r>
          </w:p>
        </w:tc>
        <w:tc>
          <w:tcPr>
            <w:tcW w:w="0" w:type="dxa"/>
            <w:vAlign w:val="bottom"/>
          </w:tcPr>
          <w:p>
            <w:pPr>
              <w:spacing w:after="0"/>
              <w:rPr>
                <w:sz w:val="1"/>
                <w:szCs w:val="1"/>
                <w:color w:val="auto"/>
              </w:rPr>
            </w:pPr>
          </w:p>
        </w:tc>
      </w:tr>
      <w:tr>
        <w:trPr>
          <w:trHeight w:val="252"/>
        </w:trPr>
        <w:tc>
          <w:tcPr>
            <w:tcW w:w="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2</w:t>
            </w:r>
          </w:p>
        </w:tc>
        <w:tc>
          <w:tcPr>
            <w:tcW w:w="10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9"/>
        </w:trPr>
        <w:tc>
          <w:tcPr>
            <w:tcW w:w="560" w:type="dxa"/>
            <w:vAlign w:val="bottom"/>
            <w:vMerge w:val="continue"/>
          </w:tcPr>
          <w:p>
            <w:pPr>
              <w:spacing w:after="0"/>
              <w:rPr>
                <w:sz w:val="8"/>
                <w:szCs w:val="8"/>
                <w:color w:val="auto"/>
              </w:rPr>
            </w:pPr>
          </w:p>
        </w:tc>
        <w:tc>
          <w:tcPr>
            <w:tcW w:w="10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117"/>
        </w:trPr>
        <w:tc>
          <w:tcPr>
            <w:tcW w:w="560" w:type="dxa"/>
            <w:vAlign w:val="bottom"/>
          </w:tcPr>
          <w:p>
            <w:pPr>
              <w:spacing w:after="0"/>
              <w:rPr>
                <w:sz w:val="10"/>
                <w:szCs w:val="10"/>
                <w:color w:val="auto"/>
              </w:rPr>
            </w:pPr>
          </w:p>
        </w:tc>
        <w:tc>
          <w:tcPr>
            <w:tcW w:w="10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0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bl>
    <w:p>
      <w:pPr>
        <w:ind w:left="1040" w:hanging="1019"/>
        <w:spacing w:after="0" w:line="184" w:lineRule="auto"/>
        <w:tabs>
          <w:tab w:leader="none" w:pos="1040" w:val="left"/>
        </w:tabs>
        <w:numPr>
          <w:ilvl w:val="0"/>
          <w:numId w:val="17"/>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5"/>
          <w:szCs w:val="15"/>
          <w:color w:val="auto"/>
        </w:rPr>
        <w:t>SEC USE ONLY</w:t>
      </w:r>
    </w:p>
    <w:p>
      <w:pPr>
        <w:spacing w:after="0" w:line="288" w:lineRule="exact"/>
        <w:rPr>
          <w:sz w:val="20"/>
          <w:szCs w:val="20"/>
          <w:color w:val="auto"/>
        </w:rPr>
      </w:pPr>
    </w:p>
    <w:p>
      <w:pPr>
        <w:ind w:left="1040" w:hanging="1019"/>
        <w:spacing w:after="0"/>
        <w:tabs>
          <w:tab w:leader="none" w:pos="1040" w:val="left"/>
        </w:tabs>
        <w:numPr>
          <w:ilvl w:val="0"/>
          <w:numId w:val="18"/>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Cayman Islands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5</w:t>
            </w:r>
          </w:p>
        </w:tc>
        <w:tc>
          <w:tcPr>
            <w:tcW w:w="8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63"/>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680" w:type="dxa"/>
            <w:vAlign w:val="bottom"/>
            <w:tcBorders>
              <w:bottom w:val="single" w:sz="8" w:color="auto"/>
              <w:right w:val="single" w:sz="8" w:color="auto"/>
            </w:tcBorders>
          </w:tcPr>
          <w:p>
            <w:pPr>
              <w:spacing w:after="0"/>
              <w:rPr>
                <w:sz w:val="17"/>
                <w:szCs w:val="17"/>
                <w:color w:val="auto"/>
              </w:rPr>
            </w:pPr>
          </w:p>
        </w:tc>
        <w:tc>
          <w:tcPr>
            <w:tcW w:w="8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2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6</w:t>
            </w: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vMerge w:val="continue"/>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1,370,653*</w:t>
            </w: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right w:val="single" w:sz="8" w:color="auto"/>
            </w:tcBorders>
          </w:tcPr>
          <w:p>
            <w:pPr>
              <w:spacing w:after="0"/>
              <w:rPr>
                <w:sz w:val="21"/>
                <w:szCs w:val="21"/>
                <w:color w:val="auto"/>
              </w:rPr>
            </w:pPr>
          </w:p>
        </w:tc>
        <w:tc>
          <w:tcPr>
            <w:tcW w:w="8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280" w:type="dxa"/>
            <w:vAlign w:val="bottom"/>
            <w:tcBorders>
              <w:right w:val="single" w:sz="8" w:color="auto"/>
            </w:tcBorders>
            <w:vMerge w:val="continue"/>
          </w:tcPr>
          <w:p>
            <w:pPr>
              <w:spacing w:after="0"/>
              <w:rPr>
                <w:sz w:val="19"/>
                <w:szCs w:val="19"/>
                <w:color w:val="auto"/>
              </w:rPr>
            </w:pP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7</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63"/>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80" w:type="dxa"/>
            <w:vAlign w:val="bottom"/>
            <w:tcBorders>
              <w:right w:val="single" w:sz="8" w:color="auto"/>
            </w:tcBorders>
            <w:vMerge w:val="continue"/>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1"/>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Borders>
              <w:right w:val="single" w:sz="8" w:color="auto"/>
            </w:tcBorders>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28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8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8</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1,370,653*</w:t>
            </w:r>
          </w:p>
        </w:tc>
        <w:tc>
          <w:tcPr>
            <w:tcW w:w="0" w:type="dxa"/>
            <w:vAlign w:val="bottom"/>
          </w:tcPr>
          <w:p>
            <w:pPr>
              <w:spacing w:after="0"/>
              <w:rPr>
                <w:sz w:val="1"/>
                <w:szCs w:val="1"/>
                <w:color w:val="auto"/>
              </w:rPr>
            </w:pPr>
          </w:p>
        </w:tc>
      </w:tr>
      <w:tr>
        <w:trPr>
          <w:trHeight w:val="337"/>
        </w:trPr>
        <w:tc>
          <w:tcPr>
            <w:tcW w:w="22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03" w:right="339" w:bottom="1440"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1,370,653*</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w:t>
      </w:r>
      <w:r>
        <w:rPr>
          <w:rFonts w:ascii="Times New Roman" w:cs="Times New Roman" w:eastAsia="Times New Roman" w:hAnsi="Times New Roman"/>
          <w:sz w:val="17"/>
          <w:szCs w:val="17"/>
          <w:b w:val="1"/>
          <w:bCs w:val="1"/>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REPORTING PERSON</w:t>
      </w:r>
      <w:r>
        <w:rPr>
          <w:rFonts w:ascii="Times New Roman" w:cs="Times New Roman" w:eastAsia="Times New Roman" w:hAnsi="Times New Roman"/>
          <w:sz w:val="18"/>
          <w:szCs w:val="18"/>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ectPr>
          <w:pgSz w:w="11900" w:h="16838" w:orient="portrait"/>
          <w:cols w:equalWidth="0" w:num="2">
            <w:col w:w="320" w:space="720"/>
            <w:col w:w="10200"/>
          </w:cols>
          <w:pgMar w:left="320" w:top="1103" w:right="339" w:bottom="1440" w:gutter="0" w:footer="0" w:header="0"/>
          <w:type w:val="continuous"/>
        </w:sect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6" w:name="page7"/>
    <w:bookmarkEnd w:id="6"/>
    <w:p>
      <w:pPr>
        <w:ind w:left="940"/>
        <w:spacing w:after="0"/>
        <w:rPr>
          <w:sz w:val="20"/>
          <w:szCs w:val="20"/>
          <w:color w:val="auto"/>
        </w:rPr>
      </w:pPr>
      <w:r>
        <w:rPr>
          <w:rFonts w:ascii="Times New Roman" w:cs="Times New Roman" w:eastAsia="Times New Roman" w:hAnsi="Times New Roman"/>
          <w:sz w:val="18"/>
          <w:szCs w:val="18"/>
          <w:b w:val="1"/>
          <w:bCs w:val="1"/>
          <w:color w:val="auto"/>
        </w:rPr>
        <w:t>CUSIP No. 04746L104</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-169545</wp:posOffset>
            </wp:positionV>
            <wp:extent cx="7132320" cy="6360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360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 xml:space="preserve">Page </w:t>
      </w:r>
      <w:r>
        <w:rPr>
          <w:rFonts w:ascii="Times New Roman" w:cs="Times New Roman" w:eastAsia="Times New Roman" w:hAnsi="Times New Roman"/>
          <w:sz w:val="17"/>
          <w:szCs w:val="17"/>
          <w:b w:val="1"/>
          <w:bCs w:val="1"/>
          <w:u w:val="single" w:color="auto"/>
          <w:color w:val="auto"/>
        </w:rPr>
        <w:t>7</w:t>
      </w:r>
      <w:r>
        <w:rPr>
          <w:rFonts w:ascii="Times New Roman" w:cs="Times New Roman" w:eastAsia="Times New Roman" w:hAnsi="Times New Roman"/>
          <w:sz w:val="17"/>
          <w:szCs w:val="17"/>
          <w:b w:val="1"/>
          <w:bCs w:val="1"/>
          <w:color w:val="auto"/>
        </w:rPr>
        <w:t xml:space="preserve"> of </w:t>
      </w:r>
      <w:r>
        <w:rPr>
          <w:rFonts w:ascii="Times New Roman" w:cs="Times New Roman" w:eastAsia="Times New Roman" w:hAnsi="Times New Roman"/>
          <w:sz w:val="17"/>
          <w:szCs w:val="17"/>
          <w:b w:val="1"/>
          <w:bCs w:val="1"/>
          <w:u w:val="single" w:color="auto"/>
          <w:color w:val="auto"/>
        </w:rPr>
        <w:t>15</w:t>
      </w:r>
      <w:r>
        <w:rPr>
          <w:rFonts w:ascii="Times New Roman" w:cs="Times New Roman" w:eastAsia="Times New Roman" w:hAnsi="Times New Roman"/>
          <w:sz w:val="17"/>
          <w:szCs w:val="17"/>
          <w:b w:val="1"/>
          <w:bCs w:val="1"/>
          <w:color w:val="auto"/>
        </w:rPr>
        <w:t xml:space="preserve"> Pages</w:t>
      </w:r>
    </w:p>
    <w:p>
      <w:pPr>
        <w:spacing w:after="0" w:line="119" w:lineRule="exact"/>
        <w:rPr>
          <w:sz w:val="20"/>
          <w:szCs w:val="20"/>
          <w:color w:val="auto"/>
        </w:rPr>
      </w:pPr>
    </w:p>
    <w:p>
      <w:pPr>
        <w:sectPr>
          <w:pgSz w:w="11900" w:h="16838" w:orient="portrait"/>
          <w:cols w:equalWidth="0" w:num="3">
            <w:col w:w="4700" w:space="720"/>
            <w:col w:w="2540" w:space="720"/>
            <w:col w:w="2560"/>
          </w:cols>
          <w:pgMar w:left="320" w:top="779" w:right="339" w:bottom="1440" w:gutter="0" w:footer="0" w:header="0"/>
        </w:sectPr>
      </w:pPr>
    </w:p>
    <w:p>
      <w:pPr>
        <w:ind w:left="1040" w:hanging="10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0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 Andreas Halvorsen</w:t>
            </w:r>
          </w:p>
        </w:tc>
        <w:tc>
          <w:tcPr>
            <w:tcW w:w="0" w:type="dxa"/>
            <w:vAlign w:val="bottom"/>
          </w:tcPr>
          <w:p>
            <w:pPr>
              <w:spacing w:after="0"/>
              <w:rPr>
                <w:sz w:val="1"/>
                <w:szCs w:val="1"/>
                <w:color w:val="auto"/>
              </w:rPr>
            </w:pPr>
          </w:p>
        </w:tc>
      </w:tr>
      <w:tr>
        <w:trPr>
          <w:trHeight w:val="238"/>
        </w:trPr>
        <w:tc>
          <w:tcPr>
            <w:tcW w:w="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2</w:t>
            </w:r>
          </w:p>
        </w:tc>
        <w:tc>
          <w:tcPr>
            <w:tcW w:w="10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9"/>
        </w:trPr>
        <w:tc>
          <w:tcPr>
            <w:tcW w:w="560" w:type="dxa"/>
            <w:vAlign w:val="bottom"/>
            <w:vMerge w:val="continue"/>
          </w:tcPr>
          <w:p>
            <w:pPr>
              <w:spacing w:after="0"/>
              <w:rPr>
                <w:sz w:val="8"/>
                <w:szCs w:val="8"/>
                <w:color w:val="auto"/>
              </w:rPr>
            </w:pPr>
          </w:p>
        </w:tc>
        <w:tc>
          <w:tcPr>
            <w:tcW w:w="10360" w:type="dxa"/>
            <w:vAlign w:val="bottom"/>
            <w:vMerge w:val="restart"/>
          </w:tcPr>
          <w:p>
            <w:pPr>
              <w:ind w:left="101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117"/>
        </w:trPr>
        <w:tc>
          <w:tcPr>
            <w:tcW w:w="56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0360" w:type="dxa"/>
            <w:vAlign w:val="bottom"/>
          </w:tcPr>
          <w:p>
            <w:pPr>
              <w:ind w:left="10140"/>
              <w:spacing w:after="0"/>
              <w:rPr>
                <w:sz w:val="20"/>
                <w:szCs w:val="20"/>
                <w:color w:val="auto"/>
              </w:rPr>
            </w:pPr>
            <w:r>
              <w:rPr>
                <w:rFonts w:ascii="Times New Roman" w:cs="Times New Roman" w:eastAsia="Times New Roman" w:hAnsi="Times New Roman"/>
                <w:sz w:val="18"/>
                <w:szCs w:val="18"/>
                <w:color w:val="auto"/>
                <w:w w:val="95"/>
              </w:rPr>
              <w:t>(b)</w:t>
            </w:r>
          </w:p>
        </w:tc>
        <w:tc>
          <w:tcPr>
            <w:tcW w:w="0" w:type="dxa"/>
            <w:vAlign w:val="bottom"/>
          </w:tcPr>
          <w:p>
            <w:pPr>
              <w:spacing w:after="0"/>
              <w:rPr>
                <w:sz w:val="1"/>
                <w:szCs w:val="1"/>
                <w:color w:val="auto"/>
              </w:rPr>
            </w:pPr>
          </w:p>
        </w:tc>
      </w:tr>
    </w:tbl>
    <w:p>
      <w:pPr>
        <w:ind w:left="1040" w:hanging="1019"/>
        <w:spacing w:after="0" w:line="184" w:lineRule="auto"/>
        <w:tabs>
          <w:tab w:leader="none" w:pos="1040" w:val="left"/>
        </w:tabs>
        <w:numPr>
          <w:ilvl w:val="0"/>
          <w:numId w:val="20"/>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5"/>
          <w:szCs w:val="15"/>
          <w:color w:val="auto"/>
        </w:rPr>
        <w:t>SEC USE ONLY</w:t>
      </w:r>
    </w:p>
    <w:p>
      <w:pPr>
        <w:spacing w:after="0" w:line="288" w:lineRule="exact"/>
        <w:rPr>
          <w:sz w:val="20"/>
          <w:szCs w:val="20"/>
          <w:color w:val="auto"/>
        </w:rPr>
      </w:pPr>
    </w:p>
    <w:p>
      <w:pPr>
        <w:ind w:left="1040" w:hanging="1019"/>
        <w:spacing w:after="0"/>
        <w:tabs>
          <w:tab w:leader="none" w:pos="1040" w:val="left"/>
        </w:tabs>
        <w:numPr>
          <w:ilvl w:val="0"/>
          <w:numId w:val="21"/>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Norway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5</w:t>
            </w:r>
          </w:p>
        </w:tc>
        <w:tc>
          <w:tcPr>
            <w:tcW w:w="8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63"/>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680" w:type="dxa"/>
            <w:vAlign w:val="bottom"/>
            <w:tcBorders>
              <w:bottom w:val="single" w:sz="8" w:color="auto"/>
              <w:right w:val="single" w:sz="8" w:color="auto"/>
            </w:tcBorders>
          </w:tcPr>
          <w:p>
            <w:pPr>
              <w:spacing w:after="0"/>
              <w:rPr>
                <w:sz w:val="17"/>
                <w:szCs w:val="17"/>
                <w:color w:val="auto"/>
              </w:rPr>
            </w:pPr>
          </w:p>
        </w:tc>
        <w:tc>
          <w:tcPr>
            <w:tcW w:w="8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2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6</w:t>
            </w: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vMerge w:val="continue"/>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2,120,653*</w:t>
            </w: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right w:val="single" w:sz="8" w:color="auto"/>
            </w:tcBorders>
          </w:tcPr>
          <w:p>
            <w:pPr>
              <w:spacing w:after="0"/>
              <w:rPr>
                <w:sz w:val="21"/>
                <w:szCs w:val="21"/>
                <w:color w:val="auto"/>
              </w:rPr>
            </w:pPr>
          </w:p>
        </w:tc>
        <w:tc>
          <w:tcPr>
            <w:tcW w:w="8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280" w:type="dxa"/>
            <w:vAlign w:val="bottom"/>
            <w:tcBorders>
              <w:right w:val="single" w:sz="8" w:color="auto"/>
            </w:tcBorders>
            <w:vMerge w:val="continue"/>
          </w:tcPr>
          <w:p>
            <w:pPr>
              <w:spacing w:after="0"/>
              <w:rPr>
                <w:sz w:val="19"/>
                <w:szCs w:val="19"/>
                <w:color w:val="auto"/>
              </w:rPr>
            </w:pP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7</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63"/>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280" w:type="dxa"/>
            <w:vAlign w:val="bottom"/>
            <w:tcBorders>
              <w:right w:val="single" w:sz="8" w:color="auto"/>
            </w:tcBorders>
            <w:vMerge w:val="continue"/>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Borders>
              <w:right w:val="single" w:sz="8" w:color="auto"/>
            </w:tcBorders>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28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8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8</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2,120,653*</w:t>
            </w:r>
          </w:p>
        </w:tc>
        <w:tc>
          <w:tcPr>
            <w:tcW w:w="0" w:type="dxa"/>
            <w:vAlign w:val="bottom"/>
          </w:tcPr>
          <w:p>
            <w:pPr>
              <w:spacing w:after="0"/>
              <w:rPr>
                <w:sz w:val="1"/>
                <w:szCs w:val="1"/>
                <w:color w:val="auto"/>
              </w:rPr>
            </w:pPr>
          </w:p>
        </w:tc>
      </w:tr>
      <w:tr>
        <w:trPr>
          <w:trHeight w:val="338"/>
        </w:trPr>
        <w:tc>
          <w:tcPr>
            <w:tcW w:w="22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779" w:right="339" w:bottom="1440"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2,120,653*</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w:t>
      </w:r>
      <w:r>
        <w:rPr>
          <w:rFonts w:ascii="Times New Roman" w:cs="Times New Roman" w:eastAsia="Times New Roman" w:hAnsi="Times New Roman"/>
          <w:sz w:val="17"/>
          <w:szCs w:val="17"/>
          <w:b w:val="1"/>
          <w:bCs w:val="1"/>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REPORTING PERSON</w:t>
      </w:r>
      <w:r>
        <w:rPr>
          <w:rFonts w:ascii="Times New Roman" w:cs="Times New Roman" w:eastAsia="Times New Roman" w:hAnsi="Times New Roman"/>
          <w:sz w:val="18"/>
          <w:szCs w:val="18"/>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ectPr>
          <w:pgSz w:w="11900" w:h="16838" w:orient="portrait"/>
          <w:cols w:equalWidth="0" w:num="2">
            <w:col w:w="320" w:space="720"/>
            <w:col w:w="10200"/>
          </w:cols>
          <w:pgMar w:left="320" w:top="779" w:right="339" w:bottom="1440" w:gutter="0" w:footer="0" w:header="0"/>
          <w:type w:val="continuous"/>
        </w:sect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7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7" w:name="page8"/>
    <w:bookmarkEnd w:id="7"/>
    <w:p>
      <w:pPr>
        <w:ind w:left="940"/>
        <w:spacing w:after="0"/>
        <w:rPr>
          <w:sz w:val="20"/>
          <w:szCs w:val="20"/>
          <w:color w:val="auto"/>
        </w:rPr>
      </w:pPr>
      <w:r>
        <w:rPr>
          <w:rFonts w:ascii="Times New Roman" w:cs="Times New Roman" w:eastAsia="Times New Roman" w:hAnsi="Times New Roman"/>
          <w:sz w:val="18"/>
          <w:szCs w:val="18"/>
          <w:b w:val="1"/>
          <w:bCs w:val="1"/>
          <w:color w:val="auto"/>
        </w:rPr>
        <w:t>CUSIP No. 04746L104</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-169545</wp:posOffset>
            </wp:positionV>
            <wp:extent cx="7132320" cy="63607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360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 xml:space="preserve">Page </w:t>
      </w:r>
      <w:r>
        <w:rPr>
          <w:rFonts w:ascii="Times New Roman" w:cs="Times New Roman" w:eastAsia="Times New Roman" w:hAnsi="Times New Roman"/>
          <w:sz w:val="17"/>
          <w:szCs w:val="17"/>
          <w:b w:val="1"/>
          <w:bCs w:val="1"/>
          <w:u w:val="single" w:color="auto"/>
          <w:color w:val="auto"/>
        </w:rPr>
        <w:t>8</w:t>
      </w:r>
      <w:r>
        <w:rPr>
          <w:rFonts w:ascii="Times New Roman" w:cs="Times New Roman" w:eastAsia="Times New Roman" w:hAnsi="Times New Roman"/>
          <w:sz w:val="17"/>
          <w:szCs w:val="17"/>
          <w:b w:val="1"/>
          <w:bCs w:val="1"/>
          <w:color w:val="auto"/>
        </w:rPr>
        <w:t xml:space="preserve"> of </w:t>
      </w:r>
      <w:r>
        <w:rPr>
          <w:rFonts w:ascii="Times New Roman" w:cs="Times New Roman" w:eastAsia="Times New Roman" w:hAnsi="Times New Roman"/>
          <w:sz w:val="17"/>
          <w:szCs w:val="17"/>
          <w:b w:val="1"/>
          <w:bCs w:val="1"/>
          <w:u w:val="single" w:color="auto"/>
          <w:color w:val="auto"/>
        </w:rPr>
        <w:t>15</w:t>
      </w:r>
      <w:r>
        <w:rPr>
          <w:rFonts w:ascii="Times New Roman" w:cs="Times New Roman" w:eastAsia="Times New Roman" w:hAnsi="Times New Roman"/>
          <w:sz w:val="17"/>
          <w:szCs w:val="17"/>
          <w:b w:val="1"/>
          <w:bCs w:val="1"/>
          <w:color w:val="auto"/>
        </w:rPr>
        <w:t xml:space="preserve"> Pages</w:t>
      </w:r>
    </w:p>
    <w:p>
      <w:pPr>
        <w:spacing w:after="0" w:line="119" w:lineRule="exact"/>
        <w:rPr>
          <w:sz w:val="20"/>
          <w:szCs w:val="20"/>
          <w:color w:val="auto"/>
        </w:rPr>
      </w:pPr>
    </w:p>
    <w:p>
      <w:pPr>
        <w:sectPr>
          <w:pgSz w:w="11900" w:h="16838" w:orient="portrait"/>
          <w:cols w:equalWidth="0" w:num="3">
            <w:col w:w="4700" w:space="720"/>
            <w:col w:w="2540" w:space="720"/>
            <w:col w:w="2560"/>
          </w:cols>
          <w:pgMar w:left="320" w:top="779" w:right="339" w:bottom="1440" w:gutter="0" w:footer="0" w:header="0"/>
        </w:sectPr>
      </w:pPr>
    </w:p>
    <w:p>
      <w:pPr>
        <w:ind w:left="1040" w:hanging="10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0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David C. Ott</w:t>
            </w:r>
          </w:p>
        </w:tc>
        <w:tc>
          <w:tcPr>
            <w:tcW w:w="0" w:type="dxa"/>
            <w:vAlign w:val="bottom"/>
          </w:tcPr>
          <w:p>
            <w:pPr>
              <w:spacing w:after="0"/>
              <w:rPr>
                <w:sz w:val="1"/>
                <w:szCs w:val="1"/>
                <w:color w:val="auto"/>
              </w:rPr>
            </w:pPr>
          </w:p>
        </w:tc>
      </w:tr>
      <w:tr>
        <w:trPr>
          <w:trHeight w:val="238"/>
        </w:trPr>
        <w:tc>
          <w:tcPr>
            <w:tcW w:w="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2</w:t>
            </w:r>
          </w:p>
        </w:tc>
        <w:tc>
          <w:tcPr>
            <w:tcW w:w="10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9"/>
        </w:trPr>
        <w:tc>
          <w:tcPr>
            <w:tcW w:w="560" w:type="dxa"/>
            <w:vAlign w:val="bottom"/>
            <w:vMerge w:val="continue"/>
          </w:tcPr>
          <w:p>
            <w:pPr>
              <w:spacing w:after="0"/>
              <w:rPr>
                <w:sz w:val="8"/>
                <w:szCs w:val="8"/>
                <w:color w:val="auto"/>
              </w:rPr>
            </w:pPr>
          </w:p>
        </w:tc>
        <w:tc>
          <w:tcPr>
            <w:tcW w:w="10360" w:type="dxa"/>
            <w:vAlign w:val="bottom"/>
            <w:vMerge w:val="restart"/>
          </w:tcPr>
          <w:p>
            <w:pPr>
              <w:ind w:left="101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117"/>
        </w:trPr>
        <w:tc>
          <w:tcPr>
            <w:tcW w:w="56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0360" w:type="dxa"/>
            <w:vAlign w:val="bottom"/>
          </w:tcPr>
          <w:p>
            <w:pPr>
              <w:ind w:left="10140"/>
              <w:spacing w:after="0"/>
              <w:rPr>
                <w:sz w:val="20"/>
                <w:szCs w:val="20"/>
                <w:color w:val="auto"/>
              </w:rPr>
            </w:pPr>
            <w:r>
              <w:rPr>
                <w:rFonts w:ascii="Times New Roman" w:cs="Times New Roman" w:eastAsia="Times New Roman" w:hAnsi="Times New Roman"/>
                <w:sz w:val="18"/>
                <w:szCs w:val="18"/>
                <w:color w:val="auto"/>
                <w:w w:val="95"/>
              </w:rPr>
              <w:t>(b)</w:t>
            </w:r>
          </w:p>
        </w:tc>
        <w:tc>
          <w:tcPr>
            <w:tcW w:w="0" w:type="dxa"/>
            <w:vAlign w:val="bottom"/>
          </w:tcPr>
          <w:p>
            <w:pPr>
              <w:spacing w:after="0"/>
              <w:rPr>
                <w:sz w:val="1"/>
                <w:szCs w:val="1"/>
                <w:color w:val="auto"/>
              </w:rPr>
            </w:pPr>
          </w:p>
        </w:tc>
      </w:tr>
    </w:tbl>
    <w:p>
      <w:pPr>
        <w:ind w:left="1040" w:hanging="1019"/>
        <w:spacing w:after="0" w:line="184" w:lineRule="auto"/>
        <w:tabs>
          <w:tab w:leader="none" w:pos="1040" w:val="left"/>
        </w:tabs>
        <w:numPr>
          <w:ilvl w:val="0"/>
          <w:numId w:val="23"/>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5"/>
          <w:szCs w:val="15"/>
          <w:color w:val="auto"/>
        </w:rPr>
        <w:t>SEC USE ONLY</w:t>
      </w:r>
    </w:p>
    <w:p>
      <w:pPr>
        <w:spacing w:after="0" w:line="288" w:lineRule="exact"/>
        <w:rPr>
          <w:sz w:val="20"/>
          <w:szCs w:val="20"/>
          <w:color w:val="auto"/>
        </w:rPr>
      </w:pPr>
    </w:p>
    <w:p>
      <w:pPr>
        <w:ind w:left="1040" w:hanging="1019"/>
        <w:spacing w:after="0"/>
        <w:tabs>
          <w:tab w:leader="none" w:pos="1040" w:val="left"/>
        </w:tabs>
        <w:numPr>
          <w:ilvl w:val="0"/>
          <w:numId w:val="24"/>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United States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5</w:t>
            </w:r>
          </w:p>
        </w:tc>
        <w:tc>
          <w:tcPr>
            <w:tcW w:w="8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63"/>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680" w:type="dxa"/>
            <w:vAlign w:val="bottom"/>
            <w:tcBorders>
              <w:right w:val="single" w:sz="8" w:color="auto"/>
            </w:tcBorders>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bottom w:val="single" w:sz="8" w:color="auto"/>
              <w:right w:val="single" w:sz="8" w:color="auto"/>
            </w:tcBorders>
          </w:tcPr>
          <w:p>
            <w:pPr>
              <w:spacing w:after="0"/>
              <w:rPr>
                <w:sz w:val="10"/>
                <w:szCs w:val="10"/>
                <w:color w:val="auto"/>
              </w:rPr>
            </w:pPr>
          </w:p>
        </w:tc>
        <w:tc>
          <w:tcPr>
            <w:tcW w:w="8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280" w:type="dxa"/>
            <w:vAlign w:val="bottom"/>
            <w:tcBorders>
              <w:right w:val="single" w:sz="8" w:color="auto"/>
            </w:tcBorders>
            <w:vMerge w:val="continue"/>
          </w:tcPr>
          <w:p>
            <w:pPr>
              <w:spacing w:after="0"/>
              <w:rPr>
                <w:sz w:val="13"/>
                <w:szCs w:val="13"/>
                <w:color w:val="auto"/>
              </w:rPr>
            </w:pP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6</w:t>
            </w: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right w:val="single" w:sz="8" w:color="auto"/>
            </w:tcBorders>
            <w:vMerge w:val="continue"/>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2,120,653*</w:t>
            </w:r>
          </w:p>
        </w:tc>
        <w:tc>
          <w:tcPr>
            <w:tcW w:w="0" w:type="dxa"/>
            <w:vAlign w:val="bottom"/>
          </w:tcPr>
          <w:p>
            <w:pPr>
              <w:spacing w:after="0"/>
              <w:rPr>
                <w:sz w:val="1"/>
                <w:szCs w:val="1"/>
                <w:color w:val="auto"/>
              </w:rPr>
            </w:pPr>
          </w:p>
        </w:tc>
      </w:tr>
      <w:tr>
        <w:trPr>
          <w:trHeight w:val="270"/>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bottom w:val="single" w:sz="8" w:color="auto"/>
              <w:right w:val="single" w:sz="8" w:color="auto"/>
            </w:tcBorders>
          </w:tcPr>
          <w:p>
            <w:pPr>
              <w:spacing w:after="0"/>
              <w:rPr>
                <w:sz w:val="23"/>
                <w:szCs w:val="23"/>
                <w:color w:val="auto"/>
              </w:rPr>
            </w:pPr>
          </w:p>
        </w:tc>
        <w:tc>
          <w:tcPr>
            <w:tcW w:w="8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7</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76"/>
        </w:trPr>
        <w:tc>
          <w:tcPr>
            <w:tcW w:w="22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83"/>
        </w:trPr>
        <w:tc>
          <w:tcPr>
            <w:tcW w:w="228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8</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2,120,653*</w:t>
            </w:r>
          </w:p>
        </w:tc>
        <w:tc>
          <w:tcPr>
            <w:tcW w:w="0" w:type="dxa"/>
            <w:vAlign w:val="bottom"/>
          </w:tcPr>
          <w:p>
            <w:pPr>
              <w:spacing w:after="0"/>
              <w:rPr>
                <w:sz w:val="1"/>
                <w:szCs w:val="1"/>
                <w:color w:val="auto"/>
              </w:rPr>
            </w:pPr>
          </w:p>
        </w:tc>
      </w:tr>
      <w:tr>
        <w:trPr>
          <w:trHeight w:val="338"/>
        </w:trPr>
        <w:tc>
          <w:tcPr>
            <w:tcW w:w="22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779" w:right="339" w:bottom="1440"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2,120,653*</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w:t>
      </w:r>
      <w:r>
        <w:rPr>
          <w:rFonts w:ascii="Times New Roman" w:cs="Times New Roman" w:eastAsia="Times New Roman" w:hAnsi="Times New Roman"/>
          <w:sz w:val="17"/>
          <w:szCs w:val="17"/>
          <w:b w:val="1"/>
          <w:bCs w:val="1"/>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REPORTING PERSON</w:t>
      </w:r>
      <w:r>
        <w:rPr>
          <w:rFonts w:ascii="Times New Roman" w:cs="Times New Roman" w:eastAsia="Times New Roman" w:hAnsi="Times New Roman"/>
          <w:sz w:val="18"/>
          <w:szCs w:val="18"/>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ectPr>
          <w:pgSz w:w="11900" w:h="16838" w:orient="portrait"/>
          <w:cols w:equalWidth="0" w:num="2">
            <w:col w:w="320" w:space="720"/>
            <w:col w:w="10200"/>
          </w:cols>
          <w:pgMar w:left="320" w:top="779" w:right="339" w:bottom="1440" w:gutter="0" w:footer="0" w:header="0"/>
          <w:type w:val="continuous"/>
        </w:sect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8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8" w:name="page9"/>
    <w:bookmarkEnd w:id="8"/>
    <w:p>
      <w:pPr>
        <w:ind w:left="940"/>
        <w:spacing w:after="0"/>
        <w:rPr>
          <w:sz w:val="20"/>
          <w:szCs w:val="20"/>
          <w:color w:val="auto"/>
        </w:rPr>
      </w:pPr>
      <w:r>
        <w:rPr>
          <w:rFonts w:ascii="Times New Roman" w:cs="Times New Roman" w:eastAsia="Times New Roman" w:hAnsi="Times New Roman"/>
          <w:sz w:val="18"/>
          <w:szCs w:val="18"/>
          <w:b w:val="1"/>
          <w:bCs w:val="1"/>
          <w:color w:val="auto"/>
        </w:rPr>
        <w:t>CUSIP No. 04746L104</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-169545</wp:posOffset>
            </wp:positionV>
            <wp:extent cx="7132320" cy="6035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6035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 xml:space="preserve">Page </w:t>
      </w:r>
      <w:r>
        <w:rPr>
          <w:rFonts w:ascii="Times New Roman" w:cs="Times New Roman" w:eastAsia="Times New Roman" w:hAnsi="Times New Roman"/>
          <w:sz w:val="17"/>
          <w:szCs w:val="17"/>
          <w:b w:val="1"/>
          <w:bCs w:val="1"/>
          <w:u w:val="single" w:color="auto"/>
          <w:color w:val="auto"/>
        </w:rPr>
        <w:t>9</w:t>
      </w:r>
      <w:r>
        <w:rPr>
          <w:rFonts w:ascii="Times New Roman" w:cs="Times New Roman" w:eastAsia="Times New Roman" w:hAnsi="Times New Roman"/>
          <w:sz w:val="17"/>
          <w:szCs w:val="17"/>
          <w:b w:val="1"/>
          <w:bCs w:val="1"/>
          <w:color w:val="auto"/>
        </w:rPr>
        <w:t xml:space="preserve"> of </w:t>
      </w:r>
      <w:r>
        <w:rPr>
          <w:rFonts w:ascii="Times New Roman" w:cs="Times New Roman" w:eastAsia="Times New Roman" w:hAnsi="Times New Roman"/>
          <w:sz w:val="17"/>
          <w:szCs w:val="17"/>
          <w:b w:val="1"/>
          <w:bCs w:val="1"/>
          <w:u w:val="single" w:color="auto"/>
          <w:color w:val="auto"/>
        </w:rPr>
        <w:t>15</w:t>
      </w:r>
      <w:r>
        <w:rPr>
          <w:rFonts w:ascii="Times New Roman" w:cs="Times New Roman" w:eastAsia="Times New Roman" w:hAnsi="Times New Roman"/>
          <w:sz w:val="17"/>
          <w:szCs w:val="17"/>
          <w:b w:val="1"/>
          <w:bCs w:val="1"/>
          <w:color w:val="auto"/>
        </w:rPr>
        <w:t xml:space="preserve"> Pages</w:t>
      </w:r>
    </w:p>
    <w:p>
      <w:pPr>
        <w:spacing w:after="0" w:line="119" w:lineRule="exact"/>
        <w:rPr>
          <w:sz w:val="20"/>
          <w:szCs w:val="20"/>
          <w:color w:val="auto"/>
        </w:rPr>
      </w:pPr>
    </w:p>
    <w:p>
      <w:pPr>
        <w:sectPr>
          <w:pgSz w:w="11900" w:h="16838" w:orient="portrait"/>
          <w:cols w:equalWidth="0" w:num="3">
            <w:col w:w="4700" w:space="720"/>
            <w:col w:w="2540" w:space="720"/>
            <w:col w:w="2560"/>
          </w:cols>
          <w:pgMar w:left="320" w:top="779" w:right="339" w:bottom="1440" w:gutter="0" w:footer="0" w:header="0"/>
        </w:sectPr>
      </w:pPr>
    </w:p>
    <w:p>
      <w:pPr>
        <w:ind w:left="1040" w:hanging="10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0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Rose S. Shabet</w:t>
            </w:r>
          </w:p>
        </w:tc>
        <w:tc>
          <w:tcPr>
            <w:tcW w:w="0" w:type="dxa"/>
            <w:vAlign w:val="bottom"/>
          </w:tcPr>
          <w:p>
            <w:pPr>
              <w:spacing w:after="0"/>
              <w:rPr>
                <w:sz w:val="1"/>
                <w:szCs w:val="1"/>
                <w:color w:val="auto"/>
              </w:rPr>
            </w:pPr>
          </w:p>
        </w:tc>
      </w:tr>
      <w:tr>
        <w:trPr>
          <w:trHeight w:val="238"/>
        </w:trPr>
        <w:tc>
          <w:tcPr>
            <w:tcW w:w="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2</w:t>
            </w:r>
          </w:p>
        </w:tc>
        <w:tc>
          <w:tcPr>
            <w:tcW w:w="10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9"/>
        </w:trPr>
        <w:tc>
          <w:tcPr>
            <w:tcW w:w="560" w:type="dxa"/>
            <w:vAlign w:val="bottom"/>
            <w:vMerge w:val="continue"/>
          </w:tcPr>
          <w:p>
            <w:pPr>
              <w:spacing w:after="0"/>
              <w:rPr>
                <w:sz w:val="8"/>
                <w:szCs w:val="8"/>
                <w:color w:val="auto"/>
              </w:rPr>
            </w:pPr>
          </w:p>
        </w:tc>
        <w:tc>
          <w:tcPr>
            <w:tcW w:w="10360" w:type="dxa"/>
            <w:vAlign w:val="bottom"/>
            <w:vMerge w:val="restart"/>
          </w:tcPr>
          <w:p>
            <w:pPr>
              <w:ind w:left="101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117"/>
        </w:trPr>
        <w:tc>
          <w:tcPr>
            <w:tcW w:w="56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10360" w:type="dxa"/>
            <w:vAlign w:val="bottom"/>
          </w:tcPr>
          <w:p>
            <w:pPr>
              <w:ind w:left="10140"/>
              <w:spacing w:after="0"/>
              <w:rPr>
                <w:sz w:val="20"/>
                <w:szCs w:val="20"/>
                <w:color w:val="auto"/>
              </w:rPr>
            </w:pPr>
            <w:r>
              <w:rPr>
                <w:rFonts w:ascii="Times New Roman" w:cs="Times New Roman" w:eastAsia="Times New Roman" w:hAnsi="Times New Roman"/>
                <w:sz w:val="18"/>
                <w:szCs w:val="18"/>
                <w:color w:val="auto"/>
                <w:w w:val="95"/>
              </w:rPr>
              <w:t>(b)</w:t>
            </w:r>
          </w:p>
        </w:tc>
        <w:tc>
          <w:tcPr>
            <w:tcW w:w="0" w:type="dxa"/>
            <w:vAlign w:val="bottom"/>
          </w:tcPr>
          <w:p>
            <w:pPr>
              <w:spacing w:after="0"/>
              <w:rPr>
                <w:sz w:val="1"/>
                <w:szCs w:val="1"/>
                <w:color w:val="auto"/>
              </w:rPr>
            </w:pPr>
          </w:p>
        </w:tc>
      </w:tr>
    </w:tbl>
    <w:p>
      <w:pPr>
        <w:ind w:left="1040" w:hanging="1019"/>
        <w:spacing w:after="0" w:line="184" w:lineRule="auto"/>
        <w:tabs>
          <w:tab w:leader="none" w:pos="1040" w:val="left"/>
        </w:tabs>
        <w:numPr>
          <w:ilvl w:val="0"/>
          <w:numId w:val="26"/>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5"/>
          <w:szCs w:val="15"/>
          <w:color w:val="auto"/>
        </w:rPr>
        <w:t>SEC USE ONLY</w:t>
      </w:r>
    </w:p>
    <w:p>
      <w:pPr>
        <w:spacing w:after="0" w:line="288" w:lineRule="exact"/>
        <w:rPr>
          <w:sz w:val="20"/>
          <w:szCs w:val="20"/>
          <w:color w:val="auto"/>
        </w:rPr>
      </w:pPr>
    </w:p>
    <w:p>
      <w:pPr>
        <w:ind w:left="1040" w:hanging="1019"/>
        <w:spacing w:after="0"/>
        <w:tabs>
          <w:tab w:leader="none" w:pos="1040" w:val="left"/>
        </w:tabs>
        <w:numPr>
          <w:ilvl w:val="0"/>
          <w:numId w:val="27"/>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United States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5</w:t>
            </w:r>
          </w:p>
        </w:tc>
        <w:tc>
          <w:tcPr>
            <w:tcW w:w="8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63"/>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680" w:type="dxa"/>
            <w:vAlign w:val="bottom"/>
            <w:tcBorders>
              <w:right w:val="single" w:sz="8" w:color="auto"/>
            </w:tcBorders>
          </w:tcPr>
          <w:p>
            <w:pPr>
              <w:spacing w:after="0"/>
              <w:rPr>
                <w:sz w:val="11"/>
                <w:szCs w:val="11"/>
                <w:color w:val="auto"/>
              </w:rPr>
            </w:pPr>
          </w:p>
        </w:tc>
        <w:tc>
          <w:tcPr>
            <w:tcW w:w="8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8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28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6</w:t>
            </w: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6"/>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vMerge w:val="continue"/>
          </w:tcPr>
          <w:p>
            <w:pPr>
              <w:spacing w:after="0"/>
              <w:rPr>
                <w:sz w:val="15"/>
                <w:szCs w:val="15"/>
                <w:color w:val="auto"/>
              </w:rPr>
            </w:pPr>
          </w:p>
        </w:tc>
        <w:tc>
          <w:tcPr>
            <w:tcW w:w="8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28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2,120,653*</w:t>
            </w:r>
          </w:p>
        </w:tc>
        <w:tc>
          <w:tcPr>
            <w:tcW w:w="0" w:type="dxa"/>
            <w:vAlign w:val="bottom"/>
          </w:tcPr>
          <w:p>
            <w:pPr>
              <w:spacing w:after="0"/>
              <w:rPr>
                <w:sz w:val="1"/>
                <w:szCs w:val="1"/>
                <w:color w:val="auto"/>
              </w:rPr>
            </w:pPr>
          </w:p>
        </w:tc>
      </w:tr>
      <w:tr>
        <w:trPr>
          <w:trHeight w:val="290"/>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7</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70"/>
        </w:trPr>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80" w:type="dxa"/>
            <w:vAlign w:val="bottom"/>
            <w:tcBorders>
              <w:right w:val="single" w:sz="8" w:color="auto"/>
            </w:tcBorders>
          </w:tcPr>
          <w:p>
            <w:pPr>
              <w:spacing w:after="0"/>
              <w:rPr>
                <w:sz w:val="23"/>
                <w:szCs w:val="23"/>
                <w:color w:val="auto"/>
              </w:rPr>
            </w:pP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Borders>
              <w:right w:val="single" w:sz="8" w:color="auto"/>
            </w:tcBorders>
          </w:tcPr>
          <w:p>
            <w:pPr>
              <w:spacing w:after="0"/>
              <w:rPr>
                <w:sz w:val="7"/>
                <w:szCs w:val="7"/>
                <w:color w:val="auto"/>
              </w:rPr>
            </w:pPr>
          </w:p>
        </w:tc>
        <w:tc>
          <w:tcPr>
            <w:tcW w:w="8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tcBorders>
              <w:right w:val="single" w:sz="8" w:color="auto"/>
            </w:tcBorders>
            <w:vMerge w:val="continue"/>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vMerge w:val="restart"/>
          </w:tcPr>
          <w:p>
            <w:pPr>
              <w:jc w:val="right"/>
              <w:ind w:right="516"/>
              <w:spacing w:after="0"/>
              <w:rPr>
                <w:sz w:val="20"/>
                <w:szCs w:val="20"/>
                <w:color w:val="auto"/>
              </w:rPr>
            </w:pPr>
            <w:r>
              <w:rPr>
                <w:rFonts w:ascii="Times New Roman" w:cs="Times New Roman" w:eastAsia="Times New Roman" w:hAnsi="Times New Roman"/>
                <w:sz w:val="17"/>
                <w:szCs w:val="17"/>
                <w:color w:val="auto"/>
                <w:w w:val="70"/>
              </w:rPr>
              <w:t>8</w:t>
            </w:r>
          </w:p>
        </w:tc>
        <w:tc>
          <w:tcPr>
            <w:tcW w:w="8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1"/>
        </w:trPr>
        <w:tc>
          <w:tcPr>
            <w:tcW w:w="22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2,120,653*</w:t>
            </w:r>
          </w:p>
        </w:tc>
        <w:tc>
          <w:tcPr>
            <w:tcW w:w="0" w:type="dxa"/>
            <w:vAlign w:val="bottom"/>
          </w:tcPr>
          <w:p>
            <w:pPr>
              <w:spacing w:after="0"/>
              <w:rPr>
                <w:sz w:val="1"/>
                <w:szCs w:val="1"/>
                <w:color w:val="auto"/>
              </w:rPr>
            </w:pPr>
          </w:p>
        </w:tc>
      </w:tr>
      <w:tr>
        <w:trPr>
          <w:trHeight w:val="338"/>
        </w:trPr>
        <w:tc>
          <w:tcPr>
            <w:tcW w:w="22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779" w:right="339" w:bottom="1440"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2,120,653*</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w:t>
      </w:r>
      <w:r>
        <w:rPr>
          <w:rFonts w:ascii="Times New Roman" w:cs="Times New Roman" w:eastAsia="Times New Roman" w:hAnsi="Times New Roman"/>
          <w:sz w:val="17"/>
          <w:szCs w:val="17"/>
          <w:b w:val="1"/>
          <w:bCs w:val="1"/>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REPORTING PERSON</w:t>
      </w:r>
      <w:r>
        <w:rPr>
          <w:rFonts w:ascii="Times New Roman" w:cs="Times New Roman" w:eastAsia="Times New Roman" w:hAnsi="Times New Roman"/>
          <w:sz w:val="18"/>
          <w:szCs w:val="18"/>
          <w:b w:val="1"/>
          <w:bCs w:val="1"/>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ectPr>
          <w:pgSz w:w="11900" w:h="16838" w:orient="portrait"/>
          <w:cols w:equalWidth="0" w:num="2">
            <w:col w:w="320" w:space="720"/>
            <w:col w:w="10200"/>
          </w:cols>
          <w:pgMar w:left="320" w:top="779" w:right="339" w:bottom="1440" w:gutter="0" w:footer="0" w:header="0"/>
          <w:type w:val="continuous"/>
        </w:sect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9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9" w:name="page10"/>
    <w:bookmarkEnd w:id="9"/>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8"/>
          <w:szCs w:val="18"/>
          <w:u w:val="single" w:color="auto"/>
          <w:color w:val="auto"/>
        </w:rPr>
        <w:t>Name of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Athira Pharma, Inc.</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1(b)</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4000 Mason Road, Suite 300</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Seattle, Washington 98195</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2(a)</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Name of Person Filing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Viking Global Investors LP (“VGI”),</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Viking Global Opportunities GP LLC (“Opportunities GP”),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Viking Global Opportunities Portfolio GP LLC (“Opportunities Portfolio GP”),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Viking Global Opportunities Liquid Portfolio Sub-Master LP ("VGOL”),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Viking Global Opportunities Illiquid Investments Sub-Master LP (“VGOP”),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Andreas Halvorsen, David C. Ott and Rose S. Shabet (collectively, the “Reporting Persons”)</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Items 2(b)</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Address of Principal Business Office or, if none, Residence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business address of each of the Reporting Persons is: 55 Railroad Avenue, Greenwich, Connecticut 06830.</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Items 2(c)</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VGI is a Delaware limited partnership; Opportunities GP and Opportunities Portfolio GP are Delaware limited liability companies; VGOL and VGOP are Cayman Islands exempted limited partnerships; O. Andreas Halvorsen is a citizen of Norway; and David C. Ott and Rose S. Shabet are citizens of the United States.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2(d)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Titles of Classes of Securities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$0.0001 per share (“Common Stock”)</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2(e)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CUSIP NUMBER: 04746L104</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3.</w:t>
      </w:r>
      <w:r>
        <w:rPr>
          <w:sz w:val="20"/>
          <w:szCs w:val="20"/>
          <w:color w:val="auto"/>
        </w:rPr>
        <w:tab/>
      </w:r>
      <w:r>
        <w:rPr>
          <w:rFonts w:ascii="Times New Roman" w:cs="Times New Roman" w:eastAsia="Times New Roman" w:hAnsi="Times New Roman"/>
          <w:sz w:val="18"/>
          <w:szCs w:val="18"/>
          <w:u w:val="single" w:color="auto"/>
          <w:color w:val="auto"/>
        </w:rPr>
        <w:t>If This Statement is Filed Pursuant to Rule 13d-1(b), or 13d-2(b) or (c), Check Whether the Person Filing is a:</w:t>
      </w:r>
    </w:p>
    <w:p>
      <w:pPr>
        <w:spacing w:after="0" w:line="223" w:lineRule="exact"/>
        <w:rPr>
          <w:sz w:val="20"/>
          <w:szCs w:val="20"/>
          <w:color w:val="auto"/>
        </w:rPr>
      </w:pPr>
    </w:p>
    <w:p>
      <w:pPr>
        <w:ind w:left="1800" w:hanging="496"/>
        <w:spacing w:after="0" w:line="207" w:lineRule="exact"/>
        <w:tabs>
          <w:tab w:leader="none" w:pos="1800"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225" w:lineRule="exact"/>
        <w:rPr>
          <w:rFonts w:ascii="Times New Roman" w:cs="Times New Roman" w:eastAsia="Times New Roman" w:hAnsi="Times New Roman"/>
          <w:sz w:val="18"/>
          <w:szCs w:val="18"/>
          <w:color w:val="auto"/>
        </w:rPr>
      </w:pPr>
    </w:p>
    <w:p>
      <w:pPr>
        <w:ind w:left="1800" w:right="4380" w:hanging="496"/>
        <w:spacing w:after="0" w:line="239" w:lineRule="exact"/>
        <w:tabs>
          <w:tab w:leader="none" w:pos="1800"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10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715" w:right="459" w:bottom="1440" w:gutter="0" w:footer="0" w:header="0"/>
        </w:sectPr>
      </w:pPr>
    </w:p>
    <w:bookmarkStart w:id="10" w:name="page11"/>
    <w:bookmarkEnd w:id="10"/>
    <w:p>
      <w:pPr>
        <w:ind w:left="1800" w:hanging="496"/>
        <w:spacing w:after="0" w:line="207" w:lineRule="exact"/>
        <w:tabs>
          <w:tab w:leader="none" w:pos="1800" w:val="left"/>
        </w:tabs>
        <w:numPr>
          <w:ilvl w:val="0"/>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registered under Section 203 of the Investment Advisers Act of 1940: see Rule 13d-1(b)(1)(ii)(E)</w:t>
      </w:r>
    </w:p>
    <w:p>
      <w:pPr>
        <w:spacing w:after="0" w:line="225" w:lineRule="exact"/>
        <w:rPr>
          <w:rFonts w:ascii="Times New Roman" w:cs="Times New Roman" w:eastAsia="Times New Roman" w:hAnsi="Times New Roman"/>
          <w:sz w:val="18"/>
          <w:szCs w:val="18"/>
          <w:color w:val="auto"/>
        </w:rPr>
      </w:pPr>
    </w:p>
    <w:p>
      <w:pPr>
        <w:ind w:left="1800" w:right="140" w:hanging="496"/>
        <w:spacing w:after="0" w:line="239" w:lineRule="exact"/>
        <w:tabs>
          <w:tab w:leader="none" w:pos="1800" w:val="left"/>
        </w:tabs>
        <w:numPr>
          <w:ilvl w:val="0"/>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Pension Fund which is subject to the provisions of the Employee Retirement Income Security Act of 1974 or Endowment Fund; see Rule 13d-1(b)(1)(ii)(F)</w:t>
      </w:r>
    </w:p>
    <w:p>
      <w:pPr>
        <w:spacing w:after="0" w:line="170"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in accordance with Rule 13d-1(b)(1)(ii)(G).</w:t>
      </w:r>
    </w:p>
    <w:p>
      <w:pPr>
        <w:spacing w:after="0" w:line="225"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800" w:hanging="496"/>
        <w:spacing w:after="0" w:line="239" w:lineRule="exact"/>
        <w:tabs>
          <w:tab w:leader="none" w:pos="1800" w:val="left"/>
        </w:tabs>
        <w:numPr>
          <w:ilvl w:val="0"/>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 of 1940.</w:t>
      </w:r>
    </w:p>
    <w:p>
      <w:pPr>
        <w:spacing w:after="0" w:line="170"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Non-U.S. institution in accordance with Rule 240.13d-1(b)(1)(ii)(J). If filing as a non-U.S. institution in accordance with Rule</w:t>
      </w:r>
    </w:p>
    <w:p>
      <w:pPr>
        <w:spacing w:after="0" w:line="5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240.13d-1(b)(1)(ii)(J), please specify the type of institution:</w:t>
      </w:r>
    </w:p>
    <w:p>
      <w:pPr>
        <w:spacing w:after="0" w:line="176"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w:t>
      </w:r>
    </w:p>
    <w:p>
      <w:pPr>
        <w:spacing w:after="0" w:line="200" w:lineRule="exact"/>
        <w:rPr>
          <w:sz w:val="20"/>
          <w:szCs w:val="20"/>
          <w:color w:val="auto"/>
        </w:rPr>
      </w:pPr>
    </w:p>
    <w:p>
      <w:pPr>
        <w:spacing w:after="0" w:line="27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4.</w:t>
      </w:r>
      <w:r>
        <w:rPr>
          <w:sz w:val="20"/>
          <w:szCs w:val="20"/>
          <w:color w:val="auto"/>
        </w:rPr>
        <w:tab/>
      </w:r>
      <w:r>
        <w:rPr>
          <w:rFonts w:ascii="Times New Roman" w:cs="Times New Roman" w:eastAsia="Times New Roman" w:hAnsi="Times New Roman"/>
          <w:sz w:val="18"/>
          <w:szCs w:val="18"/>
          <w:u w:val="single" w:color="auto"/>
          <w:color w:val="auto"/>
        </w:rPr>
        <w:t>Ownership</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VGI</w:t>
      </w:r>
    </w:p>
    <w:p>
      <w:pPr>
        <w:spacing w:after="0" w:line="225" w:lineRule="exact"/>
        <w:rPr>
          <w:sz w:val="20"/>
          <w:szCs w:val="20"/>
          <w:color w:val="auto"/>
        </w:rPr>
      </w:pPr>
    </w:p>
    <w:p>
      <w:pPr>
        <w:ind w:left="1960" w:hanging="656"/>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2,120,653</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6.9%</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7"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2,120,653</w:t>
      </w:r>
    </w:p>
    <w:p>
      <w:pPr>
        <w:spacing w:after="0" w:line="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2,120,653</w:t>
      </w:r>
    </w:p>
    <w:p>
      <w:pPr>
        <w:spacing w:after="0" w:line="207" w:lineRule="exact"/>
        <w:rPr>
          <w:sz w:val="20"/>
          <w:szCs w:val="20"/>
          <w:color w:val="auto"/>
        </w:rPr>
      </w:pPr>
    </w:p>
    <w:p>
      <w:pPr>
        <w:ind w:left="1960" w:right="240"/>
        <w:spacing w:after="0" w:line="282" w:lineRule="auto"/>
        <w:rPr>
          <w:sz w:val="20"/>
          <w:szCs w:val="20"/>
          <w:color w:val="auto"/>
        </w:rPr>
      </w:pPr>
      <w:r>
        <w:rPr>
          <w:rFonts w:ascii="Times New Roman" w:cs="Times New Roman" w:eastAsia="Times New Roman" w:hAnsi="Times New Roman"/>
          <w:sz w:val="18"/>
          <w:szCs w:val="18"/>
          <w:color w:val="auto"/>
        </w:rPr>
        <w:t>VGI provides managerial services to VGOL and VGOP. VGI has the authority to dispose of and vote the shares of Common Stock.</w:t>
      </w:r>
    </w:p>
    <w:p>
      <w:pPr>
        <w:spacing w:after="0" w:line="162" w:lineRule="exact"/>
        <w:rPr>
          <w:sz w:val="20"/>
          <w:szCs w:val="20"/>
          <w:color w:val="auto"/>
        </w:rPr>
      </w:pPr>
    </w:p>
    <w:p>
      <w:pPr>
        <w:ind w:left="1960" w:right="20"/>
        <w:spacing w:after="0" w:line="312" w:lineRule="auto"/>
        <w:rPr>
          <w:sz w:val="20"/>
          <w:szCs w:val="20"/>
          <w:color w:val="auto"/>
        </w:rPr>
      </w:pPr>
      <w:r>
        <w:rPr>
          <w:rFonts w:ascii="Times New Roman" w:cs="Times New Roman" w:eastAsia="Times New Roman" w:hAnsi="Times New Roman"/>
          <w:sz w:val="17"/>
          <w:szCs w:val="17"/>
          <w:color w:val="auto"/>
        </w:rPr>
        <w:t>Based on Rule 13d-3 of the Securities Exchange Act of 1934, as amended (the "Act"), VGI may be deemed to beneficially own the shares of Common Stock directly held by VGOL and VGOP. VGI does not directly own any shares of Common Stock.</w:t>
      </w:r>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11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660"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B. Opportunities GP</w:t>
      </w:r>
    </w:p>
    <w:p>
      <w:pPr>
        <w:spacing w:after="0" w:line="225" w:lineRule="exact"/>
        <w:rPr>
          <w:sz w:val="20"/>
          <w:szCs w:val="20"/>
          <w:color w:val="auto"/>
        </w:rPr>
      </w:pPr>
    </w:p>
    <w:p>
      <w:pPr>
        <w:ind w:left="1300" w:hanging="65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2,120,653</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6.9%</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7"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2,120,653</w:t>
      </w:r>
    </w:p>
    <w:p>
      <w:pPr>
        <w:spacing w:after="0" w:line="9"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2,120,653</w:t>
      </w:r>
    </w:p>
    <w:p>
      <w:pPr>
        <w:spacing w:after="0" w:line="207" w:lineRule="exact"/>
        <w:rPr>
          <w:sz w:val="20"/>
          <w:szCs w:val="20"/>
          <w:color w:val="auto"/>
        </w:rPr>
      </w:pPr>
    </w:p>
    <w:p>
      <w:pPr>
        <w:ind w:left="1300"/>
        <w:spacing w:after="0" w:line="266" w:lineRule="auto"/>
        <w:rPr>
          <w:sz w:val="20"/>
          <w:szCs w:val="20"/>
          <w:color w:val="auto"/>
        </w:rPr>
      </w:pPr>
      <w:r>
        <w:rPr>
          <w:rFonts w:ascii="Times New Roman" w:cs="Times New Roman" w:eastAsia="Times New Roman" w:hAnsi="Times New Roman"/>
          <w:sz w:val="18"/>
          <w:szCs w:val="18"/>
          <w:color w:val="auto"/>
        </w:rPr>
        <w:t>Opportunities GP serves as the sole member of Opportunities Portfolio GP and has the authority to dispose of and vote the shares of Common Stock controlled by Opportunities Portfolio GP, which consists of the shares of Common Stock directly held by VGOL and VGOP. Opportunities GP does not directly own any shares of Common Stock.</w:t>
      </w:r>
    </w:p>
    <w:p>
      <w:pPr>
        <w:spacing w:after="0" w:line="176" w:lineRule="exact"/>
        <w:rPr>
          <w:sz w:val="20"/>
          <w:szCs w:val="20"/>
          <w:color w:val="auto"/>
        </w:rPr>
      </w:pPr>
    </w:p>
    <w:p>
      <w:pPr>
        <w:ind w:left="1300" w:right="240"/>
        <w:spacing w:after="0" w:line="282" w:lineRule="auto"/>
        <w:rPr>
          <w:sz w:val="20"/>
          <w:szCs w:val="20"/>
          <w:color w:val="auto"/>
        </w:rPr>
      </w:pPr>
      <w:r>
        <w:rPr>
          <w:rFonts w:ascii="Times New Roman" w:cs="Times New Roman" w:eastAsia="Times New Roman" w:hAnsi="Times New Roman"/>
          <w:sz w:val="18"/>
          <w:szCs w:val="18"/>
          <w:color w:val="auto"/>
        </w:rPr>
        <w:t>Based on Rule 13d-3 of the Act, Opportunities GP may be deemed to beneficially own the shares of Common Stock directly held by VGOL and VGOP.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Opportunities Portfolio GP</w:t>
      </w:r>
    </w:p>
    <w:p>
      <w:pPr>
        <w:spacing w:after="0" w:line="225" w:lineRule="exact"/>
        <w:rPr>
          <w:sz w:val="20"/>
          <w:szCs w:val="20"/>
          <w:color w:val="auto"/>
        </w:rPr>
      </w:pPr>
    </w:p>
    <w:p>
      <w:pPr>
        <w:ind w:left="1300" w:hanging="65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2,120,653</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6.9%</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7"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2,120,653</w:t>
      </w:r>
    </w:p>
    <w:p>
      <w:pPr>
        <w:spacing w:after="0" w:line="9"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2,120,653</w:t>
      </w:r>
    </w:p>
    <w:p>
      <w:pPr>
        <w:spacing w:after="0" w:line="207" w:lineRule="exact"/>
        <w:rPr>
          <w:sz w:val="20"/>
          <w:szCs w:val="20"/>
          <w:color w:val="auto"/>
        </w:rPr>
      </w:pPr>
    </w:p>
    <w:p>
      <w:pPr>
        <w:ind w:left="1300" w:right="60"/>
        <w:spacing w:after="0" w:line="266" w:lineRule="auto"/>
        <w:rPr>
          <w:sz w:val="20"/>
          <w:szCs w:val="20"/>
          <w:color w:val="auto"/>
        </w:rPr>
      </w:pPr>
      <w:r>
        <w:rPr>
          <w:rFonts w:ascii="Times New Roman" w:cs="Times New Roman" w:eastAsia="Times New Roman" w:hAnsi="Times New Roman"/>
          <w:sz w:val="18"/>
          <w:szCs w:val="18"/>
          <w:color w:val="auto"/>
        </w:rPr>
        <w:t>Opportunities Portfolio GP serves as the general partner of VGOL and VGOP and has the authority to dispose of and vote the shares of Common Stock directly owned by VGOL and VGOP. Opportunities Portfolio GP does not directly own any shares of Common Stock.</w:t>
      </w:r>
    </w:p>
    <w:p>
      <w:pPr>
        <w:spacing w:after="0" w:line="176" w:lineRule="exact"/>
        <w:rPr>
          <w:sz w:val="20"/>
          <w:szCs w:val="20"/>
          <w:color w:val="auto"/>
        </w:rPr>
      </w:pPr>
    </w:p>
    <w:p>
      <w:pPr>
        <w:ind w:left="1300" w:right="160"/>
        <w:spacing w:after="0" w:line="282" w:lineRule="auto"/>
        <w:rPr>
          <w:sz w:val="20"/>
          <w:szCs w:val="20"/>
          <w:color w:val="auto"/>
        </w:rPr>
      </w:pPr>
      <w:r>
        <w:rPr>
          <w:rFonts w:ascii="Times New Roman" w:cs="Times New Roman" w:eastAsia="Times New Roman" w:hAnsi="Times New Roman"/>
          <w:sz w:val="18"/>
          <w:szCs w:val="18"/>
          <w:color w:val="auto"/>
        </w:rPr>
        <w:t>Based on Rule 13d-3 of the Act, Opportunities Portfolio GP may be deemed to beneficially own the shares of Common Stock directly held by VGOL and VGOP.</w:t>
      </w:r>
    </w:p>
    <w:p>
      <w:pPr>
        <w:spacing w:after="0" w:line="16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Page 12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4" w:right="419" w:bottom="1440" w:gutter="0" w:footer="0" w:header="0"/>
        </w:sectPr>
      </w:pPr>
    </w:p>
    <w:bookmarkStart w:id="12" w:name="page13"/>
    <w:bookmarkEnd w:id="12"/>
    <w:p>
      <w:pPr>
        <w:ind w:left="224" w:hanging="224"/>
        <w:spacing w:after="0"/>
        <w:tabs>
          <w:tab w:leader="none" w:pos="2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VGOL</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750,000</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2.4%</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7"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750,000</w:t>
      </w:r>
    </w:p>
    <w:p>
      <w:pPr>
        <w:spacing w:after="0" w:line="9"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750,000</w:t>
      </w:r>
    </w:p>
    <w:p>
      <w:pPr>
        <w:spacing w:after="0" w:line="207" w:lineRule="exact"/>
        <w:rPr>
          <w:sz w:val="20"/>
          <w:szCs w:val="20"/>
          <w:color w:val="auto"/>
        </w:rPr>
      </w:pPr>
    </w:p>
    <w:p>
      <w:pPr>
        <w:ind w:left="1304"/>
        <w:spacing w:after="0" w:line="274" w:lineRule="auto"/>
        <w:rPr>
          <w:sz w:val="20"/>
          <w:szCs w:val="20"/>
          <w:color w:val="auto"/>
        </w:rPr>
      </w:pPr>
      <w:r>
        <w:rPr>
          <w:rFonts w:ascii="Times New Roman" w:cs="Times New Roman" w:eastAsia="Times New Roman" w:hAnsi="Times New Roman"/>
          <w:sz w:val="17"/>
          <w:szCs w:val="17"/>
          <w:color w:val="auto"/>
        </w:rPr>
        <w:t>VGOL has the authority to dispose of and vote the shares of Common Stock directly owned by it, which power may be exercised by its general partner, Opportunities Portfolio GP, and by VGI, an affiliate of Opportunities Portfolio GP, which provides managerial services to VGOL. 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VGOL.</w:t>
      </w:r>
    </w:p>
    <w:p>
      <w:pPr>
        <w:spacing w:after="0" w:line="173" w:lineRule="exact"/>
        <w:rPr>
          <w:sz w:val="20"/>
          <w:szCs w:val="20"/>
          <w:color w:val="auto"/>
        </w:rPr>
      </w:pPr>
    </w:p>
    <w:p>
      <w:pPr>
        <w:ind w:left="204" w:hanging="204"/>
        <w:spacing w:after="0"/>
        <w:tabs>
          <w:tab w:leader="none" w:pos="2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VGOP</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1,370,653</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4.4%</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7"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1,370,653</w:t>
      </w:r>
    </w:p>
    <w:p>
      <w:pPr>
        <w:spacing w:after="0" w:line="9"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1,370,653</w:t>
      </w:r>
    </w:p>
    <w:p>
      <w:pPr>
        <w:spacing w:after="0" w:line="207" w:lineRule="exact"/>
        <w:rPr>
          <w:sz w:val="20"/>
          <w:szCs w:val="20"/>
          <w:color w:val="auto"/>
        </w:rPr>
      </w:pPr>
    </w:p>
    <w:p>
      <w:pPr>
        <w:ind w:left="1304"/>
        <w:spacing w:after="0" w:line="274" w:lineRule="auto"/>
        <w:rPr>
          <w:sz w:val="20"/>
          <w:szCs w:val="20"/>
          <w:color w:val="auto"/>
        </w:rPr>
      </w:pPr>
      <w:r>
        <w:rPr>
          <w:rFonts w:ascii="Times New Roman" w:cs="Times New Roman" w:eastAsia="Times New Roman" w:hAnsi="Times New Roman"/>
          <w:sz w:val="17"/>
          <w:szCs w:val="17"/>
          <w:color w:val="auto"/>
        </w:rPr>
        <w:t>VGOP has the authority to dispose of and vote the shares of Common Stock directly owned by it, which power may be exercised by its general partner, Opportunities Portfolio GP, and by VGI, an affiliate of Opportunities Portfolio GP, which provides managerial services to VGOP. 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w:t>
      </w:r>
    </w:p>
    <w:p>
      <w:pPr>
        <w:spacing w:after="0" w:line="173"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Page 13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4"/>
          </w:cols>
          <w:pgMar w:left="976" w:top="1012" w:right="57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F. O. Andreas Halvorsen, David C. Ott and Rose S. Shabet</w:t>
      </w:r>
    </w:p>
    <w:p>
      <w:pPr>
        <w:spacing w:after="0" w:line="225" w:lineRule="exact"/>
        <w:rPr>
          <w:sz w:val="20"/>
          <w:szCs w:val="20"/>
          <w:color w:val="auto"/>
        </w:rPr>
      </w:pPr>
    </w:p>
    <w:p>
      <w:pPr>
        <w:ind w:left="1960" w:hanging="656"/>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2,120,653</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6.9%</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7"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2,120,653</w:t>
      </w:r>
    </w:p>
    <w:p>
      <w:pPr>
        <w:spacing w:after="0" w:line="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2,120,653</w:t>
      </w:r>
    </w:p>
    <w:p>
      <w:pPr>
        <w:spacing w:after="0" w:line="207" w:lineRule="exact"/>
        <w:rPr>
          <w:sz w:val="20"/>
          <w:szCs w:val="20"/>
          <w:color w:val="auto"/>
        </w:rPr>
      </w:pPr>
    </w:p>
    <w:p>
      <w:pPr>
        <w:ind w:left="1960"/>
        <w:spacing w:after="0" w:line="266" w:lineRule="auto"/>
        <w:rPr>
          <w:sz w:val="20"/>
          <w:szCs w:val="20"/>
          <w:color w:val="auto"/>
        </w:rPr>
      </w:pPr>
      <w:r>
        <w:rPr>
          <w:rFonts w:ascii="Times New Roman" w:cs="Times New Roman" w:eastAsia="Times New Roman" w:hAnsi="Times New Roman"/>
          <w:sz w:val="18"/>
          <w:szCs w:val="18"/>
          <w:color w:val="auto"/>
        </w:rPr>
        <w:t>Mr. Halvorsen, Mr. Ott and Ms. Shabet, as Executive Committee Members of Viking Global Partners LLC, general partner of VGI and Opportunities GP have shared authority to dispose of and vote the shares of Common Stock beneficially owned by VGI and Opportunities GP. None of Mr. Halvorsen, Mr. Ott and Ms. Shabet directly owns any shares of Common Stock.</w:t>
      </w:r>
    </w:p>
    <w:p>
      <w:pPr>
        <w:spacing w:after="0" w:line="176" w:lineRule="exact"/>
        <w:rPr>
          <w:sz w:val="20"/>
          <w:szCs w:val="20"/>
          <w:color w:val="auto"/>
        </w:rPr>
      </w:pPr>
    </w:p>
    <w:p>
      <w:pPr>
        <w:ind w:left="1960" w:right="140"/>
        <w:spacing w:after="0" w:line="282" w:lineRule="auto"/>
        <w:rPr>
          <w:sz w:val="20"/>
          <w:szCs w:val="20"/>
          <w:color w:val="auto"/>
        </w:rPr>
      </w:pPr>
      <w:r>
        <w:rPr>
          <w:rFonts w:ascii="Times New Roman" w:cs="Times New Roman" w:eastAsia="Times New Roman" w:hAnsi="Times New Roman"/>
          <w:sz w:val="18"/>
          <w:szCs w:val="18"/>
          <w:color w:val="auto"/>
        </w:rPr>
        <w:t>Based on Rule 13d-3 of the Act, each may be deemed to beneficially own the shares of Common Stock directly held by VGOL and VGOP.</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5.</w:t>
      </w:r>
      <w:r>
        <w:rPr>
          <w:sz w:val="20"/>
          <w:szCs w:val="20"/>
          <w:color w:val="auto"/>
        </w:rPr>
        <w:tab/>
      </w:r>
      <w:r>
        <w:rPr>
          <w:rFonts w:ascii="Times New Roman" w:cs="Times New Roman" w:eastAsia="Times New Roman" w:hAnsi="Times New Roman"/>
          <w:sz w:val="17"/>
          <w:szCs w:val="17"/>
          <w:u w:val="single" w:color="auto"/>
          <w:color w:val="auto"/>
        </w:rPr>
        <w:t>Ownership of Five Percent or Less of a Class.</w:t>
      </w:r>
    </w:p>
    <w:p>
      <w:pPr>
        <w:spacing w:after="0" w:line="225" w:lineRule="exact"/>
        <w:rPr>
          <w:sz w:val="20"/>
          <w:szCs w:val="20"/>
          <w:color w:val="auto"/>
        </w:rPr>
      </w:pPr>
    </w:p>
    <w:p>
      <w:pPr>
        <w:ind w:right="80" w:firstLine="1296"/>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6.</w:t>
      </w:r>
      <w:r>
        <w:rPr>
          <w:sz w:val="20"/>
          <w:szCs w:val="20"/>
          <w:color w:val="auto"/>
        </w:rPr>
        <w:tab/>
      </w:r>
      <w:r>
        <w:rPr>
          <w:rFonts w:ascii="Times New Roman" w:cs="Times New Roman" w:eastAsia="Times New Roman" w:hAnsi="Times New Roman"/>
          <w:sz w:val="17"/>
          <w:szCs w:val="17"/>
          <w:u w:val="single" w:color="auto"/>
          <w:color w:val="auto"/>
        </w:rPr>
        <w:t>Ownership of More than Five Percent on Behalf of Another Person.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7.</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8.</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Members of the Group.</w:t>
      </w:r>
    </w:p>
    <w:p>
      <w:pPr>
        <w:spacing w:after="0" w:line="225" w:lineRule="exact"/>
        <w:rPr>
          <w:sz w:val="20"/>
          <w:szCs w:val="20"/>
          <w:color w:val="auto"/>
        </w:rPr>
      </w:pPr>
    </w:p>
    <w:p>
      <w:pPr>
        <w:jc w:val="center"/>
        <w:ind w:right="7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9.</w:t>
      </w:r>
      <w:r>
        <w:rPr>
          <w:sz w:val="20"/>
          <w:szCs w:val="20"/>
          <w:color w:val="auto"/>
        </w:rPr>
        <w:tab/>
      </w:r>
      <w:r>
        <w:rPr>
          <w:rFonts w:ascii="Times New Roman" w:cs="Times New Roman" w:eastAsia="Times New Roman" w:hAnsi="Times New Roman"/>
          <w:sz w:val="18"/>
          <w:szCs w:val="18"/>
          <w:u w:val="single" w:color="auto"/>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10</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 xml:space="preserve">Certification. </w:t>
      </w:r>
      <w:r>
        <w:rPr>
          <w:rFonts w:ascii="Times New Roman" w:cs="Times New Roman" w:eastAsia="Times New Roman" w:hAnsi="Times New Roman"/>
          <w:sz w:val="17"/>
          <w:szCs w:val="17"/>
          <w:color w:val="auto"/>
        </w:rPr>
        <w:t>(if filing pursuant to Rule 13d-1(c))</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14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our knowledge and belief,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28, 2020</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O. ANDREAS HALVORSEN</w:t>
      </w:r>
    </w:p>
    <w:p>
      <w:pPr>
        <w:spacing w:after="0" w:line="27" w:lineRule="exact"/>
        <w:rPr>
          <w:sz w:val="20"/>
          <w:szCs w:val="20"/>
          <w:color w:val="auto"/>
        </w:rPr>
      </w:pPr>
    </w:p>
    <w:p>
      <w:pPr>
        <w:ind w:left="5200"/>
        <w:spacing w:after="0" w:line="252" w:lineRule="auto"/>
        <w:rPr>
          <w:sz w:val="20"/>
          <w:szCs w:val="20"/>
          <w:color w:val="auto"/>
        </w:rPr>
      </w:pPr>
      <w:r>
        <w:rPr>
          <w:rFonts w:ascii="Times New Roman" w:cs="Times New Roman" w:eastAsia="Times New Roman" w:hAnsi="Times New Roman"/>
          <w:sz w:val="18"/>
          <w:szCs w:val="18"/>
          <w:color w:val="auto"/>
        </w:rPr>
        <w:t>By: O. Andreas Halvorsen - individually and as an Executive Committee Member of VIKING GLOBAL PARTNERS LLC, on behalf of VIKING GLOBAL INVESTORS LP, and as an Executive Committee Member of VIKING GLOBAL OPPORTUNITIES GP LLC, on behalf of itself and VIKING GLOBAL OPPORTUNITIES PORTFOLIO GP LLC, VIKING GLOBAL OPPORTUNITIES LIQUID PORTFOLIO SUB-MASTER LP, and VIKING GLOBAL OPPORTUNITIES ILLIQUID INVESTMENTS SUB-MASTER LP</w:t>
      </w:r>
    </w:p>
    <w:p>
      <w:pPr>
        <w:spacing w:after="0" w:line="1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DAVID C. OTT</w:t>
      </w:r>
    </w:p>
    <w:p>
      <w:pPr>
        <w:spacing w:after="0" w:line="27" w:lineRule="exact"/>
        <w:rPr>
          <w:sz w:val="20"/>
          <w:szCs w:val="20"/>
          <w:color w:val="auto"/>
        </w:rPr>
      </w:pPr>
    </w:p>
    <w:p>
      <w:pPr>
        <w:ind w:left="5200"/>
        <w:spacing w:after="0" w:line="252" w:lineRule="auto"/>
        <w:rPr>
          <w:sz w:val="20"/>
          <w:szCs w:val="20"/>
          <w:color w:val="auto"/>
        </w:rPr>
      </w:pPr>
      <w:r>
        <w:rPr>
          <w:rFonts w:ascii="Times New Roman" w:cs="Times New Roman" w:eastAsia="Times New Roman" w:hAnsi="Times New Roman"/>
          <w:sz w:val="18"/>
          <w:szCs w:val="18"/>
          <w:color w:val="auto"/>
        </w:rPr>
        <w:t>By: David C. Ott - individually and as an Executive Committee Member of VIKING GLOBAL PARTNERS LLC, on behalf of VIKING GLOBAL INVESTORS LP, and as an Executive Committee Member of VIKING GLOBAL OPPORTUNITIES GP LLC, on behalf of itself and VIKING GLOBAL OPPORTUNITIES PORTFOLIO GP LLC, VIKING GLOBAL OPPORTUNITIES LIQUID PORTFOLIO SUB-MASTER LP, and VIKING GLOBAL OPPORTUNITIES ILLIQUID INVESTMENTS SUB-MASTER LP</w:t>
      </w:r>
    </w:p>
    <w:p>
      <w:pPr>
        <w:spacing w:after="0" w:line="1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ROSE S. SHABET</w:t>
      </w:r>
    </w:p>
    <w:p>
      <w:pPr>
        <w:spacing w:after="0" w:line="27" w:lineRule="exact"/>
        <w:rPr>
          <w:sz w:val="20"/>
          <w:szCs w:val="20"/>
          <w:color w:val="auto"/>
        </w:rPr>
      </w:pPr>
    </w:p>
    <w:p>
      <w:pPr>
        <w:ind w:left="5200"/>
        <w:spacing w:after="0" w:line="252" w:lineRule="auto"/>
        <w:rPr>
          <w:sz w:val="20"/>
          <w:szCs w:val="20"/>
          <w:color w:val="auto"/>
        </w:rPr>
      </w:pPr>
      <w:r>
        <w:rPr>
          <w:rFonts w:ascii="Times New Roman" w:cs="Times New Roman" w:eastAsia="Times New Roman" w:hAnsi="Times New Roman"/>
          <w:sz w:val="18"/>
          <w:szCs w:val="18"/>
          <w:color w:val="auto"/>
        </w:rPr>
        <w:t>By: Rose S. Shabet - individually and as an Executive Committee Member of VIKING GLOBAL PARTNERS LLC, on behalf of VIKING GLOBAL INVESTORS LP, and as an Executive Committee Member of VIKING GLOBAL OPPORTUNITIES GP LLC, on behalf of itself and VIKING GLOBAL OPPORTUNITIES PORTFOLIO GP LLC, VIKING GLOBAL OPPORTUNITIES LIQUID PORTFOLIO SUB-MASTER LP, and VIKING GLOBAL OPPORTUNITIES ILLIQUID INVESTMENTS SUB-MASTER LP</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15 of 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10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3F2DBA31"/>
    <w:multiLevelType w:val="hybridMultilevel"/>
    <w:lvl w:ilvl="0">
      <w:lvlJc w:val="left"/>
      <w:lvlText w:val="1"/>
      <w:numFmt w:val="bullet"/>
      <w:start w:val="1"/>
    </w:lvl>
  </w:abstractNum>
  <w:abstractNum w:abstractNumId="2">
    <w:nsid w:val="7C83E458"/>
    <w:multiLevelType w:val="hybridMultilevel"/>
    <w:lvl w:ilvl="0">
      <w:lvlJc w:val="left"/>
      <w:lvlText w:val="3"/>
      <w:numFmt w:val="bullet"/>
      <w:start w:val="1"/>
    </w:lvl>
  </w:abstractNum>
  <w:abstractNum w:abstractNumId="3">
    <w:nsid w:val="257130A3"/>
    <w:multiLevelType w:val="hybridMultilevel"/>
    <w:lvl w:ilvl="0">
      <w:lvlJc w:val="left"/>
      <w:lvlText w:val="4"/>
      <w:numFmt w:val="bullet"/>
      <w:start w:val="1"/>
    </w:lvl>
  </w:abstractNum>
  <w:abstractNum w:abstractNumId="4">
    <w:nsid w:val="62BBD95A"/>
    <w:multiLevelType w:val="hybridMultilevel"/>
    <w:lvl w:ilvl="0">
      <w:lvlJc w:val="left"/>
      <w:lvlText w:val="1"/>
      <w:numFmt w:val="bullet"/>
      <w:start w:val="1"/>
    </w:lvl>
  </w:abstractNum>
  <w:abstractNum w:abstractNumId="5">
    <w:nsid w:val="436C6125"/>
    <w:multiLevelType w:val="hybridMultilevel"/>
    <w:lvl w:ilvl="0">
      <w:lvlJc w:val="left"/>
      <w:lvlText w:val="3"/>
      <w:numFmt w:val="bullet"/>
      <w:start w:val="1"/>
    </w:lvl>
  </w:abstractNum>
  <w:abstractNum w:abstractNumId="6">
    <w:nsid w:val="628C895D"/>
    <w:multiLevelType w:val="hybridMultilevel"/>
    <w:lvl w:ilvl="0">
      <w:lvlJc w:val="left"/>
      <w:lvlText w:val="4"/>
      <w:numFmt w:val="bullet"/>
      <w:start w:val="1"/>
    </w:lvl>
  </w:abstractNum>
  <w:abstractNum w:abstractNumId="7">
    <w:nsid w:val="333AB105"/>
    <w:multiLevelType w:val="hybridMultilevel"/>
    <w:lvl w:ilvl="0">
      <w:lvlJc w:val="left"/>
      <w:lvlText w:val="1"/>
      <w:numFmt w:val="bullet"/>
      <w:start w:val="1"/>
    </w:lvl>
  </w:abstractNum>
  <w:abstractNum w:abstractNumId="8">
    <w:nsid w:val="721DA317"/>
    <w:multiLevelType w:val="hybridMultilevel"/>
    <w:lvl w:ilvl="0">
      <w:lvlJc w:val="left"/>
      <w:lvlText w:val="3"/>
      <w:numFmt w:val="bullet"/>
      <w:start w:val="1"/>
    </w:lvl>
  </w:abstractNum>
  <w:abstractNum w:abstractNumId="9">
    <w:nsid w:val="2443A858"/>
    <w:multiLevelType w:val="hybridMultilevel"/>
    <w:lvl w:ilvl="0">
      <w:lvlJc w:val="left"/>
      <w:lvlText w:val="4"/>
      <w:numFmt w:val="bullet"/>
      <w:start w:val="1"/>
    </w:lvl>
  </w:abstractNum>
  <w:abstractNum w:abstractNumId="10">
    <w:nsid w:val="2D1D5AE9"/>
    <w:multiLevelType w:val="hybridMultilevel"/>
    <w:lvl w:ilvl="0">
      <w:lvlJc w:val="left"/>
      <w:lvlText w:val="9"/>
      <w:numFmt w:val="bullet"/>
      <w:start w:val="1"/>
    </w:lvl>
  </w:abstractNum>
  <w:abstractNum w:abstractNumId="11">
    <w:nsid w:val="6763845E"/>
    <w:multiLevelType w:val="hybridMultilevel"/>
    <w:lvl w:ilvl="0">
      <w:lvlJc w:val="left"/>
      <w:lvlText w:val="*"/>
      <w:numFmt w:val="bullet"/>
      <w:start w:val="1"/>
    </w:lvl>
    <w:lvl w:ilvl="1">
      <w:lvlJc w:val="left"/>
      <w:lvlText w:val="%2"/>
      <w:numFmt w:val="decimal"/>
      <w:start w:val="10"/>
    </w:lvl>
  </w:abstractNum>
  <w:abstractNum w:abstractNumId="12">
    <w:nsid w:val="75A2A8D4"/>
    <w:multiLevelType w:val="hybridMultilevel"/>
    <w:lvl w:ilvl="0">
      <w:lvlJc w:val="left"/>
      <w:lvlText w:val="1"/>
      <w:numFmt w:val="bullet"/>
      <w:start w:val="1"/>
    </w:lvl>
  </w:abstractNum>
  <w:abstractNum w:abstractNumId="13">
    <w:nsid w:val="8EDBDAB"/>
    <w:multiLevelType w:val="hybridMultilevel"/>
    <w:lvl w:ilvl="0">
      <w:lvlJc w:val="left"/>
      <w:lvlText w:val="3"/>
      <w:numFmt w:val="bullet"/>
      <w:start w:val="1"/>
    </w:lvl>
  </w:abstractNum>
  <w:abstractNum w:abstractNumId="14">
    <w:nsid w:val="79838CB2"/>
    <w:multiLevelType w:val="hybridMultilevel"/>
    <w:lvl w:ilvl="0">
      <w:lvlJc w:val="left"/>
      <w:lvlText w:val="4"/>
      <w:numFmt w:val="bullet"/>
      <w:start w:val="1"/>
    </w:lvl>
  </w:abstractNum>
  <w:abstractNum w:abstractNumId="15">
    <w:nsid w:val="4353D0CD"/>
    <w:multiLevelType w:val="hybridMultilevel"/>
    <w:lvl w:ilvl="0">
      <w:lvlJc w:val="left"/>
      <w:lvlText w:val="1"/>
      <w:numFmt w:val="bullet"/>
      <w:start w:val="1"/>
    </w:lvl>
  </w:abstractNum>
  <w:abstractNum w:abstractNumId="16">
    <w:nsid w:val="B03E0C6"/>
    <w:multiLevelType w:val="hybridMultilevel"/>
    <w:lvl w:ilvl="0">
      <w:lvlJc w:val="left"/>
      <w:lvlText w:val="3"/>
      <w:numFmt w:val="bullet"/>
      <w:start w:val="1"/>
    </w:lvl>
  </w:abstractNum>
  <w:abstractNum w:abstractNumId="17">
    <w:nsid w:val="189A769B"/>
    <w:multiLevelType w:val="hybridMultilevel"/>
    <w:lvl w:ilvl="0">
      <w:lvlJc w:val="left"/>
      <w:lvlText w:val="4"/>
      <w:numFmt w:val="bullet"/>
      <w:start w:val="1"/>
    </w:lvl>
  </w:abstractNum>
  <w:abstractNum w:abstractNumId="18">
    <w:nsid w:val="54E49EB4"/>
    <w:multiLevelType w:val="hybridMultilevel"/>
    <w:lvl w:ilvl="0">
      <w:lvlJc w:val="left"/>
      <w:lvlText w:val="1"/>
      <w:numFmt w:val="bullet"/>
      <w:start w:val="1"/>
    </w:lvl>
  </w:abstractNum>
  <w:abstractNum w:abstractNumId="19">
    <w:nsid w:val="71F32454"/>
    <w:multiLevelType w:val="hybridMultilevel"/>
    <w:lvl w:ilvl="0">
      <w:lvlJc w:val="left"/>
      <w:lvlText w:val="3"/>
      <w:numFmt w:val="bullet"/>
      <w:start w:val="1"/>
    </w:lvl>
  </w:abstractNum>
  <w:abstractNum w:abstractNumId="20">
    <w:nsid w:val="2CA88611"/>
    <w:multiLevelType w:val="hybridMultilevel"/>
    <w:lvl w:ilvl="0">
      <w:lvlJc w:val="left"/>
      <w:lvlText w:val="4"/>
      <w:numFmt w:val="bullet"/>
      <w:start w:val="1"/>
    </w:lvl>
  </w:abstractNum>
  <w:abstractNum w:abstractNumId="21">
    <w:nsid w:val="836C40E"/>
    <w:multiLevelType w:val="hybridMultilevel"/>
    <w:lvl w:ilvl="0">
      <w:lvlJc w:val="left"/>
      <w:lvlText w:val="1"/>
      <w:numFmt w:val="bullet"/>
      <w:start w:val="1"/>
    </w:lvl>
  </w:abstractNum>
  <w:abstractNum w:abstractNumId="22">
    <w:nsid w:val="2901D82"/>
    <w:multiLevelType w:val="hybridMultilevel"/>
    <w:lvl w:ilvl="0">
      <w:lvlJc w:val="left"/>
      <w:lvlText w:val="3"/>
      <w:numFmt w:val="bullet"/>
      <w:start w:val="1"/>
    </w:lvl>
  </w:abstractNum>
  <w:abstractNum w:abstractNumId="23">
    <w:nsid w:val="3A95F874"/>
    <w:multiLevelType w:val="hybridMultilevel"/>
    <w:lvl w:ilvl="0">
      <w:lvlJc w:val="left"/>
      <w:lvlText w:val="4"/>
      <w:numFmt w:val="bullet"/>
      <w:start w:val="1"/>
    </w:lvl>
  </w:abstractNum>
  <w:abstractNum w:abstractNumId="24">
    <w:nsid w:val="8138641"/>
    <w:multiLevelType w:val="hybridMultilevel"/>
    <w:lvl w:ilvl="0">
      <w:lvlJc w:val="left"/>
      <w:lvlText w:val="1"/>
      <w:numFmt w:val="bullet"/>
      <w:start w:val="1"/>
    </w:lvl>
  </w:abstractNum>
  <w:abstractNum w:abstractNumId="25">
    <w:nsid w:val="1E7FF521"/>
    <w:multiLevelType w:val="hybridMultilevel"/>
    <w:lvl w:ilvl="0">
      <w:lvlJc w:val="left"/>
      <w:lvlText w:val="3"/>
      <w:numFmt w:val="bullet"/>
      <w:start w:val="1"/>
    </w:lvl>
  </w:abstractNum>
  <w:abstractNum w:abstractNumId="26">
    <w:nsid w:val="7C3DBD3D"/>
    <w:multiLevelType w:val="hybridMultilevel"/>
    <w:lvl w:ilvl="0">
      <w:lvlJc w:val="left"/>
      <w:lvlText w:val="4"/>
      <w:numFmt w:val="bullet"/>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5"/>
    </w:lvl>
  </w:abstractNum>
  <w:abstractNum w:abstractNumId="29">
    <w:nsid w:val="22221A70"/>
    <w:multiLevelType w:val="hybridMultilevel"/>
    <w:lvl w:ilvl="0">
      <w:lvlJc w:val="left"/>
      <w:lvlText w:val="(%1)"/>
      <w:numFmt w:val="lowerLetter"/>
      <w:start w:val="1"/>
    </w:lvl>
    <w:lvl w:ilvl="1">
      <w:lvlJc w:val="left"/>
      <w:lvlText w:val="(%2)"/>
      <w:numFmt w:val="lowerRoman"/>
      <w:start w:val="1"/>
    </w:lvl>
  </w:abstractNum>
  <w:abstractNum w:abstractNumId="30">
    <w:nsid w:val="4516DDE9"/>
    <w:multiLevelType w:val="hybridMultilevel"/>
    <w:lvl w:ilvl="0">
      <w:lvlJc w:val="left"/>
      <w:lvlText w:val="(%1)"/>
      <w:numFmt w:val="lowerLetter"/>
      <w:start w:val="1"/>
    </w:lvl>
    <w:lvl w:ilvl="1">
      <w:lvlJc w:val="left"/>
      <w:lvlText w:val="(%2)"/>
      <w:numFmt w:val="lowerRoman"/>
      <w:start w:val="1"/>
    </w:lvl>
  </w:abstractNum>
  <w:abstractNum w:abstractNumId="31">
    <w:nsid w:val="3006C83E"/>
    <w:multiLevelType w:val="hybridMultilevel"/>
    <w:lvl w:ilvl="0">
      <w:lvlJc w:val="left"/>
      <w:lvlText w:val="(%1)"/>
      <w:numFmt w:val="lowerLetter"/>
      <w:start w:val="1"/>
    </w:lvl>
    <w:lvl w:ilvl="1">
      <w:lvlJc w:val="left"/>
      <w:lvlText w:val="(%2)"/>
      <w:numFmt w:val="lowerRoman"/>
      <w:start w:val="1"/>
    </w:lvl>
  </w:abstractNum>
  <w:abstractNum w:abstractNumId="32">
    <w:nsid w:val="614FD4A1"/>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33">
    <w:nsid w:val="419AC241"/>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34">
    <w:nsid w:val="5577F8E1"/>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2020-09-28T16:33:22Z</dcterms:created>
  <dcterms:modified xsi:type="dcterms:W3CDTF">2020-09-28T16:33:22Z</dcterms:modified>
</cp:coreProperties>
</file>