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MILESON GLENNA</w:t>
              </w:r>
            </w:hyperlink>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Athira Pharma,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ATHA</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3"/>
            <w:vMerge w:val="restart"/>
          </w:tcPr>
          <w:p>
            <w:pPr>
              <w:spacing w:after="0"/>
              <w:rPr>
                <w:sz w:val="20"/>
                <w:szCs w:val="20"/>
                <w:color w:val="auto"/>
              </w:rPr>
            </w:pPr>
            <w:r>
              <w:rPr>
                <w:rFonts w:ascii="Arial" w:cs="Arial" w:eastAsia="Arial" w:hAnsi="Arial"/>
                <w:sz w:val="17"/>
                <w:szCs w:val="17"/>
                <w:color w:val="0000FF"/>
              </w:rPr>
              <w:t>C/O ATHIRA PHARMA, INC.</w:t>
            </w:r>
          </w:p>
        </w:tc>
        <w:tc>
          <w:tcPr>
            <w:tcW w:w="136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Arial" w:cs="Arial" w:eastAsia="Arial" w:hAnsi="Arial"/>
                <w:sz w:val="17"/>
                <w:szCs w:val="17"/>
                <w:color w:val="0000FF"/>
              </w:rPr>
              <w:t>01/04/2022</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3"/>
            <w:vMerge w:val="continue"/>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8"/>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BOTHELL</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WA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98011</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1"/>
                <w:szCs w:val="21"/>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0000FF"/>
              </w:rPr>
              <w:t>11/18/2021</w:t>
            </w:r>
            <w:r>
              <w:rPr>
                <w:rFonts w:ascii="Arial" w:cs="Arial" w:eastAsia="Arial" w:hAnsi="Arial"/>
                <w:sz w:val="21"/>
                <w:szCs w:val="21"/>
                <w:color w:val="008000"/>
                <w:vertAlign w:val="superscript"/>
              </w:rPr>
              <w:t>(2)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3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68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931</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12.51</w:t>
            </w:r>
            <w:r>
              <w:rPr>
                <w:rFonts w:ascii="Arial" w:cs="Arial" w:eastAsia="Arial" w:hAnsi="Arial"/>
                <w:sz w:val="21"/>
                <w:szCs w:val="21"/>
                <w:color w:val="008000"/>
                <w:w w:val="95"/>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90,755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jc w:val="right"/>
              <w:ind w:right="135"/>
              <w:spacing w:after="0"/>
              <w:rPr>
                <w:sz w:val="20"/>
                <w:szCs w:val="20"/>
                <w:color w:val="auto"/>
              </w:rPr>
            </w:pPr>
            <w:r>
              <w:rPr>
                <w:rFonts w:ascii="Arial" w:cs="Arial" w:eastAsia="Arial" w:hAnsi="Arial"/>
                <w:sz w:val="17"/>
                <w:szCs w:val="17"/>
                <w:color w:val="0000FF"/>
              </w:rPr>
              <w:t>01/04/2022</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0000FF"/>
              </w:rPr>
              <w:t>6,305</w:t>
            </w:r>
          </w:p>
        </w:tc>
        <w:tc>
          <w:tcPr>
            <w:tcW w:w="68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w:t>
            </w: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97,060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1.35</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6,305</w:t>
            </w:r>
          </w:p>
        </w:tc>
        <w:tc>
          <w:tcPr>
            <w:tcW w:w="5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12/17/2028</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6,305</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18, 2021 through November 18, 2021. This transaction is also exempt under Rule 16b-3(c).</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Purchase Period ended November 18, 2021 and is the Purchase Period comprising the Offering Period (as defined in the ESPP) that began May 18, 2021.</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ESPP, these shares were purchased based on 85% of the closing price on November 18, 2021.</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January 1, 2022.</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Glenna Mileson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01/06/2022</w:t>
            </w:r>
          </w:p>
        </w:tc>
      </w:tr>
      <w:tr>
        <w:trPr>
          <w:trHeight w:val="20"/>
        </w:trPr>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2241"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2022-01-06T16:10:04Z</dcterms:created>
  <dcterms:modified xsi:type="dcterms:W3CDTF">2022-01-06T16:10:04Z</dcterms:modified>
</cp:coreProperties>
</file>