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Athira Pharma, Inc.</w:t>
      </w:r>
    </w:p>
    <w:p>
      <w:pPr>
        <w:spacing w:after="0" w:line="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580" w:type="dxa"/>
        <w:tblCellMar>
          <w:top w:w="0" w:type="dxa"/>
          <w:left w:w="0" w:type="dxa"/>
          <w:bottom w:w="0" w:type="dxa"/>
          <w:right w:w="0" w:type="dxa"/>
        </w:tblCellMar>
      </w:tblPr>
      <w:tr>
        <w:trPr>
          <w:trHeight w:val="238"/>
        </w:trPr>
        <w:tc>
          <w:tcPr>
            <w:tcW w:w="2380" w:type="dxa"/>
            <w:vAlign w:val="bottom"/>
          </w:tcPr>
          <w:p>
            <w:pPr>
              <w:jc w:val="center"/>
              <w:ind w:right="6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2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rPr>
              <w:t>001-39503</w:t>
            </w:r>
          </w:p>
        </w:tc>
        <w:tc>
          <w:tcPr>
            <w:tcW w:w="2000" w:type="dxa"/>
            <w:vAlign w:val="bottom"/>
          </w:tcPr>
          <w:p>
            <w:pPr>
              <w:jc w:val="center"/>
              <w:ind w:left="782"/>
              <w:spacing w:after="0"/>
              <w:rPr>
                <w:sz w:val="20"/>
                <w:szCs w:val="20"/>
                <w:color w:val="auto"/>
              </w:rPr>
            </w:pPr>
            <w:r>
              <w:rPr>
                <w:rFonts w:ascii="Times New Roman" w:cs="Times New Roman" w:eastAsia="Times New Roman" w:hAnsi="Times New Roman"/>
                <w:sz w:val="18"/>
                <w:szCs w:val="18"/>
                <w:b w:val="1"/>
                <w:bCs w:val="1"/>
                <w:color w:val="auto"/>
                <w:w w:val="98"/>
              </w:rPr>
              <w:t>45-3368487</w:t>
            </w:r>
          </w:p>
        </w:tc>
      </w:tr>
      <w:tr>
        <w:trPr>
          <w:trHeight w:val="164"/>
        </w:trPr>
        <w:tc>
          <w:tcPr>
            <w:tcW w:w="2380" w:type="dxa"/>
            <w:vAlign w:val="bottom"/>
          </w:tcPr>
          <w:p>
            <w:pPr>
              <w:jc w:val="center"/>
              <w:ind w:right="66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420" w:type="dxa"/>
            <w:vAlign w:val="bottom"/>
          </w:tcPr>
          <w:p>
            <w:pPr>
              <w:ind w:left="222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000" w:type="dxa"/>
            <w:vAlign w:val="bottom"/>
          </w:tcPr>
          <w:p>
            <w:pPr>
              <w:jc w:val="center"/>
              <w:ind w:left="78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380" w:type="dxa"/>
            <w:vAlign w:val="bottom"/>
          </w:tcPr>
          <w:p>
            <w:pPr>
              <w:jc w:val="center"/>
              <w:ind w:right="6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420" w:type="dxa"/>
            <w:vAlign w:val="bottom"/>
          </w:tcPr>
          <w:p>
            <w:pPr>
              <w:ind w:left="22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000" w:type="dxa"/>
            <w:vAlign w:val="bottom"/>
          </w:tcPr>
          <w:p>
            <w:pPr>
              <w:jc w:val="center"/>
              <w:ind w:left="7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2380" w:type="dxa"/>
            <w:vAlign w:val="bottom"/>
          </w:tcPr>
          <w:p>
            <w:pPr>
              <w:spacing w:after="0"/>
              <w:rPr>
                <w:sz w:val="24"/>
                <w:szCs w:val="24"/>
                <w:color w:val="auto"/>
              </w:rPr>
            </w:pPr>
          </w:p>
        </w:tc>
        <w:tc>
          <w:tcPr>
            <w:tcW w:w="5420" w:type="dxa"/>
            <w:vAlign w:val="bottom"/>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18706 North Creek Parkway, Suite 104</w:t>
            </w:r>
          </w:p>
        </w:tc>
        <w:tc>
          <w:tcPr>
            <w:tcW w:w="2000" w:type="dxa"/>
            <w:vAlign w:val="bottom"/>
          </w:tcPr>
          <w:p>
            <w:pPr>
              <w:spacing w:after="0"/>
              <w:rPr>
                <w:sz w:val="24"/>
                <w:szCs w:val="24"/>
                <w:color w:val="auto"/>
              </w:rPr>
            </w:pPr>
          </w:p>
        </w:tc>
      </w:tr>
      <w:tr>
        <w:trPr>
          <w:trHeight w:val="214"/>
        </w:trPr>
        <w:tc>
          <w:tcPr>
            <w:tcW w:w="2380" w:type="dxa"/>
            <w:vAlign w:val="bottom"/>
          </w:tcPr>
          <w:p>
            <w:pPr>
              <w:spacing w:after="0"/>
              <w:rPr>
                <w:sz w:val="18"/>
                <w:szCs w:val="18"/>
                <w:color w:val="auto"/>
              </w:rPr>
            </w:pPr>
          </w:p>
        </w:tc>
        <w:tc>
          <w:tcPr>
            <w:tcW w:w="5420" w:type="dxa"/>
            <w:vAlign w:val="bottom"/>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Bothell, WA 98011</w:t>
            </w:r>
          </w:p>
        </w:tc>
        <w:tc>
          <w:tcPr>
            <w:tcW w:w="2000" w:type="dxa"/>
            <w:vAlign w:val="bottom"/>
          </w:tcPr>
          <w:p>
            <w:pPr>
              <w:spacing w:after="0"/>
              <w:rPr>
                <w:sz w:val="18"/>
                <w:szCs w:val="18"/>
                <w:color w:val="auto"/>
              </w:rPr>
            </w:pPr>
          </w:p>
        </w:tc>
      </w:tr>
      <w:tr>
        <w:trPr>
          <w:trHeight w:val="190"/>
        </w:trPr>
        <w:tc>
          <w:tcPr>
            <w:tcW w:w="2380" w:type="dxa"/>
            <w:vAlign w:val="bottom"/>
          </w:tcPr>
          <w:p>
            <w:pPr>
              <w:spacing w:after="0"/>
              <w:rPr>
                <w:sz w:val="16"/>
                <w:szCs w:val="16"/>
                <w:color w:val="auto"/>
              </w:rPr>
            </w:pPr>
          </w:p>
        </w:tc>
        <w:tc>
          <w:tcPr>
            <w:tcW w:w="54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000" w:type="dxa"/>
            <w:vAlign w:val="bottom"/>
          </w:tcPr>
          <w:p>
            <w:pPr>
              <w:spacing w:after="0"/>
              <w:rPr>
                <w:sz w:val="16"/>
                <w:szCs w:val="16"/>
                <w:color w:val="auto"/>
              </w:rPr>
            </w:pPr>
          </w:p>
        </w:tc>
      </w:tr>
      <w:tr>
        <w:trPr>
          <w:trHeight w:val="296"/>
        </w:trPr>
        <w:tc>
          <w:tcPr>
            <w:tcW w:w="2380" w:type="dxa"/>
            <w:vAlign w:val="bottom"/>
          </w:tcPr>
          <w:p>
            <w:pPr>
              <w:spacing w:after="0"/>
              <w:rPr>
                <w:sz w:val="24"/>
                <w:szCs w:val="24"/>
                <w:color w:val="auto"/>
              </w:rPr>
            </w:pPr>
          </w:p>
        </w:tc>
        <w:tc>
          <w:tcPr>
            <w:tcW w:w="5420" w:type="dxa"/>
            <w:vAlign w:val="bottom"/>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(425) 620-8501</w:t>
            </w:r>
          </w:p>
        </w:tc>
        <w:tc>
          <w:tcPr>
            <w:tcW w:w="2000" w:type="dxa"/>
            <w:vAlign w:val="bottom"/>
          </w:tcPr>
          <w:p>
            <w:pPr>
              <w:spacing w:after="0"/>
              <w:rPr>
                <w:sz w:val="24"/>
                <w:szCs w:val="24"/>
                <w:color w:val="auto"/>
              </w:rPr>
            </w:pPr>
          </w:p>
        </w:tc>
      </w:tr>
      <w:tr>
        <w:trPr>
          <w:trHeight w:val="190"/>
        </w:trPr>
        <w:tc>
          <w:tcPr>
            <w:tcW w:w="2380" w:type="dxa"/>
            <w:vAlign w:val="bottom"/>
          </w:tcPr>
          <w:p>
            <w:pPr>
              <w:spacing w:after="0"/>
              <w:rPr>
                <w:sz w:val="16"/>
                <w:szCs w:val="16"/>
                <w:color w:val="auto"/>
              </w:rPr>
            </w:pPr>
          </w:p>
        </w:tc>
        <w:tc>
          <w:tcPr>
            <w:tcW w:w="54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000" w:type="dxa"/>
            <w:vAlign w:val="bottom"/>
          </w:tcPr>
          <w:p>
            <w:pPr>
              <w:spacing w:after="0"/>
              <w:rPr>
                <w:sz w:val="16"/>
                <w:szCs w:val="16"/>
                <w:color w:val="auto"/>
              </w:rPr>
            </w:pPr>
          </w:p>
        </w:tc>
      </w:tr>
      <w:tr>
        <w:trPr>
          <w:trHeight w:val="229"/>
        </w:trPr>
        <w:tc>
          <w:tcPr>
            <w:tcW w:w="2380" w:type="dxa"/>
            <w:vAlign w:val="bottom"/>
          </w:tcPr>
          <w:p>
            <w:pPr>
              <w:spacing w:after="0"/>
              <w:rPr>
                <w:sz w:val="19"/>
                <w:szCs w:val="19"/>
                <w:color w:val="auto"/>
              </w:rPr>
            </w:pPr>
          </w:p>
        </w:tc>
        <w:tc>
          <w:tcPr>
            <w:tcW w:w="54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00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238125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40"/>
          </w:cols>
          <w:pgMar w:left="320" w:top="1334" w:right="439" w:bottom="1440" w:gutter="0" w:footer="0" w:header="0"/>
        </w:sectPr>
      </w:pPr>
    </w:p>
    <w:p>
      <w:pPr>
        <w:spacing w:after="0" w:line="11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5" w:lineRule="exact"/>
        <w:rPr>
          <w:sz w:val="24"/>
          <w:szCs w:val="24"/>
          <w:color w:val="auto"/>
        </w:rPr>
      </w:pPr>
    </w:p>
    <w:p>
      <w:pPr>
        <w:sectPr>
          <w:pgSz w:w="11900" w:h="16838" w:orient="portrait"/>
          <w:cols w:equalWidth="0" w:num="3">
            <w:col w:w="4340" w:space="720"/>
            <w:col w:w="2160" w:space="720"/>
            <w:col w:w="3200"/>
          </w:cols>
          <w:pgMar w:left="320" w:top="1334"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ATHA</w:t>
      </w:r>
    </w:p>
    <w:p>
      <w:pPr>
        <w:spacing w:after="0" w:line="20" w:lineRule="exact"/>
        <w:rPr>
          <w:sz w:val="24"/>
          <w:szCs w:val="24"/>
          <w:color w:val="auto"/>
        </w:rPr>
      </w:pPr>
      <w:r>
        <w:rPr>
          <w:sz w:val="24"/>
          <w:szCs w:val="24"/>
          <w:color w:val="auto"/>
        </w:rPr>
        <w:br w:type="column"/>
      </w:r>
    </w:p>
    <w:p>
      <w:pPr>
        <w:jc w:val="right"/>
        <w:ind w:right="860"/>
        <w:spacing w:after="0"/>
        <w:rPr>
          <w:sz w:val="20"/>
          <w:szCs w:val="20"/>
          <w:color w:val="auto"/>
        </w:rPr>
      </w:pPr>
      <w:r>
        <w:rPr>
          <w:rFonts w:ascii="Times New Roman" w:cs="Times New Roman" w:eastAsia="Times New Roman" w:hAnsi="Times New Roman"/>
          <w:sz w:val="16"/>
          <w:szCs w:val="16"/>
          <w:color w:val="auto"/>
        </w:rPr>
        <w:t>The Nasdaq Stock Market LLC</w:t>
      </w:r>
    </w:p>
    <w:p>
      <w:pPr>
        <w:jc w:val="right"/>
        <w:ind w:right="920"/>
        <w:spacing w:after="0"/>
        <w:rPr>
          <w:sz w:val="20"/>
          <w:szCs w:val="20"/>
          <w:color w:val="auto"/>
        </w:rPr>
      </w:pPr>
      <w:r>
        <w:rPr>
          <w:rFonts w:ascii="Times New Roman" w:cs="Times New Roman" w:eastAsia="Times New Roman" w:hAnsi="Times New Roman"/>
          <w:sz w:val="16"/>
          <w:szCs w:val="16"/>
          <w:color w:val="auto"/>
        </w:rPr>
        <w:t>(The Nasdaq Capital Market)</w:t>
      </w:r>
    </w:p>
    <w:p>
      <w:pPr>
        <w:spacing w:after="0" w:line="87" w:lineRule="exact"/>
        <w:rPr>
          <w:sz w:val="24"/>
          <w:szCs w:val="24"/>
          <w:color w:val="auto"/>
        </w:rPr>
      </w:pPr>
    </w:p>
    <w:p>
      <w:pPr>
        <w:sectPr>
          <w:pgSz w:w="11900" w:h="16838" w:orient="portrait"/>
          <w:cols w:equalWidth="0" w:num="3">
            <w:col w:w="4680" w:space="720"/>
            <w:col w:w="2120" w:space="720"/>
            <w:col w:w="2900"/>
          </w:cols>
          <w:pgMar w:left="320" w:top="1334" w:right="439" w:bottom="1440" w:gutter="0" w:footer="0" w:header="0"/>
          <w:type w:val="continuous"/>
        </w:sect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0"/>
        <w:spacing w:after="0" w:line="207" w:lineRule="exact"/>
        <w:tabs>
          <w:tab w:leader="none" w:pos="28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360" w:lineRule="exact"/>
        <w:rPr>
          <w:sz w:val="24"/>
          <w:szCs w:val="24"/>
          <w:color w:val="auto"/>
        </w:rPr>
      </w:pPr>
    </w:p>
    <w:p>
      <w:pPr>
        <w:ind w:left="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1744345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334" w:right="439" w:bottom="1440" w:gutter="0" w:footer="0" w:header="0"/>
          <w:type w:val="continuous"/>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To the extent required by Item 3.03 of Form 8-K, the information contained in Item 5.03 of this Current Report on Form 8-K is incorporated herein by reference.</w:t>
      </w:r>
    </w:p>
    <w:p>
      <w:pPr>
        <w:spacing w:after="0" w:line="15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September 10, 2025, the Company filed a certificate of amendment to the Company’s Amended and Restated Certificate of Incorporation (the “Certificate of Amendment”), with the Secretary of State of the State of Delaware to effect a 10-for-1 reverse stock split of the shares of the Company’s common stock, par value $0.0001 per share, effective as of 5:00 p.m., Eastern Time, on September 17, 2025 (the “Reverse Stock Split”). The total number of authorized shares of the Company’s common stock will be reduced from 900,000,000 to 90,000,000 and the total number of authorized shares of the Company’s capital stock will be reduced from 1,000,000,000 to 190,000,000. The common stock is expected to begin trading on a post-split basis on The Nasdaq Capital Market (“Nasdaq”) as of the open of trading on September 18, 2025, and the trading symbol will continue to be “ATHA”. In connection with the Reverse Stock Split, the CUSIP number for the common stock will be changed to 04746L203.</w:t>
      </w:r>
    </w:p>
    <w:p>
      <w:pPr>
        <w:spacing w:after="0" w:line="18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previously disclosed, the Company’s stockholders approved the Certificate of Amendment to effect the Reverse Stock Split at the Annual Meeting of Stockholders held on May 29, 2025 (the “Annual Meeting”). Following the Annual Meeting, the Board determined to effect the Reverse Stock Split at a ratio of 10-for-1.</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a result of the Reverse Stock Split, every ten (10) shares of the Company’s issued and outstanding common stock will be automatically combined into one issued and outstanding share of common stock, without any change in the par value per share. Any fractional shares that would otherwise be issuable as a result of the Reverse Stock Split will be paid out in cash. Proportional adjustments will be made to the number of shares of common stock issuable upon the exercise or settlement of the Company’s outstanding options and restricted stock units, and the number of shares authorized and reserved for issuance pursuant to the Company’s equity incentive plans.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Computershare Inc., the Company’s transfer agent, is acting as exchange agent for the Reverse Stock Split. Registered stockholders holding pre-split shares of common stock electronically in book-entry form are not required to take any action to receive post-split shares. Those stockholders who hold their shares in brokerage accounts or in “street name” will have their positions automatically adjusted to reflect the Reverse Stock Split, subject to each brokers’ particular processes, and will not be required to take any action in connection with the Reverse Stock Split.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set forth herein does not purport to be complete and is qualified in its entirety by reference to the full text of the Certificate of Amendment that effectuates the Reverse Stock Split, which is filed as Exhibit 3.1 to this Current Report on Form 8-K and is incorporated herein by reference. A copy of the press release announcing the Reverse Stock Split is filed as Exhibit 99.1 to this Current Report on Form 8-K and is incorporated herein by reference.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6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4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32"/>
        </w:trPr>
        <w:tc>
          <w:tcPr>
            <w:tcW w:w="16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8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640" w:type="dxa"/>
            <w:vAlign w:val="bottom"/>
          </w:tcPr>
          <w:p>
            <w:pPr>
              <w:jc w:val="center"/>
              <w:ind w:left="19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4"/>
                <w:szCs w:val="14"/>
                <w:color w:val="auto"/>
              </w:rPr>
            </w:pPr>
          </w:p>
        </w:tc>
        <w:tc>
          <w:tcPr>
            <w:tcW w:w="7740" w:type="dxa"/>
            <w:vAlign w:val="bottom"/>
            <w:tcBorders>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Certificate of Amendment to the Amended and Restated Certificate of Incorporation of Athira Pharma, Inc.</w:t>
            </w:r>
          </w:p>
        </w:tc>
        <w:tc>
          <w:tcPr>
            <w:tcW w:w="1580" w:type="dxa"/>
            <w:vAlign w:val="bottom"/>
          </w:tcPr>
          <w:p>
            <w:pPr>
              <w:spacing w:after="0"/>
              <w:rPr>
                <w:sz w:val="14"/>
                <w:szCs w:val="14"/>
                <w:color w:val="auto"/>
              </w:rPr>
            </w:pPr>
          </w:p>
        </w:tc>
      </w:tr>
      <w:tr>
        <w:trPr>
          <w:trHeight w:val="196"/>
        </w:trPr>
        <w:tc>
          <w:tcPr>
            <w:tcW w:w="164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17"/>
                <w:szCs w:val="17"/>
                <w:color w:val="auto"/>
              </w:rPr>
            </w:pPr>
          </w:p>
        </w:tc>
        <w:tc>
          <w:tcPr>
            <w:tcW w:w="43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Athira Pharma, Inc. press release dated September 11, 2025.</w:t>
            </w:r>
          </w:p>
        </w:tc>
        <w:tc>
          <w:tcPr>
            <w:tcW w:w="20" w:type="dxa"/>
            <w:vAlign w:val="bottom"/>
            <w:tcBorders>
              <w:bottom w:val="single" w:sz="8" w:color="0000EE"/>
            </w:tcBorders>
          </w:tcPr>
          <w:p>
            <w:pPr>
              <w:spacing w:after="0"/>
              <w:rPr>
                <w:sz w:val="17"/>
                <w:szCs w:val="17"/>
                <w:color w:val="auto"/>
              </w:rPr>
            </w:pPr>
          </w:p>
        </w:tc>
        <w:tc>
          <w:tcPr>
            <w:tcW w:w="4940" w:type="dxa"/>
            <w:vAlign w:val="bottom"/>
            <w:gridSpan w:val="2"/>
          </w:tcPr>
          <w:p>
            <w:pPr>
              <w:spacing w:after="0"/>
              <w:rPr>
                <w:sz w:val="17"/>
                <w:szCs w:val="17"/>
                <w:color w:val="auto"/>
              </w:rPr>
            </w:pPr>
          </w:p>
        </w:tc>
      </w:tr>
      <w:tr>
        <w:trPr>
          <w:trHeight w:val="237"/>
        </w:trPr>
        <w:tc>
          <w:tcPr>
            <w:tcW w:w="16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0"/>
                <w:szCs w:val="20"/>
                <w:color w:val="auto"/>
              </w:rPr>
            </w:pPr>
          </w:p>
        </w:tc>
        <w:tc>
          <w:tcPr>
            <w:tcW w:w="9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627"/>
        </w:trPr>
        <w:tc>
          <w:tcPr>
            <w:tcW w:w="1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Athira Pharma, Inc.</w:t>
            </w:r>
          </w:p>
        </w:tc>
      </w:tr>
      <w:tr>
        <w:trPr>
          <w:trHeight w:val="432"/>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Date: September 11, 2025</w:t>
            </w:r>
          </w:p>
        </w:tc>
        <w:tc>
          <w:tcPr>
            <w:tcW w:w="23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Mark Litton</w:t>
            </w:r>
          </w:p>
        </w:tc>
      </w:tr>
      <w:tr>
        <w:trPr>
          <w:trHeight w:val="191"/>
        </w:trPr>
        <w:tc>
          <w:tcPr>
            <w:tcW w:w="38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Mark Litton</w:t>
            </w:r>
          </w:p>
        </w:tc>
      </w:tr>
      <w:tr>
        <w:trPr>
          <w:trHeight w:val="234"/>
        </w:trPr>
        <w:tc>
          <w:tcPr>
            <w:tcW w:w="3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627"/>
        </w:trPr>
        <w:tc>
          <w:tcPr>
            <w:tcW w:w="388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CERTIFICATE OF AMENDMENT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THE</w:t>
      </w: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CERTIFICATE OF INCORPORATION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jc w:val="center"/>
        <w:spacing w:after="0"/>
        <w:rPr>
          <w:sz w:val="20"/>
          <w:szCs w:val="20"/>
          <w:color w:val="auto"/>
        </w:rPr>
      </w:pPr>
      <w:r>
        <w:rPr>
          <w:rFonts w:ascii="Times New Roman" w:cs="Times New Roman" w:eastAsia="Times New Roman" w:hAnsi="Times New Roman"/>
          <w:sz w:val="20"/>
          <w:szCs w:val="20"/>
          <w:b w:val="1"/>
          <w:bCs w:val="1"/>
          <w:color w:val="auto"/>
        </w:rPr>
        <w:t>ATHIRA PHARMA, INC.</w:t>
      </w:r>
    </w:p>
    <w:p>
      <w:pPr>
        <w:spacing w:after="0" w:line="190" w:lineRule="exact"/>
        <w:rPr>
          <w:sz w:val="20"/>
          <w:szCs w:val="20"/>
          <w:color w:val="auto"/>
        </w:rPr>
      </w:pPr>
    </w:p>
    <w:p>
      <w:pPr>
        <w:ind w:right="240" w:firstLine="749"/>
        <w:spacing w:after="0" w:line="273" w:lineRule="auto"/>
        <w:rPr>
          <w:sz w:val="20"/>
          <w:szCs w:val="20"/>
          <w:color w:val="auto"/>
        </w:rPr>
      </w:pPr>
      <w:r>
        <w:rPr>
          <w:rFonts w:ascii="Times New Roman" w:cs="Times New Roman" w:eastAsia="Times New Roman" w:hAnsi="Times New Roman"/>
          <w:sz w:val="20"/>
          <w:szCs w:val="20"/>
          <w:color w:val="auto"/>
        </w:rPr>
        <w:t>Athira Pharma, Inc., a corporation organized and existing under the laws of the State of Delaware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does hereby certify as follows:</w:t>
      </w:r>
    </w:p>
    <w:p>
      <w:pPr>
        <w:spacing w:after="0" w:line="169" w:lineRule="exact"/>
        <w:rPr>
          <w:sz w:val="20"/>
          <w:szCs w:val="20"/>
          <w:color w:val="auto"/>
        </w:rPr>
      </w:pPr>
    </w:p>
    <w:p>
      <w:pPr>
        <w:ind w:left="760" w:right="14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was originally incorporated under the name of M3 Biotechnology, Inc., and the original Certificate of Incorporation of the Company was filed with the Secretary of State of the State of Delaware on October 27, 2015.</w:t>
      </w:r>
    </w:p>
    <w:p>
      <w:pPr>
        <w:spacing w:after="0" w:line="172" w:lineRule="exact"/>
        <w:rPr>
          <w:rFonts w:ascii="Times New Roman" w:cs="Times New Roman" w:eastAsia="Times New Roman" w:hAnsi="Times New Roman"/>
          <w:sz w:val="20"/>
          <w:szCs w:val="20"/>
          <w:color w:val="auto"/>
        </w:rPr>
      </w:pPr>
    </w:p>
    <w:p>
      <w:pPr>
        <w:jc w:val="both"/>
        <w:ind w:left="780" w:right="160" w:hanging="368"/>
        <w:spacing w:after="0" w:line="254" w:lineRule="auto"/>
        <w:tabs>
          <w:tab w:leader="none" w:pos="7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of Amendment to the Amended and Restated Certificate of Incorporation of the Company, as amended, was duly adopted in accordance with Section 242 of the General Corporation Law of the State of Delaware by the Board of Directors of the Company (the “Board of Directors”) and the stockholders of the Company.</w:t>
      </w:r>
    </w:p>
    <w:p>
      <w:pPr>
        <w:spacing w:after="0" w:line="187" w:lineRule="exact"/>
        <w:rPr>
          <w:rFonts w:ascii="Times New Roman" w:cs="Times New Roman" w:eastAsia="Times New Roman" w:hAnsi="Times New Roman"/>
          <w:sz w:val="20"/>
          <w:szCs w:val="20"/>
          <w:color w:val="auto"/>
        </w:rPr>
      </w:pPr>
    </w:p>
    <w:p>
      <w:pPr>
        <w:ind w:left="800" w:right="80" w:hanging="373"/>
        <w:spacing w:after="0" w:line="269" w:lineRule="auto"/>
        <w:tabs>
          <w:tab w:leader="none" w:pos="800"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 of Article IV of the Amended and Restated Certificate of Incorporation of the Company, as amended, is hereby amended and restated in its entirety to read as follows:</w:t>
      </w:r>
    </w:p>
    <w:p>
      <w:pPr>
        <w:spacing w:after="0" w:line="168" w:lineRule="exact"/>
        <w:rPr>
          <w:rFonts w:ascii="Times New Roman" w:cs="Times New Roman" w:eastAsia="Times New Roman" w:hAnsi="Times New Roman"/>
          <w:sz w:val="20"/>
          <w:szCs w:val="20"/>
          <w:color w:val="auto"/>
        </w:rPr>
      </w:pPr>
    </w:p>
    <w:p>
      <w:pPr>
        <w:ind w:left="800"/>
        <w:spacing w:after="0" w:line="24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 Effective immediately upon the filing and effectiveness of this Certificate of Amendment (the “</w:t>
      </w:r>
      <w:r>
        <w:rPr>
          <w:rFonts w:ascii="Times New Roman" w:cs="Times New Roman" w:eastAsia="Times New Roman" w:hAnsi="Times New Roman"/>
          <w:sz w:val="20"/>
          <w:szCs w:val="20"/>
          <w:b w:val="1"/>
          <w:bCs w:val="1"/>
          <w:color w:val="auto"/>
        </w:rPr>
        <w:t>Effective Time</w:t>
      </w:r>
      <w:r>
        <w:rPr>
          <w:rFonts w:ascii="Times New Roman" w:cs="Times New Roman" w:eastAsia="Times New Roman" w:hAnsi="Times New Roman"/>
          <w:sz w:val="20"/>
          <w:szCs w:val="20"/>
          <w:color w:val="auto"/>
        </w:rPr>
        <w:t>”), each ten (10) shares of Common Stock of the Company, par value $0.0001 per share, that are issued and outstanding or held in treasury on the Effective Time shall be combined into one (1) validly issued, fully paid and non-assessable share of Common Stock of the Company, par value $0.0001 per share, subject to the treatment of fractional share interests as described below (the “</w:t>
      </w:r>
      <w:r>
        <w:rPr>
          <w:rFonts w:ascii="Times New Roman" w:cs="Times New Roman" w:eastAsia="Times New Roman" w:hAnsi="Times New Roman"/>
          <w:sz w:val="20"/>
          <w:szCs w:val="20"/>
          <w:b w:val="1"/>
          <w:bCs w:val="1"/>
          <w:color w:val="auto"/>
        </w:rPr>
        <w:t>Reverse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Stock Split</w:t>
      </w:r>
      <w:r>
        <w:rPr>
          <w:rFonts w:ascii="Times New Roman" w:cs="Times New Roman" w:eastAsia="Times New Roman" w:hAnsi="Times New Roman"/>
          <w:sz w:val="20"/>
          <w:szCs w:val="20"/>
          <w:color w:val="auto"/>
        </w:rPr>
        <w:t>”). No fractional shares shall be issued upon the Reverse Stock Split.</w:t>
      </w:r>
    </w:p>
    <w:p>
      <w:pPr>
        <w:spacing w:after="0" w:line="198" w:lineRule="exact"/>
        <w:rPr>
          <w:sz w:val="20"/>
          <w:szCs w:val="20"/>
          <w:color w:val="auto"/>
        </w:rPr>
      </w:pPr>
    </w:p>
    <w:p>
      <w:pPr>
        <w:ind w:left="800" w:right="120"/>
        <w:spacing w:after="0" w:line="274" w:lineRule="auto"/>
        <w:rPr>
          <w:sz w:val="20"/>
          <w:szCs w:val="20"/>
          <w:color w:val="auto"/>
        </w:rPr>
      </w:pPr>
      <w:r>
        <w:rPr>
          <w:rFonts w:ascii="Times New Roman" w:cs="Times New Roman" w:eastAsia="Times New Roman" w:hAnsi="Times New Roman"/>
          <w:sz w:val="19"/>
          <w:szCs w:val="19"/>
          <w:color w:val="auto"/>
        </w:rPr>
        <w:t>This Company is authorized to issue two classes of stock, to be designated, respectively, Common Stock and Preferred Stock. The total number of shares of stock that the Company shall have authority to issue is 190,000,000 shares, of which 90,000,000 shares are Common Stock, $0.0001 par value per share, and 100,000,000 shares are Preferred Stock, $0.0001 par value per share.”</w:t>
      </w:r>
    </w:p>
    <w:p>
      <w:pPr>
        <w:spacing w:after="0" w:line="170"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of Amendment shall become effective on September 17, 2025 at 5:00 PM Eastern Time.</w:t>
      </w:r>
    </w:p>
    <w:p>
      <w:pPr>
        <w:spacing w:after="0" w:line="18" w:lineRule="exact"/>
        <w:rPr>
          <w:rFonts w:ascii="Times New Roman" w:cs="Times New Roman" w:eastAsia="Times New Roman" w:hAnsi="Times New Roman"/>
          <w:sz w:val="20"/>
          <w:szCs w:val="20"/>
          <w:color w:val="auto"/>
        </w:rPr>
      </w:pPr>
    </w:p>
    <w:p>
      <w:pPr>
        <w:ind w:left="45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1106170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1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Company has caused this Certificate of Amendment to the Amended and Restated Certificate of Incorporation of the Company, as amended, to be signed by a duly authorized officer of the Company, on September 10, 2025.</w:t>
      </w:r>
    </w:p>
    <w:p>
      <w:pPr>
        <w:spacing w:after="0" w:line="17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20"/>
          <w:szCs w:val="20"/>
          <w:color w:val="auto"/>
        </w:rPr>
        <w:t>/s/ Mark Litton</w:t>
      </w:r>
    </w:p>
    <w:p>
      <w:pPr>
        <w:spacing w:after="0" w:line="22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20"/>
          <w:szCs w:val="20"/>
          <w:color w:val="auto"/>
        </w:rPr>
        <w:t>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-139700</wp:posOffset>
            </wp:positionV>
            <wp:extent cx="25971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1444625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6350</wp:posOffset>
            </wp:positionV>
            <wp:extent cx="1491615" cy="737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16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Athira Pharma Announces Reverse Stock Split</w:t>
      </w:r>
    </w:p>
    <w:p>
      <w:pPr>
        <w:spacing w:after="0" w:line="200" w:lineRule="exact"/>
        <w:rPr>
          <w:sz w:val="20"/>
          <w:szCs w:val="20"/>
          <w:color w:val="auto"/>
        </w:rPr>
      </w:pPr>
    </w:p>
    <w:p>
      <w:pPr>
        <w:spacing w:after="0" w:line="315"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BOTHELL, Wash., September 11, 2025 (GLOBE NEWSWIRE) -- Athira Pharma, Inc. (“Athira” or “Company”) (NASDAQ: ATHA), a clinical stage biopharmaceutical company focused on developing small molecules to restore neuronal health and slow neurodegeneration, today announced that it will effect a 10-for-1 reverse stock split of Athira’s issued and authorized common stock. Athira’s stockholders previously approved the reverse stock split and granted the board of directors the authority to determine the exact split ratio and when to proceed with the reverse stock split at the Company’s Annual Meeting of Stockholders held on May 29, 2025.</w:t>
      </w:r>
    </w:p>
    <w:p>
      <w:pPr>
        <w:spacing w:after="0" w:line="163"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reverse stock split will become effective on September 17, 2025 at 5:00 p.m., Eastern Time, (“Effective Time”) and Athira’s common stock is expected to begin trading on a split-adjusted basis on the Nasdaq Capital Market (“Nasdaq”) as of the open of trading on September 18, 2025 under the existing ticker symbol “ATHA”. The new CUSIP number for Athira’s common stock will be 04746L203. The reverse stock split is intended to increase the price per share of Athira's common stock to allow the Company to demonstrate compliance with the $1.00 minimum bid price requirement for continued listing on Nasdaq, to potentially improve the marketability and liquidity of the Company’s common stock and to appeal to a broader range of investors to generate greater investor interest in the Company.</w:t>
      </w:r>
    </w:p>
    <w:p>
      <w:pPr>
        <w:spacing w:after="0" w:line="16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of the Effective Time, every ten (10) shares of Athira’s issued and outstanding common stock will be combined into one issued and outstanding share of common stock, and the total number of authorized shares of Athira’s common stock will be reduced from 900,000,000 to 90,000,000. The par value per share of Athira’s common stock will remain unchanged at $0.0001. Proportional adjustments will be made to the exercise price and the number of shares of common stock issuable upon the exercise of the Company’s outstanding options, to the shares of common stock issuable upon the vesting of the Company’s outstanding restricted stock units, and to the number of shares authorized and reserved for issuance pursuant to Athira’s equity incentive plans. The total number of authorized shares of preferred stock will not be reduced and remains at 100,000,000 shares. Any fractional shares that would otherwise be issuable as a result of the reverse stock split will be paid out in cash.</w:t>
      </w:r>
    </w:p>
    <w:p>
      <w:pPr>
        <w:spacing w:after="0" w:line="16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Athira’s transfer agent, Computershare Inc., will serve as the exchange agent for the reverse stock split. Registered stockholders holding pre-split shares of Athira’s common stock electronically in book-entry form are not required to take any action to receive post-split shares. Those stockholders who hold their shares in brokerage accounts or in “street name” will have their positions automatically adjusted to reflect the reverse stock split, subject to each brokers’ particular processes, and will not be required to take any action in connection with the reverse stock split.</w:t>
      </w:r>
    </w:p>
    <w:p>
      <w:pPr>
        <w:spacing w:after="0" w:line="163"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Additional information about the reverse stock split is available in Athira’s definitive proxy statement filed with the Securities and Exchange Commission on April 14, 2025, a copy of which is available at www.sec.gov.</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Athira Pharma, Inc.</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Athira Pharma, Inc., headquartered in the Seattle, Washington area, is a clinical-stage biopharmaceutical company focused on developing small molecules to restore neuronal health and slow neurodegeneration. Athira aims to alter the course of neurological diseases by advancing its pipeline of drug candidates that modulate the neurotrophic HGF system. For more information, visit www.athira.com. You can also follow Athira on Facebook, LinkedIn, X and Instagram.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6350</wp:posOffset>
            </wp:positionV>
            <wp:extent cx="1491615" cy="737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16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This communication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the intended effects of the reverse stock split, including whether the reverse stock split will increase the price of the Company’s common stock and whether the Company will be able to maintain its listing on the Nasdaq Capital Market. Forward-looking statements generally include statements that are predictive in nature and depend upon or refer to future events or conditions, and include words such as “may,” “will,” “should,” “on track,” “would,” “expect,” “plan,” “believe,” “intend,” “pursue,” “continue,” “suggest,” “potential,” “target,” and similar expressions.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reverse stock split may not increase the price per share of the Company’s common stock to allow it to demonstrate compliance with the $1.00 minimum bid price requirement for continued listing on Nasdaq, the reverse stock split may not improve the marketability and liquidity of the Company’s common stock and it may fail to generate greater investor interest in the Company, as well as those risks and uncertainties which are detailed in Athira’s filings with the Securities and Exchange Commission from time to time.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Julie Rathbun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Athira Pharma</w:t>
      </w:r>
    </w:p>
    <w:p>
      <w:pPr>
        <w:spacing w:after="0" w:line="234" w:lineRule="auto"/>
        <w:rPr>
          <w:sz w:val="20"/>
          <w:szCs w:val="20"/>
          <w:color w:val="auto"/>
        </w:rPr>
      </w:pPr>
      <w:r>
        <w:rPr>
          <w:rFonts w:ascii="Arial" w:cs="Arial" w:eastAsia="Arial" w:hAnsi="Arial"/>
          <w:sz w:val="18"/>
          <w:szCs w:val="18"/>
          <w:color w:val="auto"/>
        </w:rPr>
        <w:t>Julie.rathbun@athira.com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206-769-9219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2025-09-11T08:07:53Z</dcterms:created>
  <dcterms:modified xsi:type="dcterms:W3CDTF">2025-09-11T08:07:53Z</dcterms:modified>
</cp:coreProperties>
</file>