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3185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Athira Files Definitive Proxy Statement and Mails Letter to Shareholders</w:t>
      </w:r>
    </w:p>
    <w:p>
      <w:pPr>
        <w:spacing w:after="0" w:line="227" w:lineRule="exact"/>
        <w:rPr>
          <w:sz w:val="20"/>
          <w:szCs w:val="20"/>
          <w:color w:val="auto"/>
        </w:rPr>
      </w:pPr>
    </w:p>
    <w:p>
      <w:pPr>
        <w:jc w:val="center"/>
        <w:ind w:lef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Urges shareholders to vote “FOR” Athira’s highly qualified, independent director nominees – Joseph Edelman, John M. Fluke, Jr. and Grant Pickering – on the </w:t>
      </w:r>
      <w:r>
        <w:rPr>
          <w:rFonts w:ascii="Times New Roman" w:cs="Times New Roman" w:eastAsia="Times New Roman" w:hAnsi="Times New Roman"/>
          <w:sz w:val="18"/>
          <w:szCs w:val="18"/>
          <w:i w:val="1"/>
          <w:iCs w:val="1"/>
          <w:u w:val="single" w:color="auto"/>
          <w:color w:val="auto"/>
        </w:rPr>
        <w:t>WHITE</w:t>
      </w:r>
      <w:r>
        <w:rPr>
          <w:rFonts w:ascii="Times New Roman" w:cs="Times New Roman" w:eastAsia="Times New Roman" w:hAnsi="Times New Roman"/>
          <w:sz w:val="18"/>
          <w:szCs w:val="18"/>
          <w:i w:val="1"/>
          <w:iCs w:val="1"/>
          <w:color w:val="auto"/>
        </w:rPr>
        <w:t xml:space="preserve"> proxy card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Highlights successful execution against strategy and strong positioning for the future</w:t>
      </w:r>
    </w:p>
    <w:p>
      <w:pPr>
        <w:spacing w:after="0" w:line="22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BOTHELL, WA, April 5,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Athira Pharma,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ATHA), a late clinical-stage biopharmaceutical company focused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small molecules to restore neuronal health and slow neurodegeneration, today announced that it has filed its definitive proxy statement with the Securities and Exchange Commission (“SEC”) for its upcoming Annual Meeting of Shareholders scheduled to be held on May 19, 2022. Shareholders of record as of March 21, 2022 will be entitled to vote at the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definitive proxy filing, Athira is mailing a letter to shareholders. Highlights of the letter include:</w:t>
      </w:r>
    </w:p>
    <w:p>
      <w:pPr>
        <w:spacing w:after="0" w:line="127" w:lineRule="exact"/>
        <w:rPr>
          <w:sz w:val="20"/>
          <w:szCs w:val="20"/>
          <w:color w:val="auto"/>
        </w:rPr>
      </w:pPr>
    </w:p>
    <w:p>
      <w:pPr>
        <w:ind w:left="960" w:right="1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Athira’s leadership team is </w:t>
      </w:r>
      <w:r>
        <w:rPr>
          <w:rFonts w:ascii="Times New Roman" w:cs="Times New Roman" w:eastAsia="Times New Roman" w:hAnsi="Times New Roman"/>
          <w:sz w:val="18"/>
          <w:szCs w:val="18"/>
          <w:b w:val="1"/>
          <w:bCs w:val="1"/>
          <w:color w:val="auto"/>
        </w:rPr>
        <w:t>executing effectively against the company’s strategic priorities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poised to report topline results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Phase 2 ACT-AD study </w:t>
      </w:r>
      <w:r>
        <w:rPr>
          <w:rFonts w:ascii="Times New Roman" w:cs="Times New Roman" w:eastAsia="Times New Roman" w:hAnsi="Times New Roman"/>
          <w:sz w:val="18"/>
          <w:szCs w:val="18"/>
          <w:color w:val="auto"/>
        </w:rPr>
        <w:t>by the end of the second quarter of 2022.</w:t>
      </w:r>
    </w:p>
    <w:p>
      <w:pPr>
        <w:spacing w:after="0" w:line="60" w:lineRule="exact"/>
        <w:rPr>
          <w:rFonts w:ascii="Times New Roman" w:cs="Times New Roman" w:eastAsia="Times New Roman" w:hAnsi="Times New Roman"/>
          <w:sz w:val="18"/>
          <w:szCs w:val="18"/>
          <w:color w:val="auto"/>
        </w:rPr>
      </w:pPr>
    </w:p>
    <w:p>
      <w:pPr>
        <w:ind w:left="960" w:right="18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 is </w:t>
      </w:r>
      <w:r>
        <w:rPr>
          <w:rFonts w:ascii="Times New Roman" w:cs="Times New Roman" w:eastAsia="Times New Roman" w:hAnsi="Times New Roman"/>
          <w:sz w:val="18"/>
          <w:szCs w:val="18"/>
          <w:b w:val="1"/>
          <w:bCs w:val="1"/>
          <w:color w:val="auto"/>
        </w:rPr>
        <w:t>well capitalized and advantageously positioned</w:t>
      </w:r>
      <w:r>
        <w:rPr>
          <w:rFonts w:ascii="Times New Roman" w:cs="Times New Roman" w:eastAsia="Times New Roman" w:hAnsi="Times New Roman"/>
          <w:sz w:val="18"/>
          <w:szCs w:val="18"/>
          <w:color w:val="auto"/>
        </w:rPr>
        <w:t xml:space="preserve"> to execute key objectives with cash on hand to fund the organization through multiple upcoming clinical milestones, including receipt of topline data for the ACT-AD, LIFT-AD and SHAPE trials.</w:t>
      </w:r>
    </w:p>
    <w:p>
      <w:pPr>
        <w:spacing w:after="0" w:line="60" w:lineRule="exact"/>
        <w:rPr>
          <w:rFonts w:ascii="Times New Roman" w:cs="Times New Roman" w:eastAsia="Times New Roman" w:hAnsi="Times New Roman"/>
          <w:sz w:val="18"/>
          <w:szCs w:val="18"/>
          <w:color w:val="auto"/>
        </w:rPr>
      </w:pPr>
    </w:p>
    <w:p>
      <w:pPr>
        <w:ind w:left="960" w:right="58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 has </w:t>
      </w:r>
      <w:r>
        <w:rPr>
          <w:rFonts w:ascii="Times New Roman" w:cs="Times New Roman" w:eastAsia="Times New Roman" w:hAnsi="Times New Roman"/>
          <w:sz w:val="18"/>
          <w:szCs w:val="18"/>
          <w:b w:val="1"/>
          <w:bCs w:val="1"/>
          <w:color w:val="auto"/>
        </w:rPr>
        <w:t>systematically and thoughtfully added experience and expertise</w:t>
      </w:r>
      <w:r>
        <w:rPr>
          <w:rFonts w:ascii="Times New Roman" w:cs="Times New Roman" w:eastAsia="Times New Roman" w:hAnsi="Times New Roman"/>
          <w:sz w:val="18"/>
          <w:szCs w:val="18"/>
          <w:color w:val="auto"/>
        </w:rPr>
        <w:t xml:space="preserve"> to its board in support of advancing its strategy. The company’s director nominees have the right skills and experience needed to support Athira at this critical time.</w:t>
      </w:r>
    </w:p>
    <w:p>
      <w:pPr>
        <w:spacing w:after="0" w:line="60" w:lineRule="exact"/>
        <w:rPr>
          <w:rFonts w:ascii="Times New Roman" w:cs="Times New Roman" w:eastAsia="Times New Roman" w:hAnsi="Times New Roman"/>
          <w:sz w:val="18"/>
          <w:szCs w:val="18"/>
          <w:color w:val="auto"/>
        </w:rPr>
      </w:pPr>
    </w:p>
    <w:p>
      <w:pPr>
        <w:ind w:left="960" w:right="10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Richard A. Kayne’s platform is misguided and unnecessarily disruptive, and he and his nominee would not add skills or expertise that are not already well represented by the company’s highly qualified, independent directors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0" w:right="100" w:hanging="424"/>
        <w:spacing w:after="0" w:line="276"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Athira has attempted to engage constructively with Mr. Kayne to reach an amicable resolution that would enable the board and leadership to direct their resources and focus on the execution of the company’s clinical trials, instead of a costly, distracting proxy contest.</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Mr. Kayne has rejected Athira’s attempts to find common ground</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7"/>
          <w:szCs w:val="17"/>
          <w:color w:val="auto"/>
        </w:rPr>
      </w:pPr>
    </w:p>
    <w:p>
      <w:pPr>
        <w:ind w:left="960" w:right="3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board of directors is confident that Athira has the right strategy and the right leadership team to continue positioning the company for success.</w:t>
      </w:r>
    </w:p>
    <w:p>
      <w:pPr>
        <w:sectPr>
          <w:pgSz w:w="11900" w:h="16838" w:orient="portrait"/>
          <w:cols w:equalWidth="0" w:num="1">
            <w:col w:w="10980"/>
          </w:cols>
          <w:pgMar w:left="440" w:top="144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full text of the letter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April 5, 2022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11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At our upcoming 2022 Annual Meeting of Shareholders on May 19, 2022, you will be asked to make an important decision regarding the future of your investment in Athira. One of our shareholders, Richard A. Kayne, has initiated a proxy contest to install himself and one other nominee on your board of directors. As you consider your vote, we would like to highlight the following:</w:t>
      </w:r>
    </w:p>
    <w:p>
      <w:pPr>
        <w:spacing w:after="0" w:line="77" w:lineRule="exact"/>
        <w:rPr>
          <w:sz w:val="20"/>
          <w:szCs w:val="20"/>
          <w:color w:val="auto"/>
        </w:rPr>
      </w:pPr>
    </w:p>
    <w:p>
      <w:pPr>
        <w:ind w:left="2080" w:right="60" w:hanging="545"/>
        <w:spacing w:after="0" w:line="286" w:lineRule="auto"/>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Athira’s leadership team is </w:t>
      </w:r>
      <w:r>
        <w:rPr>
          <w:rFonts w:ascii="Times New Roman" w:cs="Times New Roman" w:eastAsia="Times New Roman" w:hAnsi="Times New Roman"/>
          <w:sz w:val="18"/>
          <w:szCs w:val="18"/>
          <w:b w:val="1"/>
          <w:bCs w:val="1"/>
          <w:color w:val="auto"/>
        </w:rPr>
        <w:t>executing effectively against the company’s strategic priorities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poised to report topline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results from the Phase 2 ACT-AD study </w:t>
      </w:r>
      <w:r>
        <w:rPr>
          <w:rFonts w:ascii="Times New Roman" w:cs="Times New Roman" w:eastAsia="Times New Roman" w:hAnsi="Times New Roman"/>
          <w:sz w:val="18"/>
          <w:szCs w:val="18"/>
          <w:color w:val="auto"/>
        </w:rPr>
        <w:t>by the end of the second quarter of 2022.</w:t>
      </w:r>
    </w:p>
    <w:p>
      <w:pPr>
        <w:spacing w:after="0" w:line="60" w:lineRule="exact"/>
        <w:rPr>
          <w:rFonts w:ascii="Times New Roman" w:cs="Times New Roman" w:eastAsia="Times New Roman" w:hAnsi="Times New Roman"/>
          <w:sz w:val="18"/>
          <w:szCs w:val="18"/>
          <w:color w:val="auto"/>
        </w:rPr>
      </w:pPr>
    </w:p>
    <w:p>
      <w:pPr>
        <w:ind w:left="2080" w:right="220" w:hanging="545"/>
        <w:spacing w:after="0" w:line="268" w:lineRule="auto"/>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 is </w:t>
      </w:r>
      <w:r>
        <w:rPr>
          <w:rFonts w:ascii="Times New Roman" w:cs="Times New Roman" w:eastAsia="Times New Roman" w:hAnsi="Times New Roman"/>
          <w:sz w:val="18"/>
          <w:szCs w:val="18"/>
          <w:b w:val="1"/>
          <w:bCs w:val="1"/>
          <w:color w:val="auto"/>
        </w:rPr>
        <w:t>well capitalized and advantageously positioned</w:t>
      </w:r>
      <w:r>
        <w:rPr>
          <w:rFonts w:ascii="Times New Roman" w:cs="Times New Roman" w:eastAsia="Times New Roman" w:hAnsi="Times New Roman"/>
          <w:sz w:val="18"/>
          <w:szCs w:val="18"/>
          <w:color w:val="auto"/>
        </w:rPr>
        <w:t xml:space="preserve"> to execute key objectives with cash on hand to fund the organization through multiple upcoming clinical milestones, including receipt of topline data for our ACT-AD, LIFT-AD and SHAPE trials.</w:t>
      </w:r>
    </w:p>
    <w:p>
      <w:pPr>
        <w:spacing w:after="0" w:line="76" w:lineRule="exact"/>
        <w:rPr>
          <w:rFonts w:ascii="Times New Roman" w:cs="Times New Roman" w:eastAsia="Times New Roman" w:hAnsi="Times New Roman"/>
          <w:sz w:val="18"/>
          <w:szCs w:val="18"/>
          <w:color w:val="auto"/>
        </w:rPr>
      </w:pPr>
    </w:p>
    <w:p>
      <w:pPr>
        <w:ind w:left="2080" w:right="220" w:hanging="545"/>
        <w:spacing w:after="0" w:line="286" w:lineRule="auto"/>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 has </w:t>
      </w:r>
      <w:r>
        <w:rPr>
          <w:rFonts w:ascii="Times New Roman" w:cs="Times New Roman" w:eastAsia="Times New Roman" w:hAnsi="Times New Roman"/>
          <w:sz w:val="18"/>
          <w:szCs w:val="18"/>
          <w:b w:val="1"/>
          <w:bCs w:val="1"/>
          <w:color w:val="auto"/>
        </w:rPr>
        <w:t>systematically and thoughtfully added experience and expertise</w:t>
      </w:r>
      <w:r>
        <w:rPr>
          <w:rFonts w:ascii="Times New Roman" w:cs="Times New Roman" w:eastAsia="Times New Roman" w:hAnsi="Times New Roman"/>
          <w:sz w:val="18"/>
          <w:szCs w:val="18"/>
          <w:color w:val="auto"/>
        </w:rPr>
        <w:t xml:space="preserve"> to your board in support of advancing our strategy. Our director nominees have the right skills and experience needed to support Athira at this critical time.</w:t>
      </w:r>
    </w:p>
    <w:p>
      <w:pPr>
        <w:spacing w:after="0" w:line="60" w:lineRule="exact"/>
        <w:rPr>
          <w:rFonts w:ascii="Times New Roman" w:cs="Times New Roman" w:eastAsia="Times New Roman" w:hAnsi="Times New Roman"/>
          <w:sz w:val="18"/>
          <w:szCs w:val="18"/>
          <w:color w:val="auto"/>
        </w:rPr>
      </w:pPr>
    </w:p>
    <w:p>
      <w:pPr>
        <w:ind w:left="2080" w:right="320" w:hanging="545"/>
        <w:spacing w:after="0" w:line="286" w:lineRule="auto"/>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 Kayne’s platform is misguided and unnecessarily disruptive, and he and his nominee would not add skills or expertise that are not already well represented by our highly qualified, independent directors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2080" w:right="20" w:hanging="545"/>
        <w:spacing w:after="0" w:line="266" w:lineRule="auto"/>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 has attempted to engage constructively with Mr. Kayne to reach an amicable resolution that would enable the board and leadership to direct their resources and focus on the execution of our clinical trials, instead of a costly, distracting proxy contest. </w:t>
      </w:r>
      <w:r>
        <w:rPr>
          <w:rFonts w:ascii="Times New Roman" w:cs="Times New Roman" w:eastAsia="Times New Roman" w:hAnsi="Times New Roman"/>
          <w:sz w:val="18"/>
          <w:szCs w:val="18"/>
          <w:b w:val="1"/>
          <w:bCs w:val="1"/>
          <w:color w:val="auto"/>
        </w:rPr>
        <w:t>Mr. Kayne has rejected our attempts to find common ground</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2080" w:right="460" w:hanging="545"/>
        <w:spacing w:after="0" w:line="286" w:lineRule="auto"/>
        <w:tabs>
          <w:tab w:leader="none" w:pos="2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board of directors is confident that Athira has the right strategy and the right leadership team to continue positioning our company for success.</w:t>
      </w:r>
    </w:p>
    <w:p>
      <w:pPr>
        <w:spacing w:after="0" w:line="263" w:lineRule="exact"/>
        <w:rPr>
          <w:sz w:val="20"/>
          <w:szCs w:val="20"/>
          <w:color w:val="auto"/>
        </w:rPr>
      </w:pPr>
    </w:p>
    <w:p>
      <w:pPr>
        <w:ind w:left="44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urge you to support your board by voting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 “FOR” Athira’s highly qualified director nominees – Joseph Edelman, John M. Fluke, Jr. and Grant Pickering.</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IS ACHIEVING TARGET MILESTONES AND IS WELL-POSITIONED FOR THE FUTURE</w:t>
      </w:r>
    </w:p>
    <w:p>
      <w:pPr>
        <w:spacing w:after="0" w:line="121"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Our highest priority is advancing our lead drug candidate, fosgonimeton, through clinical trials and securing regulatory approval for the treatment of Alzheimer’s disease (AD), which impacts as many as 35 million people worldwide. Under the current leadership team, Athira is executing well and delivering against our target milestones.</w:t>
      </w:r>
    </w:p>
    <w:p>
      <w:pPr>
        <w:spacing w:after="0" w:line="64"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color w:val="auto"/>
        </w:rPr>
        <w:t xml:space="preserve">A few of our accomplishments are highlighted below. Most importantly, </w:t>
      </w:r>
      <w:r>
        <w:rPr>
          <w:rFonts w:ascii="Times New Roman" w:cs="Times New Roman" w:eastAsia="Times New Roman" w:hAnsi="Times New Roman"/>
          <w:sz w:val="18"/>
          <w:szCs w:val="18"/>
          <w:b w:val="1"/>
          <w:bCs w:val="1"/>
          <w:color w:val="auto"/>
        </w:rPr>
        <w:t>we are poised to report topline results from the Phase 2 ACT-AD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study by the end of the second quarter of 2022, which we anticipate will validate the compelling Phase 1b P300 latency results and provide important insight into the activity and safety of fosgonimeton.</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Fosgonimeton</w:t>
      </w:r>
    </w:p>
    <w:p>
      <w:pPr>
        <w:spacing w:after="0" w:line="135" w:lineRule="exact"/>
        <w:rPr>
          <w:sz w:val="20"/>
          <w:szCs w:val="20"/>
          <w:color w:val="auto"/>
        </w:rPr>
      </w:pPr>
    </w:p>
    <w:p>
      <w:pPr>
        <w:ind w:left="1640" w:right="80" w:hanging="545"/>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 open label extension of our LIFT-AD and ACT-AD trials to allow all eligible patients to receive treatment with fosgonimeton for up to an additional 26 weeks;</w:t>
      </w:r>
    </w:p>
    <w:p>
      <w:pPr>
        <w:spacing w:after="0" w:line="63" w:lineRule="exact"/>
        <w:rPr>
          <w:rFonts w:ascii="Times New Roman" w:cs="Times New Roman" w:eastAsia="Times New Roman" w:hAnsi="Times New Roman"/>
          <w:sz w:val="18"/>
          <w:szCs w:val="18"/>
          <w:color w:val="auto"/>
        </w:rPr>
      </w:pPr>
    </w:p>
    <w:p>
      <w:pPr>
        <w:ind w:left="1640" w:right="40" w:hanging="545"/>
        <w:spacing w:after="0" w:line="286"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Completed enrollment of 77 patients in our ACT-AD study in October 2021, </w:t>
      </w:r>
      <w:r>
        <w:rPr>
          <w:rFonts w:ascii="Times New Roman" w:cs="Times New Roman" w:eastAsia="Times New Roman" w:hAnsi="Times New Roman"/>
          <w:sz w:val="18"/>
          <w:szCs w:val="18"/>
          <w:b w:val="1"/>
          <w:bCs w:val="1"/>
          <w:color w:val="auto"/>
        </w:rPr>
        <w:t>with topline data expected by the end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second quarter of 2022;</w:t>
      </w:r>
    </w:p>
    <w:p>
      <w:pPr>
        <w:spacing w:after="0" w:line="64" w:lineRule="exact"/>
        <w:rPr>
          <w:rFonts w:ascii="Times New Roman" w:cs="Times New Roman" w:eastAsia="Times New Roman" w:hAnsi="Times New Roman"/>
          <w:sz w:val="18"/>
          <w:szCs w:val="18"/>
          <w:color w:val="auto"/>
        </w:rPr>
      </w:pPr>
    </w:p>
    <w:p>
      <w:pPr>
        <w:ind w:left="1640" w:right="400" w:hanging="545"/>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development strategy and baseline demographics to date from our LIFT- AD and ACT-AD trials at the 2021 Clinical Trials on Alzheimer’s Disease (CTAD) conference;</w:t>
      </w:r>
    </w:p>
    <w:p>
      <w:pPr>
        <w:spacing w:after="0" w:line="67" w:lineRule="exact"/>
        <w:rPr>
          <w:rFonts w:ascii="Times New Roman" w:cs="Times New Roman" w:eastAsia="Times New Roman" w:hAnsi="Times New Roman"/>
          <w:sz w:val="18"/>
          <w:szCs w:val="18"/>
          <w:color w:val="auto"/>
        </w:rPr>
      </w:pPr>
    </w:p>
    <w:p>
      <w:pPr>
        <w:ind w:left="1640" w:hanging="545"/>
        <w:spacing w:after="0" w:line="266"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above industry average enrollment in our LIFT-AD Phase 3 study, and opportunistically increased the sample size to strengthen statistical power of co-key secondary endpoints and enhance the potential for a single pivotal clinical study, with full enrollment expected in the third quarter of 2022;</w:t>
      </w:r>
    </w:p>
    <w:p>
      <w:pPr>
        <w:spacing w:after="0" w:line="81" w:lineRule="exact"/>
        <w:rPr>
          <w:rFonts w:ascii="Times New Roman" w:cs="Times New Roman" w:eastAsia="Times New Roman" w:hAnsi="Times New Roman"/>
          <w:sz w:val="18"/>
          <w:szCs w:val="18"/>
          <w:color w:val="auto"/>
        </w:rPr>
      </w:pPr>
    </w:p>
    <w:p>
      <w:pPr>
        <w:ind w:left="1640" w:right="120" w:hanging="545"/>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patient in our SHAPE Phase 2 clinical trial of fosgonimeton in Parkinson’s disease dementia and Dementia with Lewy bodies;</w:t>
      </w:r>
    </w:p>
    <w:p>
      <w:pPr>
        <w:spacing w:after="0" w:line="67" w:lineRule="exact"/>
        <w:rPr>
          <w:rFonts w:ascii="Times New Roman" w:cs="Times New Roman" w:eastAsia="Times New Roman" w:hAnsi="Times New Roman"/>
          <w:sz w:val="18"/>
          <w:szCs w:val="18"/>
          <w:color w:val="auto"/>
        </w:rPr>
      </w:pPr>
    </w:p>
    <w:p>
      <w:pPr>
        <w:ind w:left="1640" w:right="260" w:hanging="545"/>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results from our Phase 1 clinical trial of fosgonimeton in healthy volunteers and subjects with AD in the peer-reviewed </w:t>
      </w:r>
      <w:r>
        <w:rPr>
          <w:rFonts w:ascii="Times New Roman" w:cs="Times New Roman" w:eastAsia="Times New Roman" w:hAnsi="Times New Roman"/>
          <w:sz w:val="18"/>
          <w:szCs w:val="18"/>
          <w:i w:val="1"/>
          <w:iCs w:val="1"/>
          <w:color w:val="auto"/>
        </w:rPr>
        <w:t>Journal of Alzheimer’s Disease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640" w:right="500" w:hanging="545"/>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preclinical data that demonstrated that the mechanism of action of the active metabolite of fosgonimeton is through positive modulation of HGF/MET and resulted in neurotrophic and procognitive effects; and</w:t>
      </w:r>
    </w:p>
    <w:p>
      <w:pPr>
        <w:spacing w:after="0" w:line="67" w:lineRule="exact"/>
        <w:rPr>
          <w:rFonts w:ascii="Times New Roman" w:cs="Times New Roman" w:eastAsia="Times New Roman" w:hAnsi="Times New Roman"/>
          <w:sz w:val="18"/>
          <w:szCs w:val="18"/>
          <w:color w:val="auto"/>
        </w:rPr>
      </w:pPr>
    </w:p>
    <w:p>
      <w:pPr>
        <w:ind w:left="1640" w:right="80" w:hanging="545"/>
        <w:spacing w:after="0" w:line="261"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baseline Event Related Potential (ERP) P300 latency data from our ACT-AD study at the AD/PD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conference that showed that the study patient population enrolled in the Phase 2 trial is representative of the mild-to-moderate AD population and is appropriate to evaluate the effects of fosgonimeton on ERP P300 latency, a functional, objective measure of working memory processing speed.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35" w:lineRule="exact"/>
        <w:rPr>
          <w:sz w:val="20"/>
          <w:szCs w:val="20"/>
          <w:color w:val="auto"/>
        </w:rPr>
      </w:pPr>
    </w:p>
    <w:p>
      <w:pPr>
        <w:ind w:left="1640" w:right="80" w:hanging="545"/>
        <w:spacing w:after="0" w:line="312" w:lineRule="auto"/>
        <w:tabs>
          <w:tab w:leader="none" w:pos="1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Launched a Phase 1 clinical trial for ATH-1020, our novel, orally available, brain-penetrant small molecule, after receiving U.S. Food and Drug Administration clearance for the Investigational New Drug application in January 2022; and</w:t>
      </w:r>
    </w:p>
    <w:p>
      <w:pPr>
        <w:spacing w:after="0" w:line="45" w:lineRule="exact"/>
        <w:rPr>
          <w:rFonts w:ascii="Times New Roman" w:cs="Times New Roman" w:eastAsia="Times New Roman" w:hAnsi="Times New Roman"/>
          <w:sz w:val="17"/>
          <w:szCs w:val="17"/>
          <w:color w:val="auto"/>
        </w:rPr>
      </w:pPr>
    </w:p>
    <w:p>
      <w:pPr>
        <w:ind w:left="1640" w:right="140" w:hanging="545"/>
        <w:spacing w:after="0" w:line="261"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preclinical data at the American Society for Experimental Neurotherapeutics (ASENT) showing that ATH-1020 demonstrated neuroprotective effects, mitigated depression-like behaviors and rescued mismatch negativity response, a translatable measure of event-related potential that shows consistent and robust deficits in both rodent models and schizophrenia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confident that we have the right strategy and leadership team to position fosgonimeton for success.</w:t>
      </w:r>
    </w:p>
    <w:p>
      <w:pPr>
        <w:spacing w:after="0" w:line="200" w:lineRule="exact"/>
        <w:rPr>
          <w:sz w:val="20"/>
          <w:szCs w:val="20"/>
          <w:color w:val="auto"/>
        </w:rPr>
      </w:pPr>
    </w:p>
    <w:p>
      <w:pPr>
        <w:spacing w:after="0" w:line="24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ATHIRA’S NOMINEES HAVE THE SKILLS NEEDED AT THIS CRITICAL TIME</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We are committed to maintaining a best-in-class board with the right mix of skills and experience to support our business’s evolving needs. The directors up for election at the 2022 Annual Meeting – </w:t>
      </w:r>
      <w:r>
        <w:rPr>
          <w:rFonts w:ascii="Times New Roman" w:cs="Times New Roman" w:eastAsia="Times New Roman" w:hAnsi="Times New Roman"/>
          <w:sz w:val="18"/>
          <w:szCs w:val="18"/>
          <w:b w:val="1"/>
          <w:bCs w:val="1"/>
          <w:color w:val="auto"/>
        </w:rPr>
        <w:t>Messrs. Edelman, Fluke and Pickering</w:t>
      </w:r>
      <w:r>
        <w:rPr>
          <w:rFonts w:ascii="Times New Roman" w:cs="Times New Roman" w:eastAsia="Times New Roman" w:hAnsi="Times New Roman"/>
          <w:sz w:val="18"/>
          <w:szCs w:val="18"/>
          <w:color w:val="auto"/>
        </w:rPr>
        <w:t xml:space="preserve"> – have the expertise that Athira needs for this important, pivotal chapter.</w:t>
      </w:r>
    </w:p>
    <w:p>
      <w:pPr>
        <w:sectPr>
          <w:pgSz w:w="11900" w:h="16838" w:orient="portrait"/>
          <w:cols w:equalWidth="0" w:num="1">
            <w:col w:w="10560"/>
          </w:cols>
          <w:pgMar w:left="880" w:top="266" w:right="459" w:bottom="1440" w:gutter="0" w:footer="0" w:header="0"/>
        </w:sectPr>
      </w:pPr>
    </w:p>
    <w:bookmarkStart w:id="4" w:name="page5"/>
    <w:bookmarkEnd w:id="4"/>
    <w:p>
      <w:pPr>
        <w:ind w:left="1640" w:right="280" w:hanging="545"/>
        <w:spacing w:after="0" w:line="262"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Mr. Edelman </w:t>
      </w:r>
      <w:r>
        <w:rPr>
          <w:rFonts w:ascii="Times New Roman" w:cs="Times New Roman" w:eastAsia="Times New Roman" w:hAnsi="Times New Roman"/>
          <w:sz w:val="18"/>
          <w:szCs w:val="18"/>
          <w:color w:val="auto"/>
        </w:rPr>
        <w:t>is the Founder, Chief Executive Officer and Portfolio Manager of Perceptive Advisors, a life-sciences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investment firm. Since founding Perceptive in 1999, Mr. Edelman has grown its assets under management from $6 million to approximately $9.5 billion. Mr. Edelman’s experience as an investor and advisor to biotech companies for over two decades has been invaluable to the board.</w:t>
      </w:r>
    </w:p>
    <w:p>
      <w:pPr>
        <w:spacing w:after="0" w:line="81" w:lineRule="exact"/>
        <w:rPr>
          <w:rFonts w:ascii="Times New Roman" w:cs="Times New Roman" w:eastAsia="Times New Roman" w:hAnsi="Times New Roman"/>
          <w:sz w:val="18"/>
          <w:szCs w:val="18"/>
          <w:color w:val="auto"/>
        </w:rPr>
      </w:pPr>
    </w:p>
    <w:p>
      <w:pPr>
        <w:ind w:left="1640" w:right="280" w:hanging="545"/>
        <w:spacing w:after="0" w:line="259"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 Fluke’s </w:t>
      </w:r>
      <w:r>
        <w:rPr>
          <w:rFonts w:ascii="Times New Roman" w:cs="Times New Roman" w:eastAsia="Times New Roman" w:hAnsi="Times New Roman"/>
          <w:sz w:val="18"/>
          <w:szCs w:val="18"/>
          <w:color w:val="auto"/>
        </w:rPr>
        <w:t>extensive leadership experience and background as an investor in many successful companies has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translated into meaningful contributions to Athira’s board over time. He is the Founder and Chair of the investment firm Fluke Capital Management, L.P., and previously served as Chair and CEO of John Fluke Manufacturing Co. He has significant board experience, having served on the boards of PACCAR Inc., CellCyte Genetics Corporation, Cell Therapeutics, Primus International and American Seafoods Group.</w:t>
      </w:r>
    </w:p>
    <w:p>
      <w:pPr>
        <w:spacing w:after="0" w:line="84" w:lineRule="exact"/>
        <w:rPr>
          <w:rFonts w:ascii="Times New Roman" w:cs="Times New Roman" w:eastAsia="Times New Roman" w:hAnsi="Times New Roman"/>
          <w:sz w:val="18"/>
          <w:szCs w:val="18"/>
          <w:color w:val="auto"/>
        </w:rPr>
      </w:pPr>
    </w:p>
    <w:p>
      <w:pPr>
        <w:ind w:left="1640" w:right="140" w:hanging="545"/>
        <w:spacing w:after="0" w:line="259"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 Pickering </w:t>
      </w:r>
      <w:r>
        <w:rPr>
          <w:rFonts w:ascii="Times New Roman" w:cs="Times New Roman" w:eastAsia="Times New Roman" w:hAnsi="Times New Roman"/>
          <w:sz w:val="18"/>
          <w:szCs w:val="18"/>
          <w:color w:val="auto"/>
        </w:rPr>
        <w:t>has more than 30 years of experience across vaccines and immunotherapeutic drug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and has led the successful formation and financing of multiple platform companies, including Vaxcyte, Inc., a vaccine innovation company, which he co-founded and where he currently serves as CEO. As one example of our continued engagement with Mr. Kayne, we added Mr. Pickering to the board in January 2022 after he was identified to us by Mr. Kayne.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Mr. Pickering, we have appointed two independent directors over the last year who provide the expertise that we need at this time:</w:t>
      </w:r>
    </w:p>
    <w:p>
      <w:pPr>
        <w:spacing w:after="0" w:line="127" w:lineRule="exact"/>
        <w:rPr>
          <w:sz w:val="20"/>
          <w:szCs w:val="20"/>
          <w:color w:val="auto"/>
        </w:rPr>
      </w:pPr>
    </w:p>
    <w:p>
      <w:pPr>
        <w:ind w:left="1640" w:right="240" w:hanging="545"/>
        <w:spacing w:after="0" w:line="268"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Michael Panzara, M.D., MPH </w:t>
      </w:r>
      <w:r>
        <w:rPr>
          <w:rFonts w:ascii="Times New Roman" w:cs="Times New Roman" w:eastAsia="Times New Roman" w:hAnsi="Times New Roman"/>
          <w:sz w:val="18"/>
          <w:szCs w:val="18"/>
          <w:color w:val="auto"/>
        </w:rPr>
        <w:t>is a recognized and experienced leader in the development and commercialization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first-in-class neurology drugs who has more than 20 years of experience developing therapies for neurological disorders, including in leadership roles at Sanofi Genzyme and Biogen.</w:t>
      </w:r>
    </w:p>
    <w:p>
      <w:pPr>
        <w:spacing w:after="0" w:line="76" w:lineRule="exact"/>
        <w:rPr>
          <w:rFonts w:ascii="Times New Roman" w:cs="Times New Roman" w:eastAsia="Times New Roman" w:hAnsi="Times New Roman"/>
          <w:sz w:val="18"/>
          <w:szCs w:val="18"/>
          <w:color w:val="auto"/>
        </w:rPr>
      </w:pPr>
    </w:p>
    <w:p>
      <w:pPr>
        <w:jc w:val="both"/>
        <w:ind w:left="1640" w:right="580" w:hanging="545"/>
        <w:spacing w:after="0" w:line="268"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Barbara Kosacz </w:t>
      </w:r>
      <w:r>
        <w:rPr>
          <w:rFonts w:ascii="Times New Roman" w:cs="Times New Roman" w:eastAsia="Times New Roman" w:hAnsi="Times New Roman"/>
          <w:sz w:val="18"/>
          <w:szCs w:val="18"/>
          <w:color w:val="auto"/>
        </w:rPr>
        <w:t>has a wealth of legal experience counseling biopharma clients as a former Partner and Head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Life Sciences Practice at Cooley LLP, a leading international law firm, and in her current role as Chief Operating Officer and General Counsel of Kronos Bio.</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Together, Athira’s directors bring significant experience and expertise in clinical development, the regulatory approval process, drug commercialization, finance and financial planning, capital allocation, business development, legal and risk management, and investment management. We remain committed to continuing to build on the deep industry, R&amp;D and commercialization expertise of the board and leadership team.</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Given the breadth of experience represented on Athira’s board, Messrs. Kayne and Bickerstaff would not add additional skills or diversity to our board. Their stated skillsets are already well represented among our directors.</w:t>
      </w:r>
    </w:p>
    <w:p>
      <w:pPr>
        <w:spacing w:after="0" w:line="3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ATHIRA IS LOOKING TO THE FUTURE AND FOCUSED ON DELIVERING FOR SHAREHOLDERS;</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MR. KAYNE IS STUCK IN THE PAST</w:t>
      </w:r>
    </w:p>
    <w:p>
      <w:pPr>
        <w:spacing w:after="0" w:line="9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board welcomes constructive input from all shareholders and has engaged extensively with Mr. Kayne. We have proposed a number of potential pathways to Mr. Kayne that would enable us to resolve our disagreements without a costly and distracting proxy contest.</w:t>
      </w:r>
    </w:p>
    <w:p>
      <w:pPr>
        <w:sectPr>
          <w:pgSz w:w="11900" w:h="16838" w:orient="portrait"/>
          <w:cols w:equalWidth="0" w:num="1">
            <w:col w:w="10560"/>
          </w:cols>
          <w:pgMar w:left="880" w:top="266" w:right="459" w:bottom="1440" w:gutter="0" w:footer="0" w:header="0"/>
        </w:sectPr>
      </w:pPr>
    </w:p>
    <w:bookmarkStart w:id="5" w:name="page6"/>
    <w:bookmarkEnd w:id="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Instead of looking forward, Mr. Kayne has pushed Athira to resume a formal relationship with his current business partner and the company’s former CEO, Leen Kawas, Ph.D. Dr. Kawas resigned as CEO and stepped down from the board in October 2021 after an investigation, led by an independent board committee, found that she altered images in her 2011 doctoral dissertation and in at least four research papers that she co-authored while a graduate student at Washington State University (WSU). WSU has also undertaken a review of these claims of research misconduct. We cannot predict when WSU’s investigation will be completed or what conclusions WSU will reach. The board believes that ending Dr. Kawas’s relationship with Athira was and remains in the best interests of Athira and our shareholders.</w:t>
      </w:r>
    </w:p>
    <w:p>
      <w:pPr>
        <w:spacing w:after="0" w:line="7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Athira is now led by Mark Litton, Ph.D., M.B.A. Dr. Litton has over 25 years of experience in the biopharmaceutical industry, serving in C-suite roles at three publicly traded companies. Prior to his appointment as our President and Chief Executive Officer and as a director, Dr. Litton carried out the day-to-day responsibilities of President and CEO of Athira since June 2021, and served as our Chief Operating Officer since July 2019.</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Contrary to Mr. Kayne’s assertions on stock price performance under current leadership, from the day that Dr. Kawas resigned and Dr. Litton was appointed CEO (October 21, 2021) through the day that Athira filed its preliminary proxy statement publicly disclosing Mr. Kayne’s director nominations (March 25, 2022), our stock price increased by approximately 32%, while the SPDR S&amp;P Biotech ETF (XBI) index decreased by approximately 28%.</w:t>
      </w:r>
    </w:p>
    <w:p>
      <w:pPr>
        <w:spacing w:after="0" w:line="39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PROTECT THE VALUE OF YOUR INVESTMENT</w:t>
      </w:r>
    </w:p>
    <w:p>
      <w:pPr>
        <w:spacing w:after="0" w:line="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 xml:space="preserve">VOTE “FOR” ATHIRA’S THREE NOMINEES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w:t>
      </w:r>
    </w:p>
    <w:p>
      <w:pPr>
        <w:spacing w:after="0" w:line="9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board and leadership team are focused on doing what is right for Athira, our shareholders and our patients and their caregivers. We look forward to continuing to engage with you as we work to advance fosgonimeton through clinical trials and ultimately bring this potentially transformative medicine to patients.</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Your vote at the Annual Meeting is especially important. Whether or not you attend the Annual Meeting, it is important that your shares be represented and voted. </w:t>
      </w:r>
      <w:r>
        <w:rPr>
          <w:rFonts w:ascii="Times New Roman" w:cs="Times New Roman" w:eastAsia="Times New Roman" w:hAnsi="Times New Roman"/>
          <w:sz w:val="18"/>
          <w:szCs w:val="18"/>
          <w:b w:val="1"/>
          <w:bCs w:val="1"/>
          <w:color w:val="auto"/>
        </w:rPr>
        <w:t>We urge you to use the enclosed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card to vote today “FOR” Athira’s three director nominees: Joe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Edelman, John Fluke and Grant Pickering.</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Please do not vote using any blue proxy cards you may receive from Mr. Kayne — even as a “protest vote.” Any vote on Mr. Kayne’s blue proxy card will revoke your prior vote on a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Only your latest-dated proxy counts.</w:t>
      </w:r>
    </w:p>
    <w:p>
      <w:pPr>
        <w:spacing w:after="0" w:line="4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vote “FOR” our three director nominees will help ensure that we have a board that is able to continue our positive momentum and create lasting shareholder value. </w:t>
      </w:r>
      <w:r>
        <w:rPr>
          <w:rFonts w:ascii="Times New Roman" w:cs="Times New Roman" w:eastAsia="Times New Roman" w:hAnsi="Times New Roman"/>
          <w:sz w:val="18"/>
          <w:szCs w:val="18"/>
          <w:color w:val="auto"/>
        </w:rPr>
        <w:t>We are grateful for your investment in Athira and will continue to work hard to deliver on our promise to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our patients.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Athira board of directors</w:t>
      </w:r>
    </w:p>
    <w:p>
      <w:pPr>
        <w:sectPr>
          <w:pgSz w:w="11900" w:h="16838" w:orient="portrait"/>
          <w:cols w:equalWidth="0" w:num="1">
            <w:col w:w="10540"/>
          </w:cols>
          <w:pgMar w:left="880" w:top="270"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093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2093595"/>
                    </a:xfrm>
                    <a:prstGeom prst="rect">
                      <a:avLst/>
                    </a:prstGeom>
                    <a:noFill/>
                  </pic:spPr>
                </pic:pic>
              </a:graphicData>
            </a:graphic>
          </wp:anchor>
        </w:drawing>
        <w:t>YOUR VOTE IS IMPORTANT!</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color w:val="auto"/>
        </w:rPr>
        <w:t xml:space="preserve">Follow the instructions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 vote by telephone, by internet or by signing, dating and returning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in the postage-paid envelope provided. If you received this letter by email, you may also vote by pressing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“VOTE NOW” button in the accompanying email.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simply disregard any blue proxy cards that you may receive from Richard Kayne.</w:t>
      </w:r>
    </w:p>
    <w:p>
      <w:pPr>
        <w:spacing w:after="0" w:line="221"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you have questions about how to vote your shares, please call the firm assisting us with the solicitation of proxies, Innisfree M&amp;A Incorporated, 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(877) 456-3510 (toll-free from the U.S. and Canada)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232-3651 (from other locations)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Athira. Wilson Sonsini Goodrich &amp; Rosati, P.C. is serving as legal advisor to Athira.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Athira Pharma,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lead therapeutic candidate, fosgonimeton, a novel small molecule for Alzheimer’s and Parkinson’s disease dementia and Dementia with Lewy bodies. For more information, visit </w:t>
      </w:r>
      <w:r>
        <w:rPr>
          <w:rFonts w:ascii="Times New Roman" w:cs="Times New Roman" w:eastAsia="Times New Roman" w:hAnsi="Times New Roman"/>
          <w:sz w:val="18"/>
          <w:szCs w:val="18"/>
          <w:u w:val="single" w:color="auto"/>
          <w:color w:val="auto"/>
        </w:rPr>
        <w:t>www.athira.com</w:t>
      </w:r>
      <w:r>
        <w:rPr>
          <w:rFonts w:ascii="Times New Roman" w:cs="Times New Roman" w:eastAsia="Times New Roman" w:hAnsi="Times New Roman"/>
          <w:sz w:val="18"/>
          <w:szCs w:val="18"/>
          <w:color w:val="auto"/>
        </w:rPr>
        <w:t xml:space="preserve">. You can also follow Athira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@athirapharma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w:t>
      </w:r>
    </w:p>
    <w:p>
      <w:pPr>
        <w:sectPr>
          <w:pgSz w:w="11900" w:h="16838" w:orient="portrait"/>
          <w:cols w:equalWidth="0" w:num="1">
            <w:col w:w="11020"/>
          </w:cols>
          <w:pgMar w:left="440" w:top="320" w:right="43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Rathbun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Athira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206-769-9219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Brimmer / Jamie Moser / Melissa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2022-04-05T16:06:02Z</dcterms:created>
  <dcterms:modified xsi:type="dcterms:W3CDTF">2022-04-05T16:06:02Z</dcterms:modified>
</cp:coreProperties>
</file>