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4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20"/>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20"/>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2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20"/>
        <w:spacing w:after="0"/>
        <w:rPr>
          <w:sz w:val="20"/>
          <w:szCs w:val="20"/>
          <w:color w:val="auto"/>
        </w:rPr>
      </w:pPr>
      <w:r>
        <w:rPr>
          <w:rFonts w:ascii="Arial" w:cs="Arial" w:eastAsia="Arial" w:hAnsi="Arial"/>
          <w:sz w:val="22"/>
          <w:szCs w:val="22"/>
          <w:b w:val="1"/>
          <w:bCs w:val="1"/>
          <w:color w:val="auto"/>
        </w:rPr>
        <w:t>(Amendment No. __)*</w:t>
      </w:r>
    </w:p>
    <w:p>
      <w:pPr>
        <w:spacing w:after="0" w:line="182" w:lineRule="exact"/>
        <w:rPr>
          <w:sz w:val="24"/>
          <w:szCs w:val="24"/>
          <w:color w:val="auto"/>
        </w:rPr>
      </w:pPr>
    </w:p>
    <w:p>
      <w:pPr>
        <w:jc w:val="center"/>
        <w:ind w:right="120"/>
        <w:spacing w:after="0"/>
        <w:rPr>
          <w:sz w:val="20"/>
          <w:szCs w:val="20"/>
          <w:color w:val="auto"/>
        </w:rPr>
      </w:pPr>
      <w:r>
        <w:rPr>
          <w:rFonts w:ascii="Arial" w:cs="Arial" w:eastAsia="Arial" w:hAnsi="Arial"/>
          <w:sz w:val="22"/>
          <w:szCs w:val="22"/>
          <w:b w:val="1"/>
          <w:bCs w:val="1"/>
          <w:u w:val="single" w:color="auto"/>
          <w:color w:val="auto"/>
        </w:rPr>
        <w:t>Athira Pharma, Inc.</w:t>
      </w:r>
    </w:p>
    <w:p>
      <w:pPr>
        <w:spacing w:after="0" w:line="14" w:lineRule="exact"/>
        <w:rPr>
          <w:sz w:val="24"/>
          <w:szCs w:val="24"/>
          <w:color w:val="auto"/>
        </w:rPr>
      </w:pPr>
    </w:p>
    <w:p>
      <w:pPr>
        <w:jc w:val="center"/>
        <w:ind w:right="120"/>
        <w:spacing w:after="0"/>
        <w:rPr>
          <w:sz w:val="20"/>
          <w:szCs w:val="20"/>
          <w:color w:val="auto"/>
        </w:rPr>
      </w:pPr>
      <w:r>
        <w:rPr>
          <w:rFonts w:ascii="Arial" w:cs="Arial" w:eastAsia="Arial" w:hAnsi="Arial"/>
          <w:sz w:val="22"/>
          <w:szCs w:val="22"/>
          <w:color w:val="auto"/>
        </w:rPr>
        <w:t>(Name of Issuer)</w:t>
      </w:r>
    </w:p>
    <w:p>
      <w:pPr>
        <w:spacing w:after="0" w:line="182" w:lineRule="exact"/>
        <w:rPr>
          <w:sz w:val="24"/>
          <w:szCs w:val="24"/>
          <w:color w:val="auto"/>
        </w:rPr>
      </w:pPr>
    </w:p>
    <w:p>
      <w:pPr>
        <w:jc w:val="center"/>
        <w:ind w:right="120"/>
        <w:spacing w:after="0"/>
        <w:rPr>
          <w:sz w:val="20"/>
          <w:szCs w:val="20"/>
          <w:color w:val="auto"/>
        </w:rPr>
      </w:pPr>
      <w:r>
        <w:rPr>
          <w:rFonts w:ascii="Arial" w:cs="Arial" w:eastAsia="Arial" w:hAnsi="Arial"/>
          <w:sz w:val="22"/>
          <w:szCs w:val="22"/>
          <w:b w:val="1"/>
          <w:bCs w:val="1"/>
          <w:u w:val="single" w:color="auto"/>
          <w:color w:val="auto"/>
        </w:rPr>
        <w:t>Common Stock, $0.0001 par value</w:t>
      </w:r>
    </w:p>
    <w:p>
      <w:pPr>
        <w:spacing w:after="0" w:line="14" w:lineRule="exact"/>
        <w:rPr>
          <w:sz w:val="24"/>
          <w:szCs w:val="24"/>
          <w:color w:val="auto"/>
        </w:rPr>
      </w:pPr>
    </w:p>
    <w:p>
      <w:pPr>
        <w:jc w:val="center"/>
        <w:ind w:right="120"/>
        <w:spacing w:after="0"/>
        <w:rPr>
          <w:sz w:val="20"/>
          <w:szCs w:val="20"/>
          <w:color w:val="auto"/>
        </w:rPr>
      </w:pPr>
      <w:r>
        <w:rPr>
          <w:rFonts w:ascii="Arial" w:cs="Arial" w:eastAsia="Arial" w:hAnsi="Arial"/>
          <w:sz w:val="22"/>
          <w:szCs w:val="22"/>
          <w:color w:val="auto"/>
        </w:rPr>
        <w:t>(Title of Class of Securities)</w:t>
      </w:r>
    </w:p>
    <w:p>
      <w:pPr>
        <w:spacing w:after="0" w:line="182" w:lineRule="exact"/>
        <w:rPr>
          <w:sz w:val="24"/>
          <w:szCs w:val="24"/>
          <w:color w:val="auto"/>
        </w:rPr>
      </w:pPr>
    </w:p>
    <w:p>
      <w:pPr>
        <w:jc w:val="center"/>
        <w:ind w:right="120"/>
        <w:spacing w:after="0"/>
        <w:rPr>
          <w:sz w:val="20"/>
          <w:szCs w:val="20"/>
          <w:color w:val="auto"/>
        </w:rPr>
      </w:pPr>
      <w:r>
        <w:rPr>
          <w:rFonts w:ascii="Arial" w:cs="Arial" w:eastAsia="Arial" w:hAnsi="Arial"/>
          <w:sz w:val="22"/>
          <w:szCs w:val="22"/>
          <w:b w:val="1"/>
          <w:bCs w:val="1"/>
          <w:u w:val="single" w:color="auto"/>
          <w:color w:val="auto"/>
        </w:rPr>
        <w:t>04746L104</w:t>
      </w:r>
    </w:p>
    <w:p>
      <w:pPr>
        <w:spacing w:after="0" w:line="14" w:lineRule="exact"/>
        <w:rPr>
          <w:sz w:val="24"/>
          <w:szCs w:val="24"/>
          <w:color w:val="auto"/>
        </w:rPr>
      </w:pPr>
    </w:p>
    <w:p>
      <w:pPr>
        <w:jc w:val="center"/>
        <w:ind w:right="120"/>
        <w:spacing w:after="0"/>
        <w:rPr>
          <w:sz w:val="20"/>
          <w:szCs w:val="20"/>
          <w:color w:val="auto"/>
        </w:rPr>
      </w:pPr>
      <w:r>
        <w:rPr>
          <w:rFonts w:ascii="Arial" w:cs="Arial" w:eastAsia="Arial" w:hAnsi="Arial"/>
          <w:sz w:val="22"/>
          <w:szCs w:val="22"/>
          <w:color w:val="auto"/>
        </w:rPr>
        <w:t>(CUSIP Number)</w:t>
      </w:r>
    </w:p>
    <w:p>
      <w:pPr>
        <w:spacing w:after="0" w:line="182" w:lineRule="exact"/>
        <w:rPr>
          <w:sz w:val="24"/>
          <w:szCs w:val="24"/>
          <w:color w:val="auto"/>
        </w:rPr>
      </w:pPr>
    </w:p>
    <w:p>
      <w:pPr>
        <w:jc w:val="center"/>
        <w:ind w:right="120"/>
        <w:spacing w:after="0"/>
        <w:rPr>
          <w:sz w:val="20"/>
          <w:szCs w:val="20"/>
          <w:color w:val="auto"/>
        </w:rPr>
      </w:pPr>
      <w:r>
        <w:rPr>
          <w:rFonts w:ascii="Arial" w:cs="Arial" w:eastAsia="Arial" w:hAnsi="Arial"/>
          <w:sz w:val="22"/>
          <w:szCs w:val="22"/>
          <w:b w:val="1"/>
          <w:bCs w:val="1"/>
          <w:u w:val="single" w:color="auto"/>
          <w:color w:val="auto"/>
        </w:rPr>
        <w:t>April 10, 2023</w:t>
      </w:r>
    </w:p>
    <w:p>
      <w:pPr>
        <w:spacing w:after="0" w:line="14" w:lineRule="exact"/>
        <w:rPr>
          <w:sz w:val="24"/>
          <w:szCs w:val="24"/>
          <w:color w:val="auto"/>
        </w:rPr>
      </w:pPr>
    </w:p>
    <w:p>
      <w:pPr>
        <w:jc w:val="center"/>
        <w:ind w:right="120"/>
        <w:spacing w:after="0"/>
        <w:rPr>
          <w:sz w:val="20"/>
          <w:szCs w:val="20"/>
          <w:color w:val="auto"/>
        </w:rPr>
      </w:pPr>
      <w:r>
        <w:rPr>
          <w:rFonts w:ascii="Arial" w:cs="Arial" w:eastAsia="Arial" w:hAnsi="Arial"/>
          <w:sz w:val="22"/>
          <w:szCs w:val="22"/>
          <w:color w:val="auto"/>
        </w:rPr>
        <w:t>(Date of Event Which Requires Filing of this Statement)</w:t>
      </w:r>
    </w:p>
    <w:p>
      <w:pPr>
        <w:spacing w:after="0" w:line="188" w:lineRule="exact"/>
        <w:rPr>
          <w:sz w:val="24"/>
          <w:szCs w:val="24"/>
          <w:color w:val="auto"/>
        </w:rPr>
      </w:pPr>
    </w:p>
    <w:p>
      <w:pPr>
        <w:jc w:val="center"/>
        <w:ind w:right="120"/>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20" w:lineRule="exact"/>
        <w:rPr>
          <w:sz w:val="24"/>
          <w:szCs w:val="24"/>
          <w:color w:val="auto"/>
        </w:rPr>
      </w:pPr>
    </w:p>
    <w:p>
      <w:pPr>
        <w:ind w:left="5000" w:hanging="246"/>
        <w:spacing w:after="0"/>
        <w:tabs>
          <w:tab w:leader="none" w:pos="500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Rule 13d-1(b)</w:t>
      </w:r>
    </w:p>
    <w:p>
      <w:pPr>
        <w:spacing w:after="0" w:line="21" w:lineRule="exact"/>
        <w:rPr>
          <w:rFonts w:ascii="MS PGothic" w:cs="MS PGothic" w:eastAsia="MS PGothic" w:hAnsi="MS PGothic"/>
          <w:sz w:val="22"/>
          <w:szCs w:val="22"/>
          <w:color w:val="auto"/>
        </w:rPr>
      </w:pPr>
    </w:p>
    <w:p>
      <w:pPr>
        <w:ind w:left="5000" w:hanging="240"/>
        <w:spacing w:after="0"/>
        <w:tabs>
          <w:tab w:leader="none" w:pos="5000" w:val="left"/>
        </w:tabs>
        <w:numPr>
          <w:ilvl w:val="1"/>
          <w:numId w:val="1"/>
        </w:numPr>
        <w:rPr>
          <w:rFonts w:ascii="MS PGothic" w:cs="MS PGothic" w:eastAsia="MS PGothic" w:hAnsi="MS PGothic"/>
          <w:sz w:val="22"/>
          <w:szCs w:val="22"/>
          <w:color w:val="auto"/>
        </w:rPr>
      </w:pPr>
      <w:r>
        <w:rPr>
          <w:rFonts w:ascii="Arial" w:cs="Arial" w:eastAsia="Arial" w:hAnsi="Arial"/>
          <w:sz w:val="22"/>
          <w:szCs w:val="22"/>
          <w:color w:val="auto"/>
        </w:rPr>
        <w:t>Rule 13d-1(c)</w:t>
      </w:r>
    </w:p>
    <w:p>
      <w:pPr>
        <w:spacing w:after="0" w:line="3" w:lineRule="exact"/>
        <w:rPr>
          <w:rFonts w:ascii="MS PGothic" w:cs="MS PGothic" w:eastAsia="MS PGothic" w:hAnsi="MS PGothic"/>
          <w:sz w:val="22"/>
          <w:szCs w:val="22"/>
          <w:color w:val="auto"/>
        </w:rPr>
      </w:pPr>
    </w:p>
    <w:p>
      <w:pPr>
        <w:ind w:left="5000" w:hanging="246"/>
        <w:spacing w:after="0"/>
        <w:tabs>
          <w:tab w:leader="none" w:pos="500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Rule 13d-1(d)</w:t>
      </w:r>
    </w:p>
    <w:p>
      <w:pPr>
        <w:spacing w:after="0" w:line="182" w:lineRule="exact"/>
        <w:rPr>
          <w:sz w:val="24"/>
          <w:szCs w:val="24"/>
          <w:color w:val="auto"/>
        </w:rPr>
      </w:pPr>
    </w:p>
    <w:p>
      <w:pPr>
        <w:jc w:val="both"/>
        <w:spacing w:after="0" w:line="243"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The remainder of this cover page shall be filled out for a reporting person's initial filing on this form with respect to the subject</w:t>
      </w:r>
      <w:r>
        <w:rPr>
          <w:rFonts w:ascii="Arial" w:cs="Arial" w:eastAsia="Arial" w:hAnsi="Arial"/>
          <w:sz w:val="22"/>
          <w:szCs w:val="22"/>
          <w:b w:val="1"/>
          <w:bCs w:val="1"/>
          <w:color w:val="auto"/>
        </w:rPr>
        <w:t xml:space="preserve"> </w:t>
      </w:r>
      <w:r>
        <w:rPr>
          <w:rFonts w:ascii="Arial" w:cs="Arial" w:eastAsia="Arial" w:hAnsi="Arial"/>
          <w:sz w:val="22"/>
          <w:szCs w:val="22"/>
          <w:color w:val="auto"/>
        </w:rPr>
        <w:t>class of securities, and for any subsequent amendment containing information which would alter the disclosures provided in a prior cover page.</w:t>
      </w:r>
    </w:p>
    <w:p>
      <w:pPr>
        <w:spacing w:after="0" w:line="183"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-83185</wp:posOffset>
            </wp:positionH>
            <wp:positionV relativeFrom="paragraph">
              <wp:posOffset>397510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460" w:top="70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94"/>
        </w:trPr>
        <w:tc>
          <w:tcPr>
            <w:tcW w:w="5740" w:type="dxa"/>
            <w:vAlign w:val="bottom"/>
            <w:tcBorders>
              <w:top w:val="single" w:sz="8" w:color="auto"/>
            </w:tcBorders>
          </w:tcPr>
          <w:p>
            <w:pPr>
              <w:ind w:left="40"/>
              <w:spacing w:after="0"/>
              <w:rPr>
                <w:sz w:val="20"/>
                <w:szCs w:val="20"/>
                <w:color w:val="auto"/>
              </w:rPr>
            </w:pPr>
            <w:r>
              <w:rPr>
                <w:rFonts w:ascii="Arial" w:cs="Arial" w:eastAsia="Arial" w:hAnsi="Arial"/>
                <w:sz w:val="22"/>
                <w:szCs w:val="22"/>
                <w:color w:val="auto"/>
              </w:rPr>
              <w:t>CUSIP No. 04746L104</w:t>
            </w:r>
          </w:p>
        </w:tc>
        <w:tc>
          <w:tcPr>
            <w:tcW w:w="2860" w:type="dxa"/>
            <w:vAlign w:val="bottom"/>
          </w:tcPr>
          <w:p>
            <w:pPr>
              <w:ind w:left="1240"/>
              <w:spacing w:after="0"/>
              <w:rPr>
                <w:sz w:val="20"/>
                <w:szCs w:val="20"/>
                <w:color w:val="auto"/>
              </w:rPr>
            </w:pPr>
            <w:r>
              <w:rPr>
                <w:rFonts w:ascii="Arial" w:cs="Arial" w:eastAsia="Arial" w:hAnsi="Arial"/>
                <w:sz w:val="22"/>
                <w:szCs w:val="22"/>
                <w:color w:val="auto"/>
              </w:rPr>
              <w:t>13G</w:t>
            </w:r>
          </w:p>
        </w:tc>
        <w:tc>
          <w:tcPr>
            <w:tcW w:w="2580" w:type="dxa"/>
            <w:vAlign w:val="bottom"/>
            <w:tcBorders>
              <w:top w:val="single" w:sz="8" w:color="auto"/>
            </w:tcBorders>
          </w:tcPr>
          <w:p>
            <w:pPr>
              <w:ind w:left="960"/>
              <w:spacing w:after="0"/>
              <w:rPr>
                <w:sz w:val="20"/>
                <w:szCs w:val="20"/>
                <w:color w:val="auto"/>
              </w:rPr>
            </w:pPr>
            <w:r>
              <w:rPr>
                <w:rFonts w:ascii="Arial" w:cs="Arial" w:eastAsia="Arial" w:hAnsi="Arial"/>
                <w:sz w:val="22"/>
                <w:szCs w:val="22"/>
                <w:color w:val="auto"/>
                <w:w w:val="88"/>
              </w:rPr>
              <w:t>Page 2 of 5 Pages</w:t>
            </w:r>
          </w:p>
        </w:tc>
      </w:tr>
    </w:tbl>
    <w:p>
      <w:pPr>
        <w:ind w:left="1500" w:right="6660" w:hanging="797"/>
        <w:spacing w:after="0" w:line="236" w:lineRule="auto"/>
        <w:tabs>
          <w:tab w:leader="none" w:pos="1500"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509270</wp:posOffset>
            </wp:positionV>
            <wp:extent cx="7140575" cy="44234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0575" cy="4423410"/>
                    </a:xfrm>
                    <a:prstGeom prst="rect">
                      <a:avLst/>
                    </a:prstGeom>
                    <a:noFill/>
                  </pic:spPr>
                </pic:pic>
              </a:graphicData>
            </a:graphic>
          </wp:anchor>
        </w:drawing>
        <w:t>NAME OF REPORTING PERSON Richard A. Kayne</w:t>
      </w:r>
    </w:p>
    <w:p>
      <w:pPr>
        <w:spacing w:after="0" w:line="2" w:lineRule="exact"/>
        <w:rPr>
          <w:sz w:val="20"/>
          <w:szCs w:val="20"/>
          <w:color w:val="auto"/>
        </w:rPr>
      </w:pPr>
    </w:p>
    <w:p>
      <w:pPr>
        <w:ind w:left="1500" w:hanging="797"/>
        <w:spacing w:after="0"/>
        <w:tabs>
          <w:tab w:leader="none" w:pos="1500" w:val="left"/>
        </w:tabs>
        <w:numPr>
          <w:ilvl w:val="0"/>
          <w:numId w:val="3"/>
        </w:numPr>
        <w:rPr>
          <w:rFonts w:ascii="Arial" w:cs="Arial" w:eastAsia="Arial" w:hAnsi="Arial"/>
          <w:sz w:val="22"/>
          <w:szCs w:val="22"/>
          <w:b w:val="1"/>
          <w:bCs w:val="1"/>
          <w:color w:val="auto"/>
        </w:rPr>
      </w:pPr>
      <w:r>
        <w:rPr>
          <w:rFonts w:ascii="Arial" w:cs="Arial" w:eastAsia="Arial" w:hAnsi="Arial"/>
          <w:sz w:val="22"/>
          <w:szCs w:val="22"/>
          <w:color w:val="auto"/>
        </w:rPr>
        <w:t>CHECK THE APPROPRIATE BOX IF A MEMBER OF A GROUP*</w:t>
      </w:r>
    </w:p>
    <w:p>
      <w:pPr>
        <w:spacing w:after="0" w:line="17" w:lineRule="exact"/>
        <w:rPr>
          <w:rFonts w:ascii="Arial" w:cs="Arial" w:eastAsia="Arial" w:hAnsi="Arial"/>
          <w:sz w:val="22"/>
          <w:szCs w:val="22"/>
          <w:b w:val="1"/>
          <w:bCs w:val="1"/>
          <w:color w:val="auto"/>
        </w:rPr>
      </w:pPr>
    </w:p>
    <w:p>
      <w:pPr>
        <w:ind w:left="1860" w:hanging="354"/>
        <w:spacing w:after="0" w:line="253" w:lineRule="exact"/>
        <w:tabs>
          <w:tab w:leader="none" w:pos="1860" w:val="left"/>
        </w:tabs>
        <w:numPr>
          <w:ilvl w:val="1"/>
          <w:numId w:val="3"/>
        </w:numPr>
        <w:rPr>
          <w:rFonts w:ascii="Arial" w:cs="Arial" w:eastAsia="Arial" w:hAnsi="Arial"/>
          <w:sz w:val="22"/>
          <w:szCs w:val="22"/>
          <w:color w:val="auto"/>
        </w:rPr>
      </w:pPr>
      <w:r>
        <w:rPr>
          <w:rFonts w:ascii="MS PGothic" w:cs="MS PGothic" w:eastAsia="MS PGothic" w:hAnsi="MS PGothic"/>
          <w:sz w:val="22"/>
          <w:szCs w:val="22"/>
          <w:color w:val="auto"/>
        </w:rPr>
        <w:t>☐</w:t>
      </w:r>
    </w:p>
    <w:p>
      <w:pPr>
        <w:spacing w:after="0" w:line="3" w:lineRule="exact"/>
        <w:rPr>
          <w:rFonts w:ascii="Arial" w:cs="Arial" w:eastAsia="Arial" w:hAnsi="Arial"/>
          <w:sz w:val="22"/>
          <w:szCs w:val="22"/>
          <w:color w:val="auto"/>
        </w:rPr>
      </w:pPr>
    </w:p>
    <w:p>
      <w:pPr>
        <w:ind w:left="1860" w:hanging="354"/>
        <w:spacing w:after="0" w:line="253" w:lineRule="exact"/>
        <w:tabs>
          <w:tab w:leader="none" w:pos="1860" w:val="left"/>
        </w:tabs>
        <w:numPr>
          <w:ilvl w:val="1"/>
          <w:numId w:val="3"/>
        </w:numPr>
        <w:rPr>
          <w:rFonts w:ascii="Arial" w:cs="Arial" w:eastAsia="Arial" w:hAnsi="Arial"/>
          <w:sz w:val="22"/>
          <w:szCs w:val="22"/>
          <w:color w:val="auto"/>
        </w:rPr>
      </w:pPr>
      <w:r>
        <w:rPr>
          <w:rFonts w:ascii="MS PGothic" w:cs="MS PGothic" w:eastAsia="MS PGothic" w:hAnsi="MS PGothic"/>
          <w:sz w:val="22"/>
          <w:szCs w:val="22"/>
          <w:color w:val="auto"/>
        </w:rPr>
        <w:t>☐</w:t>
      </w:r>
    </w:p>
    <w:p>
      <w:pPr>
        <w:spacing w:after="0" w:line="17" w:lineRule="exact"/>
        <w:rPr>
          <w:sz w:val="20"/>
          <w:szCs w:val="20"/>
          <w:color w:val="auto"/>
        </w:rPr>
      </w:pPr>
    </w:p>
    <w:p>
      <w:pPr>
        <w:ind w:left="1500" w:hanging="797"/>
        <w:spacing w:after="0"/>
        <w:tabs>
          <w:tab w:leader="none" w:pos="1500" w:val="left"/>
        </w:tabs>
        <w:numPr>
          <w:ilvl w:val="0"/>
          <w:numId w:val="4"/>
        </w:numPr>
        <w:rPr>
          <w:rFonts w:ascii="Arial" w:cs="Arial" w:eastAsia="Arial" w:hAnsi="Arial"/>
          <w:sz w:val="22"/>
          <w:szCs w:val="22"/>
          <w:b w:val="1"/>
          <w:bCs w:val="1"/>
          <w:color w:val="auto"/>
        </w:rPr>
      </w:pPr>
      <w:r>
        <w:rPr>
          <w:rFonts w:ascii="Arial" w:cs="Arial" w:eastAsia="Arial" w:hAnsi="Arial"/>
          <w:sz w:val="22"/>
          <w:szCs w:val="22"/>
          <w:color w:val="auto"/>
        </w:rPr>
        <w:t>SEC USE ONLY</w:t>
      </w:r>
    </w:p>
    <w:p>
      <w:pPr>
        <w:spacing w:after="0" w:line="200" w:lineRule="exact"/>
        <w:rPr>
          <w:sz w:val="20"/>
          <w:szCs w:val="20"/>
          <w:color w:val="auto"/>
        </w:rPr>
      </w:pPr>
    </w:p>
    <w:p>
      <w:pPr>
        <w:spacing w:after="0" w:line="285" w:lineRule="exact"/>
        <w:rPr>
          <w:sz w:val="20"/>
          <w:szCs w:val="20"/>
          <w:color w:val="auto"/>
        </w:rPr>
      </w:pPr>
    </w:p>
    <w:p>
      <w:pPr>
        <w:ind w:left="1500" w:right="5340" w:hanging="797"/>
        <w:spacing w:after="0" w:line="241" w:lineRule="auto"/>
        <w:tabs>
          <w:tab w:leader="none" w:pos="1500" w:val="left"/>
        </w:tabs>
        <w:numPr>
          <w:ilvl w:val="0"/>
          <w:numId w:val="5"/>
        </w:numPr>
        <w:rPr>
          <w:rFonts w:ascii="Arial" w:cs="Arial" w:eastAsia="Arial" w:hAnsi="Arial"/>
          <w:sz w:val="22"/>
          <w:szCs w:val="22"/>
          <w:b w:val="1"/>
          <w:bCs w:val="1"/>
          <w:color w:val="auto"/>
        </w:rPr>
      </w:pPr>
      <w:r>
        <w:rPr>
          <w:rFonts w:ascii="Arial" w:cs="Arial" w:eastAsia="Arial" w:hAnsi="Arial"/>
          <w:sz w:val="22"/>
          <w:szCs w:val="22"/>
          <w:color w:val="auto"/>
        </w:rPr>
        <w:t>CITIZENSHIP OR PLACE OF ORGANIZATION United States</w:t>
      </w:r>
    </w:p>
    <w:tbl>
      <w:tblPr>
        <w:tblLayout w:type="fixed"/>
        <w:tblInd w:w="0" w:type="dxa"/>
        <w:tblCellMar>
          <w:top w:w="0" w:type="dxa"/>
          <w:left w:w="0" w:type="dxa"/>
          <w:bottom w:w="0" w:type="dxa"/>
          <w:right w:w="0" w:type="dxa"/>
        </w:tblCellMar>
      </w:tblPr>
      <w:tr>
        <w:trPr>
          <w:trHeight w:val="236"/>
        </w:trPr>
        <w:tc>
          <w:tcPr>
            <w:tcW w:w="2620" w:type="dxa"/>
            <w:vAlign w:val="bottom"/>
            <w:tcBorders>
              <w:top w:val="single" w:sz="8" w:color="auto"/>
            </w:tcBorders>
          </w:tcPr>
          <w:p>
            <w:pPr>
              <w:jc w:val="center"/>
              <w:spacing w:after="0" w:line="236" w:lineRule="exact"/>
              <w:rPr>
                <w:sz w:val="20"/>
                <w:szCs w:val="20"/>
                <w:color w:val="auto"/>
              </w:rPr>
            </w:pPr>
            <w:r>
              <w:rPr>
                <w:rFonts w:ascii="Arial" w:cs="Arial" w:eastAsia="Arial" w:hAnsi="Arial"/>
                <w:sz w:val="22"/>
                <w:szCs w:val="22"/>
                <w:color w:val="auto"/>
                <w:w w:val="95"/>
              </w:rPr>
              <w:t>NUMBER OF</w:t>
            </w:r>
          </w:p>
        </w:tc>
        <w:tc>
          <w:tcPr>
            <w:tcW w:w="900" w:type="dxa"/>
            <w:vAlign w:val="bottom"/>
            <w:tcBorders>
              <w:top w:val="single" w:sz="8" w:color="auto"/>
            </w:tcBorders>
          </w:tcPr>
          <w:p>
            <w:pPr>
              <w:jc w:val="right"/>
              <w:ind w:right="153"/>
              <w:spacing w:after="0" w:line="236" w:lineRule="exact"/>
              <w:rPr>
                <w:sz w:val="20"/>
                <w:szCs w:val="20"/>
                <w:color w:val="auto"/>
              </w:rPr>
            </w:pPr>
            <w:r>
              <w:rPr>
                <w:rFonts w:ascii="Arial" w:cs="Arial" w:eastAsia="Arial" w:hAnsi="Arial"/>
                <w:sz w:val="22"/>
                <w:szCs w:val="22"/>
                <w:b w:val="1"/>
                <w:bCs w:val="1"/>
                <w:color w:val="auto"/>
              </w:rPr>
              <w:t>5</w:t>
            </w:r>
          </w:p>
        </w:tc>
        <w:tc>
          <w:tcPr>
            <w:tcW w:w="7740" w:type="dxa"/>
            <w:vAlign w:val="bottom"/>
            <w:tcBorders>
              <w:top w:val="single" w:sz="8" w:color="auto"/>
            </w:tcBorders>
          </w:tcPr>
          <w:p>
            <w:pPr>
              <w:ind w:left="260"/>
              <w:spacing w:after="0" w:line="236" w:lineRule="exact"/>
              <w:rPr>
                <w:sz w:val="20"/>
                <w:szCs w:val="20"/>
                <w:color w:val="auto"/>
              </w:rPr>
            </w:pPr>
            <w:r>
              <w:rPr>
                <w:rFonts w:ascii="Arial" w:cs="Arial" w:eastAsia="Arial" w:hAnsi="Arial"/>
                <w:sz w:val="22"/>
                <w:szCs w:val="22"/>
                <w:color w:val="auto"/>
              </w:rPr>
              <w:t>SOLE VOTING POWER</w:t>
            </w:r>
          </w:p>
        </w:tc>
        <w:tc>
          <w:tcPr>
            <w:tcW w:w="0" w:type="dxa"/>
            <w:vAlign w:val="bottom"/>
          </w:tcPr>
          <w:p>
            <w:pPr>
              <w:spacing w:after="0"/>
              <w:rPr>
                <w:sz w:val="1"/>
                <w:szCs w:val="1"/>
                <w:color w:val="auto"/>
              </w:rPr>
            </w:pPr>
          </w:p>
        </w:tc>
      </w:tr>
      <w:tr>
        <w:trPr>
          <w:trHeight w:val="263"/>
        </w:trPr>
        <w:tc>
          <w:tcPr>
            <w:tcW w:w="2620" w:type="dxa"/>
            <w:vAlign w:val="bottom"/>
          </w:tcPr>
          <w:p>
            <w:pPr>
              <w:jc w:val="center"/>
              <w:spacing w:after="0"/>
              <w:rPr>
                <w:sz w:val="20"/>
                <w:szCs w:val="20"/>
                <w:color w:val="auto"/>
              </w:rPr>
            </w:pPr>
            <w:r>
              <w:rPr>
                <w:rFonts w:ascii="Arial" w:cs="Arial" w:eastAsia="Arial" w:hAnsi="Arial"/>
                <w:sz w:val="22"/>
                <w:szCs w:val="22"/>
                <w:color w:val="auto"/>
                <w:w w:val="90"/>
              </w:rPr>
              <w:t>SHARES</w:t>
            </w:r>
          </w:p>
        </w:tc>
        <w:tc>
          <w:tcPr>
            <w:tcW w:w="900" w:type="dxa"/>
            <w:vAlign w:val="bottom"/>
            <w:tcBorders>
              <w:bottom w:val="single" w:sz="8" w:color="auto"/>
            </w:tcBorders>
          </w:tcPr>
          <w:p>
            <w:pPr>
              <w:spacing w:after="0"/>
              <w:rPr>
                <w:sz w:val="22"/>
                <w:szCs w:val="22"/>
                <w:color w:val="auto"/>
              </w:rPr>
            </w:pPr>
          </w:p>
        </w:tc>
        <w:tc>
          <w:tcPr>
            <w:tcW w:w="7740" w:type="dxa"/>
            <w:vAlign w:val="bottom"/>
            <w:tcBorders>
              <w:bottom w:val="single" w:sz="8" w:color="auto"/>
            </w:tcBorders>
          </w:tcPr>
          <w:p>
            <w:pPr>
              <w:ind w:left="260"/>
              <w:spacing w:after="0"/>
              <w:rPr>
                <w:sz w:val="20"/>
                <w:szCs w:val="20"/>
                <w:color w:val="auto"/>
              </w:rPr>
            </w:pPr>
            <w:r>
              <w:rPr>
                <w:rFonts w:ascii="Arial" w:cs="Arial" w:eastAsia="Arial" w:hAnsi="Arial"/>
                <w:sz w:val="22"/>
                <w:szCs w:val="22"/>
                <w:color w:val="auto"/>
              </w:rPr>
              <w:t>200</w:t>
            </w:r>
          </w:p>
        </w:tc>
        <w:tc>
          <w:tcPr>
            <w:tcW w:w="0" w:type="dxa"/>
            <w:vAlign w:val="bottom"/>
          </w:tcPr>
          <w:p>
            <w:pPr>
              <w:spacing w:after="0"/>
              <w:rPr>
                <w:sz w:val="1"/>
                <w:szCs w:val="1"/>
                <w:color w:val="auto"/>
              </w:rPr>
            </w:pPr>
          </w:p>
        </w:tc>
      </w:tr>
      <w:tr>
        <w:trPr>
          <w:trHeight w:val="222"/>
        </w:trPr>
        <w:tc>
          <w:tcPr>
            <w:tcW w:w="2620" w:type="dxa"/>
            <w:vAlign w:val="bottom"/>
          </w:tcPr>
          <w:p>
            <w:pPr>
              <w:jc w:val="center"/>
              <w:spacing w:after="0" w:line="222" w:lineRule="exact"/>
              <w:rPr>
                <w:sz w:val="20"/>
                <w:szCs w:val="20"/>
                <w:color w:val="auto"/>
              </w:rPr>
            </w:pPr>
            <w:r>
              <w:rPr>
                <w:rFonts w:ascii="Arial" w:cs="Arial" w:eastAsia="Arial" w:hAnsi="Arial"/>
                <w:sz w:val="22"/>
                <w:szCs w:val="22"/>
                <w:color w:val="auto"/>
                <w:w w:val="97"/>
              </w:rPr>
              <w:t>BENEFICIALLY</w:t>
            </w:r>
          </w:p>
        </w:tc>
        <w:tc>
          <w:tcPr>
            <w:tcW w:w="900" w:type="dxa"/>
            <w:vAlign w:val="bottom"/>
          </w:tcPr>
          <w:p>
            <w:pPr>
              <w:jc w:val="right"/>
              <w:ind w:right="153"/>
              <w:spacing w:after="0" w:line="222" w:lineRule="exact"/>
              <w:rPr>
                <w:sz w:val="20"/>
                <w:szCs w:val="20"/>
                <w:color w:val="auto"/>
              </w:rPr>
            </w:pPr>
            <w:r>
              <w:rPr>
                <w:rFonts w:ascii="Arial" w:cs="Arial" w:eastAsia="Arial" w:hAnsi="Arial"/>
                <w:sz w:val="22"/>
                <w:szCs w:val="22"/>
                <w:b w:val="1"/>
                <w:bCs w:val="1"/>
                <w:color w:val="auto"/>
              </w:rPr>
              <w:t>6</w:t>
            </w:r>
          </w:p>
        </w:tc>
        <w:tc>
          <w:tcPr>
            <w:tcW w:w="7740" w:type="dxa"/>
            <w:vAlign w:val="bottom"/>
          </w:tcPr>
          <w:p>
            <w:pPr>
              <w:ind w:left="260"/>
              <w:spacing w:after="0" w:line="222" w:lineRule="exact"/>
              <w:rPr>
                <w:sz w:val="20"/>
                <w:szCs w:val="20"/>
                <w:color w:val="auto"/>
              </w:rPr>
            </w:pPr>
            <w:r>
              <w:rPr>
                <w:rFonts w:ascii="Arial" w:cs="Arial" w:eastAsia="Arial" w:hAnsi="Arial"/>
                <w:sz w:val="22"/>
                <w:szCs w:val="22"/>
                <w:color w:val="auto"/>
              </w:rPr>
              <w:t>SHARED VOTING POWER</w:t>
            </w:r>
          </w:p>
        </w:tc>
        <w:tc>
          <w:tcPr>
            <w:tcW w:w="0" w:type="dxa"/>
            <w:vAlign w:val="bottom"/>
          </w:tcPr>
          <w:p>
            <w:pPr>
              <w:spacing w:after="0"/>
              <w:rPr>
                <w:sz w:val="1"/>
                <w:szCs w:val="1"/>
                <w:color w:val="auto"/>
              </w:rPr>
            </w:pPr>
          </w:p>
        </w:tc>
      </w:tr>
      <w:tr>
        <w:trPr>
          <w:trHeight w:val="271"/>
        </w:trPr>
        <w:tc>
          <w:tcPr>
            <w:tcW w:w="2620" w:type="dxa"/>
            <w:vAlign w:val="bottom"/>
          </w:tcPr>
          <w:p>
            <w:pPr>
              <w:jc w:val="center"/>
              <w:spacing w:after="0"/>
              <w:rPr>
                <w:sz w:val="20"/>
                <w:szCs w:val="20"/>
                <w:color w:val="auto"/>
              </w:rPr>
            </w:pPr>
            <w:r>
              <w:rPr>
                <w:rFonts w:ascii="Arial" w:cs="Arial" w:eastAsia="Arial" w:hAnsi="Arial"/>
                <w:sz w:val="22"/>
                <w:szCs w:val="22"/>
                <w:color w:val="auto"/>
                <w:w w:val="96"/>
              </w:rPr>
              <w:t>OWNED BY</w:t>
            </w:r>
          </w:p>
        </w:tc>
        <w:tc>
          <w:tcPr>
            <w:tcW w:w="900" w:type="dxa"/>
            <w:vAlign w:val="bottom"/>
            <w:tcBorders>
              <w:bottom w:val="single" w:sz="8" w:color="auto"/>
            </w:tcBorders>
          </w:tcPr>
          <w:p>
            <w:pPr>
              <w:spacing w:after="0"/>
              <w:rPr>
                <w:sz w:val="23"/>
                <w:szCs w:val="23"/>
                <w:color w:val="auto"/>
              </w:rPr>
            </w:pPr>
          </w:p>
        </w:tc>
        <w:tc>
          <w:tcPr>
            <w:tcW w:w="7740" w:type="dxa"/>
            <w:vAlign w:val="bottom"/>
            <w:tcBorders>
              <w:bottom w:val="single" w:sz="8" w:color="auto"/>
            </w:tcBorders>
          </w:tcPr>
          <w:p>
            <w:pPr>
              <w:ind w:left="260"/>
              <w:spacing w:after="0"/>
              <w:rPr>
                <w:sz w:val="20"/>
                <w:szCs w:val="20"/>
                <w:color w:val="auto"/>
              </w:rPr>
            </w:pPr>
            <w:r>
              <w:rPr>
                <w:rFonts w:ascii="Arial" w:cs="Arial" w:eastAsia="Arial" w:hAnsi="Arial"/>
                <w:sz w:val="22"/>
                <w:szCs w:val="22"/>
                <w:color w:val="auto"/>
              </w:rPr>
              <w:t>1,983,468</w:t>
            </w:r>
          </w:p>
        </w:tc>
        <w:tc>
          <w:tcPr>
            <w:tcW w:w="0" w:type="dxa"/>
            <w:vAlign w:val="bottom"/>
          </w:tcPr>
          <w:p>
            <w:pPr>
              <w:spacing w:after="0"/>
              <w:rPr>
                <w:sz w:val="1"/>
                <w:szCs w:val="1"/>
                <w:color w:val="auto"/>
              </w:rPr>
            </w:pPr>
          </w:p>
        </w:tc>
      </w:tr>
      <w:tr>
        <w:trPr>
          <w:trHeight w:val="208"/>
        </w:trPr>
        <w:tc>
          <w:tcPr>
            <w:tcW w:w="2620" w:type="dxa"/>
            <w:vAlign w:val="bottom"/>
          </w:tcPr>
          <w:p>
            <w:pPr>
              <w:jc w:val="center"/>
              <w:spacing w:after="0" w:line="208" w:lineRule="exact"/>
              <w:rPr>
                <w:sz w:val="20"/>
                <w:szCs w:val="20"/>
                <w:color w:val="auto"/>
              </w:rPr>
            </w:pPr>
            <w:r>
              <w:rPr>
                <w:rFonts w:ascii="Arial" w:cs="Arial" w:eastAsia="Arial" w:hAnsi="Arial"/>
                <w:sz w:val="22"/>
                <w:szCs w:val="22"/>
                <w:color w:val="auto"/>
                <w:w w:val="94"/>
              </w:rPr>
              <w:t>EACH</w:t>
            </w:r>
          </w:p>
        </w:tc>
        <w:tc>
          <w:tcPr>
            <w:tcW w:w="900" w:type="dxa"/>
            <w:vAlign w:val="bottom"/>
          </w:tcPr>
          <w:p>
            <w:pPr>
              <w:jc w:val="right"/>
              <w:ind w:right="153"/>
              <w:spacing w:after="0" w:line="208" w:lineRule="exact"/>
              <w:rPr>
                <w:sz w:val="20"/>
                <w:szCs w:val="20"/>
                <w:color w:val="auto"/>
              </w:rPr>
            </w:pPr>
            <w:r>
              <w:rPr>
                <w:rFonts w:ascii="Arial" w:cs="Arial" w:eastAsia="Arial" w:hAnsi="Arial"/>
                <w:sz w:val="22"/>
                <w:szCs w:val="22"/>
                <w:b w:val="1"/>
                <w:bCs w:val="1"/>
                <w:color w:val="auto"/>
              </w:rPr>
              <w:t>7</w:t>
            </w:r>
          </w:p>
        </w:tc>
        <w:tc>
          <w:tcPr>
            <w:tcW w:w="7740" w:type="dxa"/>
            <w:vAlign w:val="bottom"/>
          </w:tcPr>
          <w:p>
            <w:pPr>
              <w:ind w:left="260"/>
              <w:spacing w:after="0" w:line="208" w:lineRule="exact"/>
              <w:rPr>
                <w:sz w:val="20"/>
                <w:szCs w:val="20"/>
                <w:color w:val="auto"/>
              </w:rPr>
            </w:pPr>
            <w:r>
              <w:rPr>
                <w:rFonts w:ascii="Arial" w:cs="Arial" w:eastAsia="Arial" w:hAnsi="Arial"/>
                <w:sz w:val="22"/>
                <w:szCs w:val="22"/>
                <w:color w:val="auto"/>
              </w:rPr>
              <w:t>SOLE DISPOSITIVE POWER</w:t>
            </w:r>
          </w:p>
        </w:tc>
        <w:tc>
          <w:tcPr>
            <w:tcW w:w="0" w:type="dxa"/>
            <w:vAlign w:val="bottom"/>
          </w:tcPr>
          <w:p>
            <w:pPr>
              <w:spacing w:after="0"/>
              <w:rPr>
                <w:sz w:val="1"/>
                <w:szCs w:val="1"/>
                <w:color w:val="auto"/>
              </w:rPr>
            </w:pPr>
          </w:p>
        </w:tc>
      </w:tr>
      <w:tr>
        <w:trPr>
          <w:trHeight w:val="243"/>
        </w:trPr>
        <w:tc>
          <w:tcPr>
            <w:tcW w:w="2620" w:type="dxa"/>
            <w:vAlign w:val="bottom"/>
          </w:tcPr>
          <w:p>
            <w:pPr>
              <w:jc w:val="center"/>
              <w:spacing w:after="0" w:line="243" w:lineRule="exact"/>
              <w:rPr>
                <w:sz w:val="20"/>
                <w:szCs w:val="20"/>
                <w:color w:val="auto"/>
              </w:rPr>
            </w:pPr>
            <w:r>
              <w:rPr>
                <w:rFonts w:ascii="Arial" w:cs="Arial" w:eastAsia="Arial" w:hAnsi="Arial"/>
                <w:sz w:val="22"/>
                <w:szCs w:val="22"/>
                <w:color w:val="auto"/>
                <w:w w:val="91"/>
              </w:rPr>
              <w:t>REPORTING</w:t>
            </w:r>
          </w:p>
        </w:tc>
        <w:tc>
          <w:tcPr>
            <w:tcW w:w="900" w:type="dxa"/>
            <w:vAlign w:val="bottom"/>
          </w:tcPr>
          <w:p>
            <w:pPr>
              <w:spacing w:after="0"/>
              <w:rPr>
                <w:sz w:val="21"/>
                <w:szCs w:val="21"/>
                <w:color w:val="auto"/>
              </w:rPr>
            </w:pPr>
          </w:p>
        </w:tc>
        <w:tc>
          <w:tcPr>
            <w:tcW w:w="7740" w:type="dxa"/>
            <w:vAlign w:val="bottom"/>
          </w:tcPr>
          <w:p>
            <w:pPr>
              <w:ind w:left="260"/>
              <w:spacing w:after="0" w:line="243" w:lineRule="exact"/>
              <w:rPr>
                <w:sz w:val="20"/>
                <w:szCs w:val="20"/>
                <w:color w:val="auto"/>
              </w:rPr>
            </w:pPr>
            <w:r>
              <w:rPr>
                <w:rFonts w:ascii="Arial" w:cs="Arial" w:eastAsia="Arial" w:hAnsi="Arial"/>
                <w:sz w:val="22"/>
                <w:szCs w:val="22"/>
                <w:color w:val="auto"/>
              </w:rPr>
              <w:t>200</w:t>
            </w:r>
          </w:p>
        </w:tc>
        <w:tc>
          <w:tcPr>
            <w:tcW w:w="0" w:type="dxa"/>
            <w:vAlign w:val="bottom"/>
          </w:tcPr>
          <w:p>
            <w:pPr>
              <w:spacing w:after="0"/>
              <w:rPr>
                <w:sz w:val="1"/>
                <w:szCs w:val="1"/>
                <w:color w:val="auto"/>
              </w:rPr>
            </w:pPr>
          </w:p>
        </w:tc>
      </w:tr>
      <w:tr>
        <w:trPr>
          <w:trHeight w:val="42"/>
        </w:trPr>
        <w:tc>
          <w:tcPr>
            <w:tcW w:w="2620" w:type="dxa"/>
            <w:vAlign w:val="bottom"/>
            <w:vMerge w:val="restart"/>
          </w:tcPr>
          <w:p>
            <w:pPr>
              <w:jc w:val="center"/>
              <w:spacing w:after="0" w:line="251" w:lineRule="exact"/>
              <w:rPr>
                <w:sz w:val="20"/>
                <w:szCs w:val="20"/>
                <w:color w:val="auto"/>
              </w:rPr>
            </w:pPr>
            <w:r>
              <w:rPr>
                <w:rFonts w:ascii="Arial" w:cs="Arial" w:eastAsia="Arial" w:hAnsi="Arial"/>
                <w:sz w:val="22"/>
                <w:szCs w:val="22"/>
                <w:color w:val="auto"/>
                <w:w w:val="88"/>
              </w:rPr>
              <w:t>PERSON</w:t>
            </w:r>
          </w:p>
        </w:tc>
        <w:tc>
          <w:tcPr>
            <w:tcW w:w="900" w:type="dxa"/>
            <w:vAlign w:val="bottom"/>
            <w:tcBorders>
              <w:bottom w:val="single" w:sz="8" w:color="auto"/>
            </w:tcBorders>
          </w:tcPr>
          <w:p>
            <w:pPr>
              <w:spacing w:after="0"/>
              <w:rPr>
                <w:sz w:val="3"/>
                <w:szCs w:val="3"/>
                <w:color w:val="auto"/>
              </w:rPr>
            </w:pPr>
          </w:p>
        </w:tc>
        <w:tc>
          <w:tcPr>
            <w:tcW w:w="7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620" w:type="dxa"/>
            <w:vAlign w:val="bottom"/>
            <w:vMerge w:val="continue"/>
          </w:tcPr>
          <w:p>
            <w:pPr>
              <w:spacing w:after="0"/>
              <w:rPr>
                <w:sz w:val="16"/>
                <w:szCs w:val="16"/>
                <w:color w:val="auto"/>
              </w:rPr>
            </w:pPr>
          </w:p>
        </w:tc>
        <w:tc>
          <w:tcPr>
            <w:tcW w:w="900" w:type="dxa"/>
            <w:vAlign w:val="bottom"/>
          </w:tcPr>
          <w:p>
            <w:pPr>
              <w:jc w:val="right"/>
              <w:ind w:right="153"/>
              <w:spacing w:after="0" w:line="189" w:lineRule="exact"/>
              <w:rPr>
                <w:sz w:val="20"/>
                <w:szCs w:val="20"/>
                <w:color w:val="auto"/>
              </w:rPr>
            </w:pPr>
            <w:r>
              <w:rPr>
                <w:rFonts w:ascii="Arial" w:cs="Arial" w:eastAsia="Arial" w:hAnsi="Arial"/>
                <w:sz w:val="21"/>
                <w:szCs w:val="21"/>
                <w:b w:val="1"/>
                <w:bCs w:val="1"/>
                <w:color w:val="auto"/>
              </w:rPr>
              <w:t>8</w:t>
            </w:r>
          </w:p>
        </w:tc>
        <w:tc>
          <w:tcPr>
            <w:tcW w:w="7740" w:type="dxa"/>
            <w:vAlign w:val="bottom"/>
          </w:tcPr>
          <w:p>
            <w:pPr>
              <w:ind w:left="260"/>
              <w:spacing w:after="0" w:line="189" w:lineRule="exact"/>
              <w:rPr>
                <w:sz w:val="20"/>
                <w:szCs w:val="20"/>
                <w:color w:val="auto"/>
              </w:rPr>
            </w:pPr>
            <w:r>
              <w:rPr>
                <w:rFonts w:ascii="Arial" w:cs="Arial" w:eastAsia="Arial" w:hAnsi="Arial"/>
                <w:sz w:val="21"/>
                <w:szCs w:val="21"/>
                <w:color w:val="auto"/>
              </w:rPr>
              <w:t>SHARED DISPOSITIVE POWER</w:t>
            </w:r>
          </w:p>
        </w:tc>
        <w:tc>
          <w:tcPr>
            <w:tcW w:w="0" w:type="dxa"/>
            <w:vAlign w:val="bottom"/>
          </w:tcPr>
          <w:p>
            <w:pPr>
              <w:spacing w:after="0"/>
              <w:rPr>
                <w:sz w:val="1"/>
                <w:szCs w:val="1"/>
                <w:color w:val="auto"/>
              </w:rPr>
            </w:pPr>
          </w:p>
        </w:tc>
      </w:tr>
      <w:tr>
        <w:trPr>
          <w:trHeight w:val="307"/>
        </w:trPr>
        <w:tc>
          <w:tcPr>
            <w:tcW w:w="2620" w:type="dxa"/>
            <w:vAlign w:val="bottom"/>
          </w:tcPr>
          <w:p>
            <w:pPr>
              <w:jc w:val="center"/>
              <w:spacing w:after="0"/>
              <w:rPr>
                <w:sz w:val="20"/>
                <w:szCs w:val="20"/>
                <w:color w:val="auto"/>
              </w:rPr>
            </w:pPr>
            <w:r>
              <w:rPr>
                <w:rFonts w:ascii="Arial" w:cs="Arial" w:eastAsia="Arial" w:hAnsi="Arial"/>
                <w:sz w:val="22"/>
                <w:szCs w:val="22"/>
                <w:color w:val="auto"/>
                <w:w w:val="99"/>
              </w:rPr>
              <w:t>WITH</w:t>
            </w:r>
          </w:p>
        </w:tc>
        <w:tc>
          <w:tcPr>
            <w:tcW w:w="900" w:type="dxa"/>
            <w:vAlign w:val="bottom"/>
          </w:tcPr>
          <w:p>
            <w:pPr>
              <w:spacing w:after="0"/>
              <w:rPr>
                <w:sz w:val="24"/>
                <w:szCs w:val="24"/>
                <w:color w:val="auto"/>
              </w:rPr>
            </w:pPr>
          </w:p>
        </w:tc>
        <w:tc>
          <w:tcPr>
            <w:tcW w:w="7740" w:type="dxa"/>
            <w:vAlign w:val="bottom"/>
          </w:tcPr>
          <w:p>
            <w:pPr>
              <w:ind w:left="260"/>
              <w:spacing w:after="0"/>
              <w:rPr>
                <w:sz w:val="20"/>
                <w:szCs w:val="20"/>
                <w:color w:val="auto"/>
              </w:rPr>
            </w:pPr>
            <w:r>
              <w:rPr>
                <w:rFonts w:ascii="Arial" w:cs="Arial" w:eastAsia="Arial" w:hAnsi="Arial"/>
                <w:sz w:val="22"/>
                <w:szCs w:val="22"/>
                <w:color w:val="auto"/>
              </w:rPr>
              <w:t>1,983,468</w:t>
            </w:r>
          </w:p>
        </w:tc>
        <w:tc>
          <w:tcPr>
            <w:tcW w:w="0" w:type="dxa"/>
            <w:vAlign w:val="bottom"/>
          </w:tcPr>
          <w:p>
            <w:pPr>
              <w:spacing w:after="0"/>
              <w:rPr>
                <w:sz w:val="1"/>
                <w:szCs w:val="1"/>
                <w:color w:val="auto"/>
              </w:rPr>
            </w:pPr>
          </w:p>
        </w:tc>
      </w:tr>
    </w:tbl>
    <w:p>
      <w:pPr>
        <w:ind w:left="1500" w:right="1880" w:hanging="797"/>
        <w:spacing w:after="0" w:line="243" w:lineRule="auto"/>
        <w:tabs>
          <w:tab w:leader="none" w:pos="1500" w:val="left"/>
        </w:tabs>
        <w:numPr>
          <w:ilvl w:val="0"/>
          <w:numId w:val="6"/>
        </w:numPr>
        <w:rPr>
          <w:rFonts w:ascii="Arial" w:cs="Arial" w:eastAsia="Arial" w:hAnsi="Arial"/>
          <w:sz w:val="22"/>
          <w:szCs w:val="22"/>
          <w:b w:val="1"/>
          <w:bCs w:val="1"/>
          <w:color w:val="auto"/>
        </w:rPr>
      </w:pPr>
      <w:r>
        <w:rPr>
          <w:rFonts w:ascii="Arial" w:cs="Arial" w:eastAsia="Arial" w:hAnsi="Arial"/>
          <w:sz w:val="22"/>
          <w:szCs w:val="22"/>
          <w:color w:val="auto"/>
        </w:rPr>
        <w:t>AGGREGATE AMOUNT BENEFICIALLY OWNED BY EACH REPORTING PERSON 1,983,668</w:t>
      </w:r>
    </w:p>
    <w:p>
      <w:pPr>
        <w:spacing w:after="0" w:line="1" w:lineRule="exact"/>
        <w:rPr>
          <w:sz w:val="20"/>
          <w:szCs w:val="20"/>
          <w:color w:val="auto"/>
        </w:rPr>
      </w:pPr>
    </w:p>
    <w:p>
      <w:pPr>
        <w:ind w:left="1500" w:right="1160" w:hanging="851"/>
        <w:spacing w:after="0" w:line="243" w:lineRule="auto"/>
        <w:tabs>
          <w:tab w:leader="none" w:pos="1500" w:val="left"/>
        </w:tabs>
        <w:numPr>
          <w:ilvl w:val="0"/>
          <w:numId w:val="7"/>
        </w:numPr>
        <w:rPr>
          <w:rFonts w:ascii="Arial" w:cs="Arial" w:eastAsia="Arial" w:hAnsi="Arial"/>
          <w:sz w:val="22"/>
          <w:szCs w:val="22"/>
          <w:b w:val="1"/>
          <w:bCs w:val="1"/>
          <w:color w:val="auto"/>
        </w:rPr>
      </w:pPr>
      <w:r>
        <w:rPr>
          <w:rFonts w:ascii="Arial" w:cs="Arial" w:eastAsia="Arial" w:hAnsi="Arial"/>
          <w:sz w:val="22"/>
          <w:szCs w:val="22"/>
          <w:color w:val="auto"/>
        </w:rPr>
        <w:t>CHECK BOX IF THE AGGREGATE AMOUNT IN ROW (9) EXCLUDES CERTAIN SHARES* N/A</w:t>
      </w:r>
    </w:p>
    <w:p>
      <w:pPr>
        <w:ind w:left="1500" w:right="3820" w:hanging="845"/>
        <w:spacing w:after="0" w:line="243" w:lineRule="auto"/>
        <w:tabs>
          <w:tab w:leader="none" w:pos="1500" w:val="left"/>
        </w:tabs>
        <w:numPr>
          <w:ilvl w:val="0"/>
          <w:numId w:val="7"/>
        </w:numPr>
        <w:rPr>
          <w:rFonts w:ascii="Arial" w:cs="Arial" w:eastAsia="Arial" w:hAnsi="Arial"/>
          <w:sz w:val="22"/>
          <w:szCs w:val="22"/>
          <w:b w:val="1"/>
          <w:bCs w:val="1"/>
          <w:color w:val="auto"/>
        </w:rPr>
      </w:pPr>
      <w:r>
        <w:rPr>
          <w:rFonts w:ascii="Arial" w:cs="Arial" w:eastAsia="Arial" w:hAnsi="Arial"/>
          <w:sz w:val="22"/>
          <w:szCs w:val="22"/>
          <w:color w:val="auto"/>
        </w:rPr>
        <w:t>PERCENT OF CLASS REPRESENTED BY AMOUNT IN ROW 9 5.3%</w:t>
      </w:r>
    </w:p>
    <w:p>
      <w:pPr>
        <w:ind w:left="1500" w:right="6740" w:hanging="851"/>
        <w:spacing w:after="0" w:line="246" w:lineRule="auto"/>
        <w:tabs>
          <w:tab w:leader="none" w:pos="1500" w:val="left"/>
        </w:tabs>
        <w:numPr>
          <w:ilvl w:val="0"/>
          <w:numId w:val="7"/>
        </w:numPr>
        <w:rPr>
          <w:rFonts w:ascii="Arial" w:cs="Arial" w:eastAsia="Arial" w:hAnsi="Arial"/>
          <w:sz w:val="22"/>
          <w:szCs w:val="22"/>
          <w:b w:val="1"/>
          <w:bCs w:val="1"/>
          <w:color w:val="auto"/>
        </w:rPr>
      </w:pPr>
      <w:r>
        <w:rPr>
          <w:rFonts w:ascii="Arial" w:cs="Arial" w:eastAsia="Arial" w:hAnsi="Arial"/>
          <w:sz w:val="22"/>
          <w:szCs w:val="22"/>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435610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781" w:right="319" w:bottom="1440" w:gutter="0" w:footer="0" w:header="0"/>
        </w:sectPr>
      </w:pPr>
    </w:p>
    <w:bookmarkStart w:id="2" w:name="page3"/>
    <w:bookmarkEnd w:id="2"/>
    <w:p>
      <w:pPr>
        <w:spacing w:after="0"/>
        <w:rPr>
          <w:sz w:val="20"/>
          <w:szCs w:val="20"/>
          <w:color w:val="auto"/>
        </w:rPr>
      </w:pPr>
      <w:r>
        <w:rPr>
          <w:rFonts w:ascii="Arial" w:cs="Arial" w:eastAsia="Arial" w:hAnsi="Arial"/>
          <w:sz w:val="22"/>
          <w:szCs w:val="22"/>
          <w:u w:val="single" w:color="auto"/>
          <w:color w:val="auto"/>
        </w:rPr>
        <w:t>Item 1(a)</w:t>
      </w:r>
      <w:r>
        <w:rPr>
          <w:rFonts w:ascii="Arial" w:cs="Arial" w:eastAsia="Arial" w:hAnsi="Arial"/>
          <w:sz w:val="22"/>
          <w:szCs w:val="22"/>
          <w:color w:val="auto"/>
        </w:rPr>
        <w:t xml:space="preserve">: </w:t>
      </w:r>
      <w:r>
        <w:rPr>
          <w:rFonts w:ascii="Arial" w:cs="Arial" w:eastAsia="Arial" w:hAnsi="Arial"/>
          <w:sz w:val="22"/>
          <w:szCs w:val="22"/>
          <w:u w:val="single" w:color="auto"/>
          <w:color w:val="auto"/>
        </w:rPr>
        <w:t>Name of Issuer</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Athira Pharma, Inc. (the "</w:t>
      </w:r>
      <w:r>
        <w:rPr>
          <w:rFonts w:ascii="Arial" w:cs="Arial" w:eastAsia="Arial" w:hAnsi="Arial"/>
          <w:sz w:val="22"/>
          <w:szCs w:val="22"/>
          <w:u w:val="single" w:color="auto"/>
          <w:color w:val="auto"/>
        </w:rPr>
        <w:t>Issuer</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1(b)</w:t>
      </w:r>
      <w:r>
        <w:rPr>
          <w:rFonts w:ascii="Arial" w:cs="Arial" w:eastAsia="Arial" w:hAnsi="Arial"/>
          <w:sz w:val="22"/>
          <w:szCs w:val="22"/>
          <w:color w:val="auto"/>
        </w:rPr>
        <w:t xml:space="preserve">: </w:t>
      </w:r>
      <w:r>
        <w:rPr>
          <w:rFonts w:ascii="Arial" w:cs="Arial" w:eastAsia="Arial" w:hAnsi="Arial"/>
          <w:sz w:val="22"/>
          <w:szCs w:val="22"/>
          <w:u w:val="single" w:color="auto"/>
          <w:color w:val="auto"/>
        </w:rPr>
        <w:t>Address of Issuer's Principal Executive Offices</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Issuer's principal executive offices are located at 18706 North Creek Parkway, Suite 104, Bothell, WA 98011.</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2(a)</w:t>
      </w:r>
      <w:r>
        <w:rPr>
          <w:rFonts w:ascii="Arial" w:cs="Arial" w:eastAsia="Arial" w:hAnsi="Arial"/>
          <w:sz w:val="22"/>
          <w:szCs w:val="22"/>
          <w:color w:val="auto"/>
        </w:rPr>
        <w:t xml:space="preserve">: </w:t>
      </w:r>
      <w:r>
        <w:rPr>
          <w:rFonts w:ascii="Arial" w:cs="Arial" w:eastAsia="Arial" w:hAnsi="Arial"/>
          <w:sz w:val="22"/>
          <w:szCs w:val="22"/>
          <w:u w:val="single" w:color="auto"/>
          <w:color w:val="auto"/>
        </w:rPr>
        <w:t>Name of Person Filing</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This Statement is filed on behalf of Richard A. Kayne (“Mr. Kayne”). Mr. Kayne is referred to as the “Reporting Person” in this Statement. Any disclosures herein with respect to persons other than the Reporting Person are made on information and belief after making inquiry to the appropriate party.</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2(b)</w:t>
      </w:r>
      <w:r>
        <w:rPr>
          <w:rFonts w:ascii="Arial" w:cs="Arial" w:eastAsia="Arial" w:hAnsi="Arial"/>
          <w:sz w:val="22"/>
          <w:szCs w:val="22"/>
          <w:color w:val="auto"/>
        </w:rPr>
        <w:t xml:space="preserve">: </w:t>
      </w:r>
      <w:r>
        <w:rPr>
          <w:rFonts w:ascii="Arial" w:cs="Arial" w:eastAsia="Arial" w:hAnsi="Arial"/>
          <w:sz w:val="22"/>
          <w:szCs w:val="22"/>
          <w:u w:val="single" w:color="auto"/>
          <w:color w:val="auto"/>
        </w:rPr>
        <w:t>Address of Principal Business Office or, if None, Residence</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address of the principal business office of Mr. Kayne is 1800 Avenue of the Stars, Third Floor Los Angeles, CA</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90067.</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2(c)</w:t>
      </w:r>
      <w:r>
        <w:rPr>
          <w:rFonts w:ascii="Arial" w:cs="Arial" w:eastAsia="Arial" w:hAnsi="Arial"/>
          <w:sz w:val="22"/>
          <w:szCs w:val="22"/>
          <w:color w:val="auto"/>
        </w:rPr>
        <w:t xml:space="preserve">: </w:t>
      </w:r>
      <w:r>
        <w:rPr>
          <w:rFonts w:ascii="Arial" w:cs="Arial" w:eastAsia="Arial" w:hAnsi="Arial"/>
          <w:sz w:val="22"/>
          <w:szCs w:val="22"/>
          <w:u w:val="single" w:color="auto"/>
          <w:color w:val="auto"/>
        </w:rPr>
        <w:t>Citizenship</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Mr. Kayne is a United States citizen.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2(d)</w:t>
      </w:r>
      <w:r>
        <w:rPr>
          <w:rFonts w:ascii="Arial" w:cs="Arial" w:eastAsia="Arial" w:hAnsi="Arial"/>
          <w:sz w:val="22"/>
          <w:szCs w:val="22"/>
          <w:color w:val="auto"/>
        </w:rPr>
        <w:t xml:space="preserve">: </w:t>
      </w:r>
      <w:r>
        <w:rPr>
          <w:rFonts w:ascii="Arial" w:cs="Arial" w:eastAsia="Arial" w:hAnsi="Arial"/>
          <w:sz w:val="22"/>
          <w:szCs w:val="22"/>
          <w:u w:val="single" w:color="auto"/>
          <w:color w:val="auto"/>
        </w:rPr>
        <w:t>Title of Class of Securities</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Common Stock, $0.0001 par value per share ("</w:t>
      </w:r>
      <w:r>
        <w:rPr>
          <w:rFonts w:ascii="Arial" w:cs="Arial" w:eastAsia="Arial" w:hAnsi="Arial"/>
          <w:sz w:val="22"/>
          <w:szCs w:val="22"/>
          <w:u w:val="single" w:color="auto"/>
          <w:color w:val="auto"/>
        </w:rPr>
        <w:t>Common Stock</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2(e)</w:t>
      </w:r>
      <w:r>
        <w:rPr>
          <w:rFonts w:ascii="Arial" w:cs="Arial" w:eastAsia="Arial" w:hAnsi="Arial"/>
          <w:sz w:val="22"/>
          <w:szCs w:val="22"/>
          <w:color w:val="auto"/>
        </w:rPr>
        <w:t xml:space="preserve">: </w:t>
      </w:r>
      <w:r>
        <w:rPr>
          <w:rFonts w:ascii="Arial" w:cs="Arial" w:eastAsia="Arial" w:hAnsi="Arial"/>
          <w:sz w:val="22"/>
          <w:szCs w:val="22"/>
          <w:u w:val="single" w:color="auto"/>
          <w:color w:val="auto"/>
        </w:rPr>
        <w:t>CUSIP Number</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04746L104.</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3</w:t>
      </w:r>
      <w:r>
        <w:rPr>
          <w:rFonts w:ascii="Arial" w:cs="Arial" w:eastAsia="Arial" w:hAnsi="Arial"/>
          <w:sz w:val="22"/>
          <w:szCs w:val="22"/>
          <w:color w:val="auto"/>
        </w:rPr>
        <w:t xml:space="preserve">: </w:t>
      </w:r>
      <w:r>
        <w:rPr>
          <w:rFonts w:ascii="Arial" w:cs="Arial" w:eastAsia="Arial" w:hAnsi="Arial"/>
          <w:sz w:val="22"/>
          <w:szCs w:val="22"/>
          <w:u w:val="single" w:color="auto"/>
          <w:color w:val="auto"/>
        </w:rPr>
        <w:t>If this statement is filed pursuant to Rules 13d-1(b) or 13d-2(b) or (c), check whether the person filing is a:</w:t>
      </w:r>
    </w:p>
    <w:p>
      <w:pPr>
        <w:spacing w:after="0" w:line="206" w:lineRule="exact"/>
        <w:rPr>
          <w:sz w:val="20"/>
          <w:szCs w:val="20"/>
          <w:color w:val="auto"/>
        </w:rPr>
      </w:pPr>
    </w:p>
    <w:p>
      <w:pPr>
        <w:ind w:left="1540" w:hanging="533"/>
        <w:spacing w:after="0"/>
        <w:tabs>
          <w:tab w:leader="none" w:pos="154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w:t>
      </w:r>
    </w:p>
    <w:p>
      <w:pPr>
        <w:spacing w:after="0" w:line="8" w:lineRule="exact"/>
        <w:rPr>
          <w:rFonts w:ascii="Arial" w:cs="Arial" w:eastAsia="Arial" w:hAnsi="Arial"/>
          <w:sz w:val="22"/>
          <w:szCs w:val="22"/>
          <w:color w:val="auto"/>
        </w:rPr>
      </w:pPr>
    </w:p>
    <w:p>
      <w:pPr>
        <w:ind w:left="1540" w:hanging="533"/>
        <w:spacing w:after="0" w:line="230" w:lineRule="auto"/>
        <w:tabs>
          <w:tab w:leader="none" w:pos="154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Bank as defined in Section 3(a)(6) of the Act,</w:t>
      </w:r>
    </w:p>
    <w:p>
      <w:pPr>
        <w:ind w:left="1540" w:hanging="533"/>
        <w:spacing w:after="0" w:line="230" w:lineRule="auto"/>
        <w:tabs>
          <w:tab w:leader="none" w:pos="154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w:t>
      </w:r>
    </w:p>
    <w:p>
      <w:pPr>
        <w:ind w:left="1540" w:hanging="533"/>
        <w:spacing w:after="0" w:line="230" w:lineRule="auto"/>
        <w:tabs>
          <w:tab w:leader="none" w:pos="154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w:t>
      </w:r>
    </w:p>
    <w:p>
      <w:pPr>
        <w:ind w:left="1540" w:hanging="533"/>
        <w:spacing w:after="0" w:line="230" w:lineRule="auto"/>
        <w:tabs>
          <w:tab w:leader="none" w:pos="154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Investment Adviser in accordance with Rule 13d-1(b)(1)(ii)(E),</w:t>
      </w:r>
    </w:p>
    <w:p>
      <w:pPr>
        <w:ind w:left="1540" w:hanging="533"/>
        <w:spacing w:after="0" w:line="230" w:lineRule="auto"/>
        <w:tabs>
          <w:tab w:leader="none" w:pos="154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Employee Benefit Plan or Endowment Fund in accordance with 13d-1 (b)(1)(ii)(F),</w:t>
      </w:r>
    </w:p>
    <w:p>
      <w:pPr>
        <w:ind w:left="1540" w:hanging="533"/>
        <w:spacing w:after="0" w:line="230" w:lineRule="auto"/>
        <w:tabs>
          <w:tab w:leader="none" w:pos="154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Parent Holding Company or control person in accordance with Rule 13d-1(b)(1)(ii)(G),</w:t>
      </w:r>
    </w:p>
    <w:p>
      <w:pPr>
        <w:ind w:left="1540" w:hanging="533"/>
        <w:spacing w:after="0" w:line="230" w:lineRule="auto"/>
        <w:tabs>
          <w:tab w:leader="none" w:pos="154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Savings Association as defined in Section 3(b) of the Federal Deposit Insurance Act,</w:t>
      </w:r>
    </w:p>
    <w:p>
      <w:pPr>
        <w:ind w:left="2060" w:right="100" w:hanging="1053"/>
        <w:spacing w:after="0" w:line="230" w:lineRule="auto"/>
        <w:tabs>
          <w:tab w:leader="none" w:pos="1533" w:val="left"/>
        </w:tabs>
        <w:numPr>
          <w:ilvl w:val="0"/>
          <w:numId w:val="8"/>
        </w:numPr>
        <w:rPr>
          <w:rFonts w:ascii="Arial" w:cs="Arial" w:eastAsia="Arial" w:hAnsi="Arial"/>
          <w:sz w:val="22"/>
          <w:szCs w:val="22"/>
          <w:color w:val="auto"/>
        </w:rPr>
      </w:pPr>
      <w:r>
        <w:rPr>
          <w:rFonts w:ascii="Arial" w:cs="Arial" w:eastAsia="Arial" w:hAnsi="Arial"/>
          <w:sz w:val="22"/>
          <w:szCs w:val="22"/>
          <w:color w:val="auto"/>
        </w:rPr>
        <w:t>[ ] Church Plan that is excluded from the definition of an investment company under Section 3(c)(14) of the Investment Company Act of 1940,</w:t>
      </w:r>
    </w:p>
    <w:p>
      <w:pPr>
        <w:spacing w:after="0" w:line="1" w:lineRule="exact"/>
        <w:rPr>
          <w:rFonts w:ascii="Arial" w:cs="Arial" w:eastAsia="Arial" w:hAnsi="Arial"/>
          <w:sz w:val="22"/>
          <w:szCs w:val="22"/>
          <w:color w:val="auto"/>
        </w:rPr>
      </w:pPr>
    </w:p>
    <w:p>
      <w:pPr>
        <w:ind w:left="1540" w:hanging="533"/>
        <w:spacing w:after="0"/>
        <w:tabs>
          <w:tab w:leader="none" w:pos="154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Group, in accordance with Rule 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u w:val="single" w:color="auto"/>
          <w:color w:val="auto"/>
        </w:rPr>
        <w:t>Item 4</w:t>
      </w:r>
      <w:r>
        <w:rPr>
          <w:rFonts w:ascii="Arial" w:cs="Arial" w:eastAsia="Arial" w:hAnsi="Arial"/>
          <w:sz w:val="22"/>
          <w:szCs w:val="22"/>
          <w:color w:val="auto"/>
        </w:rPr>
        <w:t xml:space="preserve">: </w:t>
      </w:r>
      <w:r>
        <w:rPr>
          <w:rFonts w:ascii="Arial" w:cs="Arial" w:eastAsia="Arial" w:hAnsi="Arial"/>
          <w:sz w:val="22"/>
          <w:szCs w:val="22"/>
          <w:u w:val="single" w:color="auto"/>
          <w:color w:val="auto"/>
        </w:rPr>
        <w:t>Ownership:</w:t>
      </w:r>
    </w:p>
    <w:p>
      <w:pPr>
        <w:spacing w:after="0" w:line="233" w:lineRule="exact"/>
        <w:rPr>
          <w:sz w:val="20"/>
          <w:szCs w:val="20"/>
          <w:color w:val="auto"/>
        </w:rPr>
      </w:pPr>
    </w:p>
    <w:p>
      <w:pPr>
        <w:ind w:left="1600" w:hanging="296"/>
        <w:spacing w:after="0"/>
        <w:tabs>
          <w:tab w:leader="none" w:pos="1600" w:val="left"/>
        </w:tabs>
        <w:numPr>
          <w:ilvl w:val="0"/>
          <w:numId w:val="9"/>
        </w:numPr>
        <w:rPr>
          <w:rFonts w:ascii="Arial" w:cs="Arial" w:eastAsia="Arial" w:hAnsi="Arial"/>
          <w:sz w:val="22"/>
          <w:szCs w:val="22"/>
          <w:color w:val="auto"/>
        </w:rPr>
      </w:pPr>
      <w:r>
        <w:rPr>
          <w:rFonts w:ascii="Arial" w:cs="Arial" w:eastAsia="Arial" w:hAnsi="Arial"/>
          <w:sz w:val="22"/>
          <w:szCs w:val="22"/>
          <w:color w:val="auto"/>
        </w:rPr>
        <w:t>Amount beneficially owned: 1,983,668 shares of Common Stock.</w:t>
      </w:r>
    </w:p>
    <w:p>
      <w:pPr>
        <w:spacing w:after="0" w:line="206" w:lineRule="exact"/>
        <w:rPr>
          <w:rFonts w:ascii="Arial" w:cs="Arial" w:eastAsia="Arial" w:hAnsi="Arial"/>
          <w:sz w:val="22"/>
          <w:szCs w:val="22"/>
          <w:color w:val="auto"/>
        </w:rPr>
      </w:pPr>
    </w:p>
    <w:p>
      <w:pPr>
        <w:jc w:val="both"/>
        <w:ind w:left="660" w:firstLine="644"/>
        <w:spacing w:after="0" w:line="236" w:lineRule="auto"/>
        <w:tabs>
          <w:tab w:leader="none" w:pos="1641" w:val="left"/>
        </w:tabs>
        <w:numPr>
          <w:ilvl w:val="0"/>
          <w:numId w:val="9"/>
        </w:numPr>
        <w:rPr>
          <w:rFonts w:ascii="Arial" w:cs="Arial" w:eastAsia="Arial" w:hAnsi="Arial"/>
          <w:sz w:val="22"/>
          <w:szCs w:val="22"/>
          <w:color w:val="auto"/>
        </w:rPr>
      </w:pPr>
      <w:r>
        <w:rPr>
          <w:rFonts w:ascii="Arial" w:cs="Arial" w:eastAsia="Arial" w:hAnsi="Arial"/>
          <w:sz w:val="22"/>
          <w:szCs w:val="22"/>
          <w:color w:val="auto"/>
        </w:rPr>
        <w:t>Percent of class: 5.228%. The percentages used herein and in the rest of this Schedule 13G are calculated based upon the 37,944,190 shares of the Issuer’s Common Stock outstanding as of March 22, 2023, as reported in the Issuer’s Definitive Proxy Statement filed with the Securities and Exchange Commission on April 5, 2023. Except as described in the preceding sentence, all amounts reported in this Schedule 13G are as of the opening of the market on April 20, 2023.</w:t>
      </w:r>
    </w:p>
    <w:p>
      <w:pPr>
        <w:spacing w:after="0" w:line="187" w:lineRule="exact"/>
        <w:rPr>
          <w:rFonts w:ascii="Arial" w:cs="Arial" w:eastAsia="Arial" w:hAnsi="Arial"/>
          <w:sz w:val="22"/>
          <w:szCs w:val="22"/>
          <w:color w:val="auto"/>
        </w:rPr>
      </w:pPr>
    </w:p>
    <w:p>
      <w:pPr>
        <w:ind w:left="1600" w:hanging="296"/>
        <w:spacing w:after="0"/>
        <w:tabs>
          <w:tab w:leader="none" w:pos="1600" w:val="left"/>
        </w:tabs>
        <w:numPr>
          <w:ilvl w:val="0"/>
          <w:numId w:val="9"/>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206" w:lineRule="exact"/>
        <w:rPr>
          <w:rFonts w:ascii="Arial" w:cs="Arial" w:eastAsia="Arial" w:hAnsi="Arial"/>
          <w:sz w:val="22"/>
          <w:szCs w:val="22"/>
          <w:color w:val="auto"/>
        </w:rPr>
      </w:pPr>
    </w:p>
    <w:p>
      <w:pPr>
        <w:ind w:left="2400" w:hanging="448"/>
        <w:spacing w:after="0"/>
        <w:tabs>
          <w:tab w:leader="none" w:pos="2400" w:val="left"/>
        </w:tabs>
        <w:numPr>
          <w:ilvl w:val="1"/>
          <w:numId w:val="9"/>
        </w:numPr>
        <w:rPr>
          <w:rFonts w:ascii="Arial" w:cs="Arial" w:eastAsia="Arial" w:hAnsi="Arial"/>
          <w:sz w:val="22"/>
          <w:szCs w:val="22"/>
          <w:color w:val="auto"/>
        </w:rPr>
      </w:pPr>
      <w:r>
        <w:rPr>
          <w:rFonts w:ascii="Arial" w:cs="Arial" w:eastAsia="Arial" w:hAnsi="Arial"/>
          <w:sz w:val="22"/>
          <w:szCs w:val="22"/>
          <w:color w:val="auto"/>
        </w:rPr>
        <w:t>Sole power to vote or direct the vote: 200</w:t>
      </w:r>
    </w:p>
    <w:p>
      <w:pPr>
        <w:spacing w:after="0" w:line="8" w:lineRule="exact"/>
        <w:rPr>
          <w:rFonts w:ascii="Arial" w:cs="Arial" w:eastAsia="Arial" w:hAnsi="Arial"/>
          <w:sz w:val="22"/>
          <w:szCs w:val="22"/>
          <w:color w:val="auto"/>
        </w:rPr>
      </w:pPr>
    </w:p>
    <w:p>
      <w:pPr>
        <w:ind w:left="2400" w:hanging="448"/>
        <w:spacing w:after="0" w:line="230" w:lineRule="auto"/>
        <w:tabs>
          <w:tab w:leader="none" w:pos="2400" w:val="left"/>
        </w:tabs>
        <w:numPr>
          <w:ilvl w:val="1"/>
          <w:numId w:val="9"/>
        </w:numPr>
        <w:rPr>
          <w:rFonts w:ascii="Arial" w:cs="Arial" w:eastAsia="Arial" w:hAnsi="Arial"/>
          <w:sz w:val="22"/>
          <w:szCs w:val="22"/>
          <w:color w:val="auto"/>
        </w:rPr>
      </w:pPr>
      <w:r>
        <w:rPr>
          <w:rFonts w:ascii="Arial" w:cs="Arial" w:eastAsia="Arial" w:hAnsi="Arial"/>
          <w:sz w:val="22"/>
          <w:szCs w:val="22"/>
          <w:color w:val="auto"/>
        </w:rPr>
        <w:t>Shared power to vote or direct the vote: 1,983,468</w:t>
      </w:r>
    </w:p>
    <w:p>
      <w:pPr>
        <w:ind w:left="2400" w:hanging="448"/>
        <w:spacing w:after="0" w:line="230" w:lineRule="auto"/>
        <w:tabs>
          <w:tab w:leader="none" w:pos="2400" w:val="left"/>
        </w:tabs>
        <w:numPr>
          <w:ilvl w:val="1"/>
          <w:numId w:val="9"/>
        </w:numPr>
        <w:rPr>
          <w:rFonts w:ascii="Arial" w:cs="Arial" w:eastAsia="Arial" w:hAnsi="Arial"/>
          <w:sz w:val="22"/>
          <w:szCs w:val="22"/>
          <w:color w:val="auto"/>
        </w:rPr>
      </w:pPr>
      <w:r>
        <w:rPr>
          <w:rFonts w:ascii="Arial" w:cs="Arial" w:eastAsia="Arial" w:hAnsi="Arial"/>
          <w:sz w:val="22"/>
          <w:szCs w:val="22"/>
          <w:color w:val="auto"/>
        </w:rPr>
        <w:t>Sole power to dispose or direct the disposition: 200</w:t>
      </w:r>
    </w:p>
    <w:p>
      <w:pPr>
        <w:ind w:left="2400" w:hanging="448"/>
        <w:spacing w:after="0"/>
        <w:tabs>
          <w:tab w:leader="none" w:pos="2400" w:val="left"/>
        </w:tabs>
        <w:numPr>
          <w:ilvl w:val="1"/>
          <w:numId w:val="9"/>
        </w:numPr>
        <w:rPr>
          <w:rFonts w:ascii="Arial" w:cs="Arial" w:eastAsia="Arial" w:hAnsi="Arial"/>
          <w:sz w:val="22"/>
          <w:szCs w:val="22"/>
          <w:color w:val="auto"/>
        </w:rPr>
      </w:pPr>
      <w:r>
        <w:rPr>
          <w:rFonts w:ascii="Arial" w:cs="Arial" w:eastAsia="Arial" w:hAnsi="Arial"/>
          <w:sz w:val="22"/>
          <w:szCs w:val="22"/>
          <w:color w:val="auto"/>
        </w:rPr>
        <w:t>Shared power to dispose or direct the disposition: 1,983,468</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5</w:t>
      </w:r>
      <w:r>
        <w:rPr>
          <w:rFonts w:ascii="Arial" w:cs="Arial" w:eastAsia="Arial" w:hAnsi="Arial"/>
          <w:sz w:val="22"/>
          <w:szCs w:val="22"/>
          <w:color w:val="auto"/>
        </w:rPr>
        <w:t xml:space="preserve">: </w:t>
      </w:r>
      <w:r>
        <w:rPr>
          <w:rFonts w:ascii="Arial" w:cs="Arial" w:eastAsia="Arial" w:hAnsi="Arial"/>
          <w:sz w:val="22"/>
          <w:szCs w:val="22"/>
          <w:u w:val="single" w:color="auto"/>
          <w:color w:val="auto"/>
        </w:rPr>
        <w:t>Ownership of Five Percent or Less of a Class</w:t>
      </w:r>
      <w:r>
        <w:rPr>
          <w:rFonts w:ascii="Arial" w:cs="Arial" w:eastAsia="Arial" w:hAnsi="Arial"/>
          <w:sz w:val="22"/>
          <w:szCs w:val="22"/>
          <w:color w:val="auto"/>
        </w:rPr>
        <w:t>:</w:t>
      </w:r>
    </w:p>
    <w:p>
      <w:pPr>
        <w:spacing w:after="0" w:line="206" w:lineRule="exact"/>
        <w:rPr>
          <w:sz w:val="20"/>
          <w:szCs w:val="20"/>
          <w:color w:val="auto"/>
        </w:rPr>
      </w:pPr>
    </w:p>
    <w:p>
      <w:pPr>
        <w:jc w:val="both"/>
        <w:ind w:left="660"/>
        <w:spacing w:after="0" w:line="278" w:lineRule="exact"/>
        <w:rPr>
          <w:sz w:val="20"/>
          <w:szCs w:val="20"/>
          <w:color w:val="auto"/>
        </w:rPr>
      </w:pPr>
      <w:r>
        <w:rPr>
          <w:rFonts w:ascii="Arial" w:cs="Arial" w:eastAsia="Arial" w:hAnsi="Arial"/>
          <w:sz w:val="22"/>
          <w:szCs w:val="22"/>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22"/>
          <w:szCs w:val="22"/>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6</w:t>
      </w:r>
      <w:r>
        <w:rPr>
          <w:rFonts w:ascii="Arial" w:cs="Arial" w:eastAsia="Arial" w:hAnsi="Arial"/>
          <w:sz w:val="22"/>
          <w:szCs w:val="22"/>
          <w:color w:val="auto"/>
        </w:rPr>
        <w:t xml:space="preserve">: </w:t>
      </w:r>
      <w:r>
        <w:rPr>
          <w:rFonts w:ascii="Arial" w:cs="Arial" w:eastAsia="Arial" w:hAnsi="Arial"/>
          <w:sz w:val="22"/>
          <w:szCs w:val="22"/>
          <w:u w:val="single" w:color="auto"/>
          <w:color w:val="auto"/>
        </w:rPr>
        <w:t>Ownership of More than Five Percent on Behalf of Another Person</w:t>
      </w:r>
      <w:r>
        <w:rPr>
          <w:rFonts w:ascii="Arial" w:cs="Arial" w:eastAsia="Arial" w:hAnsi="Arial"/>
          <w:sz w:val="22"/>
          <w:szCs w:val="22"/>
          <w:color w:val="auto"/>
        </w:rPr>
        <w:t>:</w:t>
      </w:r>
    </w:p>
    <w:p>
      <w:pPr>
        <w:spacing w:after="0" w:line="20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Other than as set forth herein, no other person has the right to receive or the power to direct the receipt of dividends from, or proceeds from the sale of, the securities reported herein.</w:t>
      </w:r>
    </w:p>
    <w:p>
      <w:pPr>
        <w:spacing w:after="0" w:line="175"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u w:val="single" w:color="auto"/>
          <w:color w:val="auto"/>
        </w:rPr>
        <w:t>Item 7</w:t>
      </w:r>
      <w:r>
        <w:rPr>
          <w:rFonts w:ascii="Arial" w:cs="Arial" w:eastAsia="Arial" w:hAnsi="Arial"/>
          <w:sz w:val="22"/>
          <w:szCs w:val="22"/>
          <w:color w:val="auto"/>
        </w:rPr>
        <w:t xml:space="preserve">: </w:t>
      </w:r>
      <w:r>
        <w:rPr>
          <w:rFonts w:ascii="Arial" w:cs="Arial" w:eastAsia="Arial" w:hAnsi="Arial"/>
          <w:sz w:val="22"/>
          <w:szCs w:val="22"/>
          <w:u w:val="single" w:color="auto"/>
          <w:color w:val="auto"/>
        </w:rPr>
        <w:t>Identification and Classification of the Subsidiary Which Acquired the Security Being Reported on by the Parent Holding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Company</w:t>
      </w:r>
      <w:r>
        <w:rPr>
          <w:rFonts w:ascii="Arial" w:cs="Arial" w:eastAsia="Arial" w:hAnsi="Arial"/>
          <w:sz w:val="22"/>
          <w:szCs w:val="22"/>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8</w:t>
      </w:r>
      <w:r>
        <w:rPr>
          <w:rFonts w:ascii="Arial" w:cs="Arial" w:eastAsia="Arial" w:hAnsi="Arial"/>
          <w:sz w:val="22"/>
          <w:szCs w:val="22"/>
          <w:color w:val="auto"/>
        </w:rPr>
        <w:t xml:space="preserve">: </w:t>
      </w:r>
      <w:r>
        <w:rPr>
          <w:rFonts w:ascii="Arial" w:cs="Arial" w:eastAsia="Arial" w:hAnsi="Arial"/>
          <w:sz w:val="22"/>
          <w:szCs w:val="22"/>
          <w:u w:val="single" w:color="auto"/>
          <w:color w:val="auto"/>
        </w:rPr>
        <w:t>Identification and Classification of Members of the Group</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9</w:t>
      </w:r>
      <w:r>
        <w:rPr>
          <w:rFonts w:ascii="Arial" w:cs="Arial" w:eastAsia="Arial" w:hAnsi="Arial"/>
          <w:sz w:val="22"/>
          <w:szCs w:val="22"/>
          <w:color w:val="auto"/>
        </w:rPr>
        <w:t xml:space="preserve">: </w:t>
      </w:r>
      <w:r>
        <w:rPr>
          <w:rFonts w:ascii="Arial" w:cs="Arial" w:eastAsia="Arial" w:hAnsi="Arial"/>
          <w:sz w:val="22"/>
          <w:szCs w:val="22"/>
          <w:u w:val="single" w:color="auto"/>
          <w:color w:val="auto"/>
        </w:rPr>
        <w:t>Notice of Dissolution of Group</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10</w:t>
      </w:r>
      <w:r>
        <w:rPr>
          <w:rFonts w:ascii="Arial" w:cs="Arial" w:eastAsia="Arial" w:hAnsi="Arial"/>
          <w:sz w:val="22"/>
          <w:szCs w:val="22"/>
          <w:color w:val="auto"/>
        </w:rPr>
        <w:t xml:space="preserve">: </w:t>
      </w:r>
      <w:r>
        <w:rPr>
          <w:rFonts w:ascii="Arial" w:cs="Arial" w:eastAsia="Arial" w:hAnsi="Arial"/>
          <w:sz w:val="22"/>
          <w:szCs w:val="22"/>
          <w:u w:val="single" w:color="auto"/>
          <w:color w:val="auto"/>
        </w:rPr>
        <w:t>Certification</w:t>
      </w:r>
      <w:r>
        <w:rPr>
          <w:rFonts w:ascii="Arial" w:cs="Arial" w:eastAsia="Arial" w:hAnsi="Arial"/>
          <w:sz w:val="22"/>
          <w:szCs w:val="22"/>
          <w:color w:val="auto"/>
        </w:rPr>
        <w:t>:</w:t>
      </w:r>
    </w:p>
    <w:p>
      <w:pPr>
        <w:spacing w:after="0" w:line="206" w:lineRule="exact"/>
        <w:rPr>
          <w:sz w:val="20"/>
          <w:szCs w:val="20"/>
          <w:color w:val="auto"/>
        </w:rPr>
      </w:pPr>
    </w:p>
    <w:p>
      <w:pPr>
        <w:jc w:val="both"/>
        <w:ind w:left="660"/>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4" w:name="page5"/>
    <w:bookmarkEnd w:id="4"/>
    <w:p>
      <w:pPr>
        <w:jc w:val="center"/>
        <w:ind w:right="-33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Dated: April 20, 2023</w:t>
      </w:r>
    </w:p>
    <w:p>
      <w:pPr>
        <w:spacing w:after="0" w:line="206"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/s/ Richard A. Kayne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6985</wp:posOffset>
            </wp:positionV>
            <wp:extent cx="38747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74770" cy="17145"/>
                    </a:xfrm>
                    <a:prstGeom prst="rect">
                      <a:avLst/>
                    </a:prstGeom>
                    <a:noFill/>
                  </pic:spPr>
                </pic:pic>
              </a:graphicData>
            </a:graphic>
          </wp:anchor>
        </w:drawing>
      </w:r>
    </w:p>
    <w:p>
      <w:pPr>
        <w:spacing w:after="0" w:line="1"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RICHARD A. KAYNE</w:t>
      </w:r>
    </w:p>
    <w:sectPr>
      <w:pgSz w:w="11900" w:h="16838" w:orient="portrait"/>
      <w:cols w:equalWidth="0" w:num="1">
        <w:col w:w="10900"/>
      </w:cols>
      <w:pgMar w:left="320" w:top="531"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2"/>
      <w:numFmt w:val="bullet"/>
      <w:start w:val="1"/>
    </w:lvl>
    <w:lvl w:ilvl="1">
      <w:lvlJc w:val="left"/>
      <w:lvlText w:val="(%2)"/>
      <w:numFmt w:val="lowerLetter"/>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4"/>
      <w:numFmt w:val="bullet"/>
      <w:start w:val="1"/>
    </w:lvl>
  </w:abstractNum>
  <w:abstractNum w:abstractNumId="5">
    <w:nsid w:val="79E2A9E3"/>
    <w:multiLevelType w:val="hybridMultilevel"/>
    <w:lvl w:ilvl="0">
      <w:lvlJc w:val="left"/>
      <w:lvlText w:val="9"/>
      <w:numFmt w:val="bullet"/>
      <w:start w:val="1"/>
    </w:lvl>
  </w:abstractNum>
  <w:abstractNum w:abstractNumId="6">
    <w:nsid w:val="7545E146"/>
    <w:multiLevelType w:val="hybridMultilevel"/>
    <w:lvl w:ilvl="0">
      <w:lvlJc w:val="left"/>
      <w:lvlText w:val="%1"/>
      <w:numFmt w:val="decimal"/>
      <w:start w:val="10"/>
    </w:lvl>
  </w:abstractNum>
  <w:abstractNum w:abstractNumId="7">
    <w:nsid w:val="515F007C"/>
    <w:multiLevelType w:val="hybridMultilevel"/>
    <w:lvl w:ilvl="0">
      <w:lvlJc w:val="left"/>
      <w:lvlText w:val="%1."/>
      <w:numFmt w:val="upp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2023-04-21T01:27:44Z</dcterms:created>
  <dcterms:modified xsi:type="dcterms:W3CDTF">2023-04-21T01:27:44Z</dcterms:modified>
</cp:coreProperties>
</file>