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191"/>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348" w:right="479" w:bottom="1440" w:gutter="0" w:footer="0" w:header="0"/>
        </w:sectPr>
      </w:pPr>
    </w:p>
    <w:p>
      <w:pPr>
        <w:spacing w:after="0" w:line="11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340" w:space="720"/>
            <w:col w:w="2160" w:space="720"/>
            <w:col w:w="3160"/>
          </w:cols>
          <w:pgMar w:left="320" w:top="1348" w:right="4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ATHA</w:t>
      </w:r>
    </w:p>
    <w:p>
      <w:pPr>
        <w:spacing w:after="0" w:line="20" w:lineRule="exact"/>
        <w:rPr>
          <w:sz w:val="24"/>
          <w:szCs w:val="24"/>
          <w:color w:val="auto"/>
        </w:rPr>
      </w:pPr>
      <w:r>
        <w:rPr>
          <w:sz w:val="24"/>
          <w:szCs w:val="24"/>
          <w:color w:val="auto"/>
        </w:rPr>
        <w:br w:type="column"/>
      </w:r>
    </w:p>
    <w:p>
      <w:pPr>
        <w:jc w:val="right"/>
        <w:ind w:right="820"/>
        <w:spacing w:after="0"/>
        <w:rPr>
          <w:sz w:val="20"/>
          <w:szCs w:val="20"/>
          <w:color w:val="auto"/>
        </w:rPr>
      </w:pPr>
      <w:r>
        <w:rPr>
          <w:rFonts w:ascii="Times New Roman" w:cs="Times New Roman" w:eastAsia="Times New Roman" w:hAnsi="Times New Roman"/>
          <w:sz w:val="16"/>
          <w:szCs w:val="16"/>
          <w:color w:val="auto"/>
        </w:rPr>
        <w:t>The Nasdaq Stock Market LLC</w:t>
      </w:r>
    </w:p>
    <w:p>
      <w:pPr>
        <w:jc w:val="right"/>
        <w:ind w:right="88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87" w:lineRule="exact"/>
        <w:rPr>
          <w:sz w:val="24"/>
          <w:szCs w:val="24"/>
          <w:color w:val="auto"/>
        </w:rPr>
      </w:pPr>
    </w:p>
    <w:p>
      <w:pPr>
        <w:sectPr>
          <w:pgSz w:w="11900" w:h="16838" w:orient="portrait"/>
          <w:cols w:equalWidth="0" w:num="3">
            <w:col w:w="4680" w:space="720"/>
            <w:col w:w="2120" w:space="720"/>
            <w:col w:w="2860"/>
          </w:cols>
          <w:pgMar w:left="320" w:top="1348"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348" w:right="47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On May 29, 2025, Athira Pharma, Inc. (the “Company”) held its 2025 Annual Meeting of Stockholders (the “Annual Meeting”). The Company had 39,042,445 shares of common stock outstanding on April 4, 2025, the record date for the Annual Meeting. At the Annual Meeting, 27,948,849 shares of the Company’s common stock, or approximately 71.58% of the total shares entitled to vote, were present or represented by proxy.</w:t>
      </w:r>
    </w:p>
    <w:p>
      <w:pPr>
        <w:spacing w:after="0" w:line="68"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The following sets forth the final results of the voting at the Annual Meeting, as certified by a representative of C.T. Hagberg, LLC, the independent inspector of elections for the Annual Meeting. The proposals considered at the Annual Meeting are described in more detail in the Company’s definitive proxy statement filed with the United States Securities and Exchange Commission (the “SEC”) on April 14,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1 – Election of Class II Directors</w:t>
      </w:r>
    </w:p>
    <w:p>
      <w:pPr>
        <w:spacing w:after="0" w:line="119" w:lineRule="exact"/>
        <w:rPr>
          <w:sz w:val="20"/>
          <w:szCs w:val="20"/>
          <w:color w:val="auto"/>
        </w:rPr>
      </w:pPr>
    </w:p>
    <w:p>
      <w:pPr>
        <w:ind w:right="600" w:firstLine="849"/>
        <w:spacing w:after="0" w:line="266" w:lineRule="auto"/>
        <w:rPr>
          <w:sz w:val="20"/>
          <w:szCs w:val="20"/>
          <w:color w:val="auto"/>
        </w:rPr>
      </w:pPr>
      <w:r>
        <w:rPr>
          <w:rFonts w:ascii="Times New Roman" w:cs="Times New Roman" w:eastAsia="Times New Roman" w:hAnsi="Times New Roman"/>
          <w:sz w:val="18"/>
          <w:szCs w:val="18"/>
          <w:color w:val="auto"/>
        </w:rPr>
        <w:t>The stockholders elected the three candidates nominated by the Company’s Board of Directors (the “Board”) to serve as directors of the Company until the annual meeting of stockholders to be held in 2028 or until their successors are elected and qualified, or until their earlier death, resignation or removal. The following sets forth the results of the voting with respect to each candidate:</w:t>
      </w:r>
    </w:p>
    <w:p>
      <w:pPr>
        <w:spacing w:after="0" w:line="280"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Nominees of the Board</w:t>
            </w:r>
          </w:p>
        </w:tc>
        <w:tc>
          <w:tcPr>
            <w:tcW w:w="2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00" w:type="dxa"/>
            <w:vAlign w:val="bottom"/>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324"/>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Edelman</w:t>
            </w:r>
          </w:p>
        </w:tc>
        <w:tc>
          <w:tcPr>
            <w:tcW w:w="2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13,984,590</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5,054,371</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8,909,888</w:t>
            </w:r>
          </w:p>
        </w:tc>
      </w:tr>
      <w:tr>
        <w:trPr>
          <w:trHeight w:val="324"/>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M. Fluke, Jr.</w:t>
            </w:r>
          </w:p>
        </w:tc>
        <w:tc>
          <w:tcPr>
            <w:tcW w:w="2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13,121,788</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5,917,173</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8,909,888</w:t>
            </w:r>
          </w:p>
        </w:tc>
      </w:tr>
      <w:tr>
        <w:trPr>
          <w:trHeight w:val="324"/>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 Pickering</w:t>
            </w:r>
          </w:p>
        </w:tc>
        <w:tc>
          <w:tcPr>
            <w:tcW w:w="2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14,691,664</w:t>
            </w:r>
          </w:p>
        </w:tc>
        <w:tc>
          <w:tcPr>
            <w:tcW w:w="2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4,347,297</w:t>
            </w:r>
          </w:p>
        </w:tc>
        <w:tc>
          <w:tcPr>
            <w:tcW w:w="21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8,909,888</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No. 2 – Ratification of Appointment of Independent Registered Public Accounting Firm</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stockholders ratified the selection of Ernst &amp; Young LLP as the Company’s independent registered public accounting firm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 ending December 31, 2025. The following sets forth the results of the voting with respect to this proposal:</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24"/>
        </w:trPr>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26,981,568</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234,084</w:t>
            </w:r>
          </w:p>
        </w:tc>
        <w:tc>
          <w:tcPr>
            <w:tcW w:w="2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733,197</w:t>
            </w:r>
          </w:p>
        </w:tc>
        <w:tc>
          <w:tcPr>
            <w:tcW w:w="24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r>
    </w:tbl>
    <w:p>
      <w:pPr>
        <w:spacing w:after="0" w:line="3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No. 3 - Approval of Proposed Amendments to the Company's Amended and Restated Certificate of Incorporation to Effect a Reverse Stock Split and Reduce the Total Number of Authorized Shares of Common Stock</w:t>
      </w:r>
    </w:p>
    <w:p>
      <w:pPr>
        <w:spacing w:after="0" w:line="52" w:lineRule="exact"/>
        <w:rPr>
          <w:sz w:val="20"/>
          <w:szCs w:val="20"/>
          <w:color w:val="auto"/>
        </w:rPr>
      </w:pPr>
    </w:p>
    <w:p>
      <w:pPr>
        <w:jc w:val="both"/>
        <w:ind w:right="40" w:firstLine="849"/>
        <w:spacing w:after="0" w:line="261" w:lineRule="auto"/>
        <w:rPr>
          <w:sz w:val="20"/>
          <w:szCs w:val="20"/>
          <w:color w:val="auto"/>
        </w:rPr>
      </w:pPr>
      <w:r>
        <w:rPr>
          <w:rFonts w:ascii="Times New Roman" w:cs="Times New Roman" w:eastAsia="Times New Roman" w:hAnsi="Times New Roman"/>
          <w:sz w:val="18"/>
          <w:szCs w:val="18"/>
          <w:color w:val="auto"/>
        </w:rPr>
        <w:t>The stockholders approved proposed amendments to the Company’s amended and restated certificate of incorporation to effect a reverse stock split and reduce the total number of authorized shares of common stock at a ratio of either 5 for 1, 10 for 1, 15 for 1 or 20 for 1, with the final ratio to be set as determined by the Board (or a duly authorized committee thereof) in its sole discretion. The following sets forth the results of the voting with respect to this proposal: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820" w:type="dxa"/>
            <w:vAlign w:val="bottom"/>
          </w:tcPr>
          <w:p>
            <w:pPr>
              <w:spacing w:after="0"/>
              <w:rPr>
                <w:sz w:val="21"/>
                <w:szCs w:val="21"/>
                <w:color w:val="auto"/>
              </w:rPr>
            </w:pPr>
          </w:p>
        </w:tc>
      </w:tr>
      <w:tr>
        <w:trPr>
          <w:trHeight w:val="324"/>
        </w:trPr>
        <w:tc>
          <w:tcPr>
            <w:tcW w:w="31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21,915,867</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4,835,818</w:t>
            </w:r>
          </w:p>
        </w:tc>
        <w:tc>
          <w:tcPr>
            <w:tcW w:w="2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1,197,164</w:t>
            </w:r>
          </w:p>
        </w:tc>
        <w:tc>
          <w:tcPr>
            <w:tcW w:w="24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4"/>
                <w:szCs w:val="24"/>
                <w:color w:val="auto"/>
              </w:rPr>
            </w:pPr>
          </w:p>
        </w:tc>
      </w:tr>
      <w:tr>
        <w:trPr>
          <w:trHeight w:val="1951"/>
        </w:trPr>
        <w:tc>
          <w:tcPr>
            <w:tcW w:w="8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64" w:lineRule="exact"/>
        <w:rPr>
          <w:sz w:val="20"/>
          <w:szCs w:val="20"/>
          <w:color w:val="auto"/>
        </w:rPr>
      </w:pPr>
    </w:p>
    <w:p>
      <w:pPr>
        <w:ind w:left="280"/>
        <w:spacing w:after="0"/>
        <w:tabs>
          <w:tab w:leader="none" w:pos="6580" w:val="left"/>
          <w:tab w:leader="none" w:pos="7040" w:val="left"/>
        </w:tabs>
        <w:rPr>
          <w:sz w:val="20"/>
          <w:szCs w:val="20"/>
          <w:color w:val="auto"/>
        </w:rPr>
      </w:pPr>
      <w:r>
        <w:rPr>
          <w:rFonts w:ascii="Times New Roman" w:cs="Times New Roman" w:eastAsia="Times New Roman" w:hAnsi="Times New Roman"/>
          <w:sz w:val="18"/>
          <w:szCs w:val="18"/>
          <w:color w:val="auto"/>
        </w:rPr>
        <w:t>Date: June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43180</wp:posOffset>
            </wp:positionV>
            <wp:extent cx="2657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8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Mark Litton</w:t>
      </w:r>
    </w:p>
    <w:p>
      <w:pPr>
        <w:spacing w:after="0" w:line="7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81" w:right="9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2025-06-02T15:12:02Z</dcterms:created>
  <dcterms:modified xsi:type="dcterms:W3CDTF">2025-06-02T15:12:02Z</dcterms:modified>
</cp:coreProperties>
</file>