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ind w:left="4220"/>
        <w:spacing w:after="0"/>
        <w:rPr>
          <w:sz w:val="20"/>
          <w:szCs w:val="20"/>
          <w:color w:val="auto"/>
        </w:rPr>
      </w:pPr>
      <w:r>
        <w:rPr>
          <w:rFonts w:ascii="Arial" w:cs="Arial" w:eastAsia="Arial" w:hAnsi="Arial"/>
          <w:sz w:val="22"/>
          <w:szCs w:val="22"/>
          <w:color w:val="auto"/>
        </w:rPr>
        <w:t>__________________________</w:t>
      </w:r>
    </w:p>
    <w:p>
      <w:pPr>
        <w:spacing w:after="0" w:line="15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4, 2021</w:t>
      </w:r>
    </w:p>
    <w:p>
      <w:pPr>
        <w:spacing w:after="0" w:line="7"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Athira Pharma,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tbl>
      <w:tblPr>
        <w:tblLayout w:type="fixed"/>
        <w:tblInd w:w="106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4940" w:type="dxa"/>
            <w:vAlign w:val="bottom"/>
          </w:tcPr>
          <w:p>
            <w:pPr>
              <w:jc w:val="right"/>
              <w:ind w:right="958"/>
              <w:spacing w:after="0"/>
              <w:rPr>
                <w:sz w:val="20"/>
                <w:szCs w:val="20"/>
                <w:color w:val="auto"/>
              </w:rPr>
            </w:pPr>
            <w:r>
              <w:rPr>
                <w:rFonts w:ascii="Arial" w:cs="Arial" w:eastAsia="Arial" w:hAnsi="Arial"/>
                <w:sz w:val="18"/>
                <w:szCs w:val="18"/>
                <w:color w:val="auto"/>
              </w:rPr>
              <w:t>________________________________</w:t>
            </w:r>
          </w:p>
        </w:tc>
        <w:tc>
          <w:tcPr>
            <w:tcW w:w="1780" w:type="dxa"/>
            <w:vAlign w:val="bottom"/>
          </w:tcPr>
          <w:p>
            <w:pPr>
              <w:spacing w:after="0"/>
              <w:rPr>
                <w:sz w:val="20"/>
                <w:szCs w:val="20"/>
                <w:color w:val="auto"/>
              </w:rPr>
            </w:pPr>
          </w:p>
        </w:tc>
      </w:tr>
      <w:tr>
        <w:trPr>
          <w:trHeight w:val="403"/>
        </w:trPr>
        <w:tc>
          <w:tcPr>
            <w:tcW w:w="2160" w:type="dxa"/>
            <w:vAlign w:val="bottom"/>
          </w:tcPr>
          <w:p>
            <w:pPr>
              <w:jc w:val="center"/>
              <w:ind w:right="442"/>
              <w:spacing w:after="0"/>
              <w:rPr>
                <w:sz w:val="20"/>
                <w:szCs w:val="20"/>
                <w:color w:val="auto"/>
              </w:rPr>
            </w:pPr>
            <w:r>
              <w:rPr>
                <w:rFonts w:ascii="Arial" w:cs="Arial" w:eastAsia="Arial" w:hAnsi="Arial"/>
                <w:sz w:val="18"/>
                <w:szCs w:val="18"/>
                <w:b w:val="1"/>
                <w:bCs w:val="1"/>
                <w:color w:val="auto"/>
                <w:w w:val="91"/>
              </w:rPr>
              <w:t>Delaware</w:t>
            </w:r>
          </w:p>
        </w:tc>
        <w:tc>
          <w:tcPr>
            <w:tcW w:w="49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001-39503</w:t>
            </w:r>
          </w:p>
        </w:tc>
        <w:tc>
          <w:tcPr>
            <w:tcW w:w="1780" w:type="dxa"/>
            <w:vAlign w:val="bottom"/>
          </w:tcPr>
          <w:p>
            <w:pPr>
              <w:jc w:val="center"/>
              <w:ind w:left="562"/>
              <w:spacing w:after="0"/>
              <w:rPr>
                <w:sz w:val="20"/>
                <w:szCs w:val="20"/>
                <w:color w:val="auto"/>
              </w:rPr>
            </w:pPr>
            <w:r>
              <w:rPr>
                <w:rFonts w:ascii="Arial" w:cs="Arial" w:eastAsia="Arial" w:hAnsi="Arial"/>
                <w:sz w:val="18"/>
                <w:szCs w:val="18"/>
                <w:b w:val="1"/>
                <w:bCs w:val="1"/>
                <w:color w:val="auto"/>
                <w:w w:val="89"/>
              </w:rPr>
              <w:t>45-3368487</w:t>
            </w:r>
          </w:p>
        </w:tc>
      </w:tr>
      <w:tr>
        <w:trPr>
          <w:trHeight w:val="193"/>
        </w:trPr>
        <w:tc>
          <w:tcPr>
            <w:tcW w:w="2160" w:type="dxa"/>
            <w:vAlign w:val="bottom"/>
          </w:tcPr>
          <w:p>
            <w:pPr>
              <w:jc w:val="center"/>
              <w:ind w:right="442"/>
              <w:spacing w:after="0"/>
              <w:rPr>
                <w:sz w:val="20"/>
                <w:szCs w:val="20"/>
                <w:color w:val="auto"/>
              </w:rPr>
            </w:pPr>
            <w:r>
              <w:rPr>
                <w:rFonts w:ascii="Arial" w:cs="Arial" w:eastAsia="Arial" w:hAnsi="Arial"/>
                <w:sz w:val="14"/>
                <w:szCs w:val="14"/>
                <w:b w:val="1"/>
                <w:bCs w:val="1"/>
                <w:color w:val="auto"/>
                <w:w w:val="93"/>
              </w:rPr>
              <w:t>(State or other jurisdiction</w:t>
            </w:r>
          </w:p>
        </w:tc>
        <w:tc>
          <w:tcPr>
            <w:tcW w:w="494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(Commission</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160" w:type="dxa"/>
            <w:vAlign w:val="bottom"/>
          </w:tcPr>
          <w:p>
            <w:pPr>
              <w:jc w:val="center"/>
              <w:ind w:right="422"/>
              <w:spacing w:after="0"/>
              <w:rPr>
                <w:sz w:val="20"/>
                <w:szCs w:val="20"/>
                <w:color w:val="auto"/>
              </w:rPr>
            </w:pPr>
            <w:r>
              <w:rPr>
                <w:rFonts w:ascii="Arial" w:cs="Arial" w:eastAsia="Arial" w:hAnsi="Arial"/>
                <w:sz w:val="14"/>
                <w:szCs w:val="14"/>
                <w:b w:val="1"/>
                <w:bCs w:val="1"/>
                <w:color w:val="auto"/>
                <w:w w:val="94"/>
              </w:rPr>
              <w:t>of incorporation)</w:t>
            </w:r>
          </w:p>
        </w:tc>
        <w:tc>
          <w:tcPr>
            <w:tcW w:w="494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File Number)</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6"/>
              </w:rPr>
              <w:t>Identification No.)</w:t>
            </w:r>
          </w:p>
        </w:tc>
      </w:tr>
      <w:tr>
        <w:trPr>
          <w:trHeight w:val="480"/>
        </w:trPr>
        <w:tc>
          <w:tcPr>
            <w:tcW w:w="2160" w:type="dxa"/>
            <w:vAlign w:val="bottom"/>
          </w:tcPr>
          <w:p>
            <w:pPr>
              <w:spacing w:after="0"/>
              <w:rPr>
                <w:sz w:val="24"/>
                <w:szCs w:val="24"/>
                <w:color w:val="auto"/>
              </w:rPr>
            </w:pPr>
          </w:p>
        </w:tc>
        <w:tc>
          <w:tcPr>
            <w:tcW w:w="4940" w:type="dxa"/>
            <w:vAlign w:val="bottom"/>
          </w:tcPr>
          <w:p>
            <w:pPr>
              <w:jc w:val="center"/>
              <w:ind w:right="38"/>
              <w:spacing w:after="0"/>
              <w:rPr>
                <w:sz w:val="20"/>
                <w:szCs w:val="20"/>
                <w:color w:val="auto"/>
              </w:rPr>
            </w:pPr>
            <w:r>
              <w:rPr>
                <w:rFonts w:ascii="Arial" w:cs="Arial" w:eastAsia="Arial" w:hAnsi="Arial"/>
                <w:sz w:val="18"/>
                <w:szCs w:val="18"/>
                <w:b w:val="1"/>
                <w:bCs w:val="1"/>
                <w:color w:val="auto"/>
                <w:w w:val="91"/>
              </w:rPr>
              <w:t>18706 North Creek Parkway, Suite 104</w:t>
            </w:r>
          </w:p>
        </w:tc>
        <w:tc>
          <w:tcPr>
            <w:tcW w:w="1780" w:type="dxa"/>
            <w:vAlign w:val="bottom"/>
          </w:tcPr>
          <w:p>
            <w:pPr>
              <w:spacing w:after="0"/>
              <w:rPr>
                <w:sz w:val="24"/>
                <w:szCs w:val="24"/>
                <w:color w:val="auto"/>
              </w:rPr>
            </w:pPr>
          </w:p>
        </w:tc>
      </w:tr>
      <w:tr>
        <w:trPr>
          <w:trHeight w:val="212"/>
        </w:trPr>
        <w:tc>
          <w:tcPr>
            <w:tcW w:w="2160" w:type="dxa"/>
            <w:vAlign w:val="bottom"/>
          </w:tcPr>
          <w:p>
            <w:pPr>
              <w:spacing w:after="0"/>
              <w:rPr>
                <w:sz w:val="18"/>
                <w:szCs w:val="18"/>
                <w:color w:val="auto"/>
              </w:rPr>
            </w:pPr>
          </w:p>
        </w:tc>
        <w:tc>
          <w:tcPr>
            <w:tcW w:w="49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Bothell, WA 98011</w:t>
            </w:r>
          </w:p>
        </w:tc>
        <w:tc>
          <w:tcPr>
            <w:tcW w:w="1780" w:type="dxa"/>
            <w:vAlign w:val="bottom"/>
          </w:tcPr>
          <w:p>
            <w:pPr>
              <w:spacing w:after="0"/>
              <w:rPr>
                <w:sz w:val="18"/>
                <w:szCs w:val="18"/>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80" w:type="dxa"/>
            <w:vAlign w:val="bottom"/>
          </w:tcPr>
          <w:p>
            <w:pPr>
              <w:spacing w:after="0"/>
              <w:rPr>
                <w:sz w:val="16"/>
                <w:szCs w:val="16"/>
                <w:color w:val="auto"/>
              </w:rPr>
            </w:pPr>
          </w:p>
        </w:tc>
      </w:tr>
      <w:tr>
        <w:trPr>
          <w:trHeight w:val="394"/>
        </w:trPr>
        <w:tc>
          <w:tcPr>
            <w:tcW w:w="2160" w:type="dxa"/>
            <w:vAlign w:val="bottom"/>
          </w:tcPr>
          <w:p>
            <w:pPr>
              <w:spacing w:after="0"/>
              <w:rPr>
                <w:sz w:val="24"/>
                <w:szCs w:val="24"/>
                <w:color w:val="auto"/>
              </w:rPr>
            </w:pPr>
          </w:p>
        </w:tc>
        <w:tc>
          <w:tcPr>
            <w:tcW w:w="49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(206) 221-8112</w:t>
            </w:r>
          </w:p>
        </w:tc>
        <w:tc>
          <w:tcPr>
            <w:tcW w:w="1780" w:type="dxa"/>
            <w:vAlign w:val="bottom"/>
          </w:tcPr>
          <w:p>
            <w:pPr>
              <w:spacing w:after="0"/>
              <w:rPr>
                <w:sz w:val="24"/>
                <w:szCs w:val="24"/>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80" w:type="dxa"/>
            <w:vAlign w:val="bottom"/>
          </w:tcPr>
          <w:p>
            <w:pPr>
              <w:spacing w:after="0"/>
              <w:rPr>
                <w:sz w:val="16"/>
                <w:szCs w:val="16"/>
                <w:color w:val="auto"/>
              </w:rPr>
            </w:pPr>
          </w:p>
        </w:tc>
      </w:tr>
      <w:tr>
        <w:trPr>
          <w:trHeight w:val="268"/>
        </w:trPr>
        <w:tc>
          <w:tcPr>
            <w:tcW w:w="2160" w:type="dxa"/>
            <w:vAlign w:val="bottom"/>
          </w:tcPr>
          <w:p>
            <w:pPr>
              <w:spacing w:after="0"/>
              <w:rPr>
                <w:sz w:val="23"/>
                <w:szCs w:val="23"/>
                <w:color w:val="auto"/>
              </w:rPr>
            </w:pPr>
          </w:p>
        </w:tc>
        <w:tc>
          <w:tcPr>
            <w:tcW w:w="494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80" w:type="dxa"/>
            <w:vAlign w:val="bottom"/>
          </w:tcPr>
          <w:p>
            <w:pPr>
              <w:spacing w:after="0"/>
              <w:rPr>
                <w:sz w:val="23"/>
                <w:szCs w:val="23"/>
                <w:color w:val="auto"/>
              </w:rPr>
            </w:pPr>
          </w:p>
        </w:tc>
      </w:tr>
      <w:tr>
        <w:trPr>
          <w:trHeight w:val="230"/>
        </w:trPr>
        <w:tc>
          <w:tcPr>
            <w:tcW w:w="216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_________________________________</w:t>
            </w:r>
          </w:p>
        </w:tc>
        <w:tc>
          <w:tcPr>
            <w:tcW w:w="1780" w:type="dxa"/>
            <w:vAlign w:val="bottom"/>
          </w:tcPr>
          <w:p>
            <w:pPr>
              <w:spacing w:after="0"/>
              <w:rPr>
                <w:sz w:val="20"/>
                <w:szCs w:val="20"/>
                <w:color w:val="auto"/>
              </w:rPr>
            </w:pPr>
          </w:p>
        </w:tc>
      </w:tr>
    </w:tbl>
    <w:p>
      <w:pPr>
        <w:spacing w:after="0" w:line="16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60" w:hanging="53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53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53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53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719" w:right="339" w:bottom="1440" w:gutter="0" w:footer="0" w:header="0"/>
        </w:sectPr>
      </w:pPr>
    </w:p>
    <w:p>
      <w:pPr>
        <w:spacing w:after="0" w:line="271" w:lineRule="exact"/>
        <w:rPr>
          <w:sz w:val="24"/>
          <w:szCs w:val="24"/>
          <w:color w:val="auto"/>
        </w:rPr>
      </w:pPr>
    </w:p>
    <w:p>
      <w:pPr>
        <w:ind w:left="134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91" w:lineRule="exact"/>
        <w:rPr>
          <w:sz w:val="24"/>
          <w:szCs w:val="24"/>
          <w:color w:val="auto"/>
        </w:rPr>
      </w:pPr>
    </w:p>
    <w:p>
      <w:pPr>
        <w:sectPr>
          <w:pgSz w:w="11900" w:h="16838" w:orient="portrait"/>
          <w:cols w:equalWidth="0" w:num="3">
            <w:col w:w="4340" w:space="720"/>
            <w:col w:w="2260" w:space="720"/>
            <w:col w:w="3200"/>
          </w:cols>
          <w:pgMar w:left="320" w:top="719" w:right="33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ATHA</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6"/>
          <w:szCs w:val="16"/>
          <w:color w:val="auto"/>
        </w:rPr>
        <w:t>The Nasdaq Stock Market LLC</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(The Nasdaq Global Select Market)</w:t>
      </w:r>
    </w:p>
    <w:p>
      <w:pPr>
        <w:spacing w:after="0" w:line="200" w:lineRule="exact"/>
        <w:rPr>
          <w:sz w:val="24"/>
          <w:szCs w:val="24"/>
          <w:color w:val="auto"/>
        </w:rPr>
      </w:pPr>
    </w:p>
    <w:p>
      <w:pPr>
        <w:sectPr>
          <w:pgSz w:w="11900" w:h="16838" w:orient="portrait"/>
          <w:cols w:equalWidth="0" w:num="3">
            <w:col w:w="4680" w:space="720"/>
            <w:col w:w="2100" w:space="720"/>
            <w:col w:w="3020"/>
          </w:cols>
          <w:pgMar w:left="320" w:top="719" w:right="339" w:bottom="1440" w:gutter="0" w:footer="0" w:header="0"/>
          <w:type w:val="continuous"/>
        </w:sectPr>
      </w:pPr>
    </w:p>
    <w:p>
      <w:pPr>
        <w:spacing w:after="0" w:line="7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120"/>
        <w:spacing w:after="0" w:line="241" w:lineRule="exact"/>
        <w:tabs>
          <w:tab w:leader="none" w:pos="24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24"/>
          <w:szCs w:val="24"/>
          <w:color w:val="auto"/>
          <w:vertAlign w:val="superscript"/>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1574800</wp:posOffset>
            </wp:positionH>
            <wp:positionV relativeFrom="paragraph">
              <wp:posOffset>-107315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77" w:lineRule="exact"/>
        <w:rPr>
          <w:sz w:val="24"/>
          <w:szCs w:val="24"/>
          <w:color w:val="auto"/>
        </w:rPr>
      </w:pPr>
    </w:p>
    <w:p>
      <w:pPr>
        <w:spacing w:after="0" w:line="21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850265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type w:val="continuous"/>
        </w:sectPr>
      </w:pPr>
    </w:p>
    <w:bookmarkStart w:id="1" w:name="page2"/>
    <w:bookmarkEnd w:id="1"/>
    <w:p>
      <w:pPr>
        <w:ind w:right="2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80" w:firstLine="790"/>
        <w:spacing w:after="0" w:line="259" w:lineRule="auto"/>
        <w:rPr>
          <w:sz w:val="20"/>
          <w:szCs w:val="20"/>
          <w:color w:val="auto"/>
        </w:rPr>
      </w:pPr>
      <w:r>
        <w:rPr>
          <w:rFonts w:ascii="Arial" w:cs="Arial" w:eastAsia="Arial" w:hAnsi="Arial"/>
          <w:sz w:val="18"/>
          <w:szCs w:val="18"/>
          <w:color w:val="auto"/>
        </w:rPr>
        <w:t>On March 4, 2021, the board of directors of Athira Pharma, Inc. (the “Company”), upon recommendation from the nominating and corporate governance committee of the Company’s board of directors, voted to appoint Barbara Kosacz as a director of the Company, effective immediately. Ms. Kosacz was appointed as a Class I director with a term expiring at the Company’s 2021 annual meeting of stockholders. Ms. Kosacz was also appointed to the nominating and corporate governance committee of the Company’s board of directors.</w:t>
      </w:r>
    </w:p>
    <w:p>
      <w:pPr>
        <w:spacing w:after="0" w:line="187" w:lineRule="exact"/>
        <w:rPr>
          <w:sz w:val="20"/>
          <w:szCs w:val="20"/>
          <w:color w:val="auto"/>
        </w:rPr>
      </w:pPr>
    </w:p>
    <w:p>
      <w:pPr>
        <w:ind w:firstLine="790"/>
        <w:spacing w:after="0" w:line="263" w:lineRule="auto"/>
        <w:rPr>
          <w:sz w:val="20"/>
          <w:szCs w:val="20"/>
          <w:color w:val="auto"/>
        </w:rPr>
      </w:pPr>
      <w:r>
        <w:rPr>
          <w:rFonts w:ascii="Arial" w:cs="Arial" w:eastAsia="Arial" w:hAnsi="Arial"/>
          <w:sz w:val="18"/>
          <w:szCs w:val="18"/>
          <w:color w:val="auto"/>
        </w:rPr>
        <w:t>There are no transactions and no proposed transactions between Ms. Kosacz or any member of her immediate family and the Company or any of its subsidiaries, and there is no arrangement or understanding between Ms. Kosacz and any other person or entity pursuant to which Ms. Kosacz was appointed as a director of the Company.</w:t>
      </w:r>
    </w:p>
    <w:p>
      <w:pPr>
        <w:spacing w:after="0" w:line="184" w:lineRule="exact"/>
        <w:rPr>
          <w:sz w:val="20"/>
          <w:szCs w:val="20"/>
          <w:color w:val="auto"/>
        </w:rPr>
      </w:pPr>
    </w:p>
    <w:p>
      <w:pPr>
        <w:ind w:right="40" w:firstLine="790"/>
        <w:spacing w:after="0" w:line="275" w:lineRule="auto"/>
        <w:rPr>
          <w:sz w:val="20"/>
          <w:szCs w:val="20"/>
          <w:color w:val="auto"/>
        </w:rPr>
      </w:pPr>
      <w:r>
        <w:rPr>
          <w:rFonts w:ascii="Arial" w:cs="Arial" w:eastAsia="Arial" w:hAnsi="Arial"/>
          <w:sz w:val="17"/>
          <w:szCs w:val="17"/>
          <w:color w:val="auto"/>
        </w:rPr>
        <w:t>Ms. Kosacz will enter into the Company’s standard form of indemnification agreement for directors and executive officers and participate in the Company’s standard compensation plan for non-employee directors, including an initial stock option grant, which was granted to Ms. Kosacz effective as of March 4, 2021. The terms of the standard compensation plan for non-employee directors are described in the section titled “Management — Director Compensation” and included as Exhibit 10.12 to the Company’s registration statement on Form S-1 (File No. 333-248428), initially filed with the Securities and Exchange Commission on August 26, 2020, as amended through September 17, 2020.</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 press release announcing Ms. Kosacz’s appointment to the board of directors is attached hereto as Exhibit 99.1 and is incorporated herein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58464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70" w:lineRule="exact"/>
        <w:rPr>
          <w:sz w:val="20"/>
          <w:szCs w:val="20"/>
          <w:color w:val="auto"/>
        </w:rPr>
      </w:pPr>
    </w:p>
    <w:p>
      <w:pPr>
        <w:ind w:left="1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Athira Pharma, Inc. press release dated March 8, 2021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9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Athira Pharma, Inc.</w:t>
      </w:r>
    </w:p>
    <w:p>
      <w:pPr>
        <w:spacing w:after="0" w:line="364" w:lineRule="exact"/>
        <w:rPr>
          <w:sz w:val="20"/>
          <w:szCs w:val="20"/>
          <w:color w:val="auto"/>
        </w:rPr>
      </w:pPr>
    </w:p>
    <w:p>
      <w:pPr>
        <w:ind w:left="180"/>
        <w:spacing w:after="0"/>
        <w:tabs>
          <w:tab w:leader="none" w:pos="546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6"/>
          <w:szCs w:val="16"/>
          <w:color w:val="auto"/>
        </w:rPr>
        <w:t>By:  /s/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31750</wp:posOffset>
            </wp:positionV>
            <wp:extent cx="2202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Leen Kawas</w:t>
      </w:r>
    </w:p>
    <w:p>
      <w:pPr>
        <w:spacing w:after="0" w:line="7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769" w:right="4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2908300</wp:posOffset>
            </wp:positionH>
            <wp:positionV relativeFrom="page">
              <wp:posOffset>234950</wp:posOffset>
            </wp:positionV>
            <wp:extent cx="1731645" cy="857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857250"/>
                    </a:xfrm>
                    <a:prstGeom prst="rect">
                      <a:avLst/>
                    </a:prstGeom>
                    <a:noFill/>
                  </pic:spPr>
                </pic:pic>
              </a:graphicData>
            </a:graphic>
          </wp:anchor>
        </w:drawing>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Athira Pharma Announces Appointment of Barbara Kosacz</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its Board of Directors</w:t>
      </w:r>
    </w:p>
    <w:p>
      <w:pPr>
        <w:spacing w:after="0" w:line="207" w:lineRule="exact"/>
        <w:rPr>
          <w:sz w:val="20"/>
          <w:szCs w:val="20"/>
          <w:color w:val="auto"/>
        </w:rPr>
      </w:pPr>
    </w:p>
    <w:p>
      <w:pPr>
        <w:ind w:right="400"/>
        <w:spacing w:after="0" w:line="252" w:lineRule="auto"/>
        <w:rPr>
          <w:sz w:val="20"/>
          <w:szCs w:val="20"/>
          <w:color w:val="auto"/>
        </w:rPr>
      </w:pPr>
      <w:r>
        <w:rPr>
          <w:rFonts w:ascii="Arial" w:cs="Arial" w:eastAsia="Arial" w:hAnsi="Arial"/>
          <w:sz w:val="21"/>
          <w:szCs w:val="21"/>
          <w:b w:val="1"/>
          <w:bCs w:val="1"/>
          <w:color w:val="auto"/>
        </w:rPr>
        <w:t xml:space="preserve">BOTHELL, WASHINGTON, March 8, 2021 </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Athira Pharma, Inc.</w:t>
      </w:r>
      <w:r>
        <w:rPr>
          <w:rFonts w:ascii="Arial" w:cs="Arial" w:eastAsia="Arial" w:hAnsi="Arial"/>
          <w:sz w:val="21"/>
          <w:szCs w:val="21"/>
          <w:b w:val="1"/>
          <w:bCs w:val="1"/>
          <w:color w:val="auto"/>
        </w:rPr>
        <w:t xml:space="preserve"> </w:t>
      </w:r>
      <w:r>
        <w:rPr>
          <w:rFonts w:ascii="Arial" w:cs="Arial" w:eastAsia="Arial" w:hAnsi="Arial"/>
          <w:sz w:val="21"/>
          <w:szCs w:val="21"/>
          <w:color w:val="auto"/>
        </w:rPr>
        <w:t>(NASDAQ: ATHA), a late clinical-stage</w:t>
      </w:r>
      <w:r>
        <w:rPr>
          <w:rFonts w:ascii="Arial" w:cs="Arial" w:eastAsia="Arial" w:hAnsi="Arial"/>
          <w:sz w:val="21"/>
          <w:szCs w:val="21"/>
          <w:b w:val="1"/>
          <w:bCs w:val="1"/>
          <w:color w:val="auto"/>
        </w:rPr>
        <w:t xml:space="preserve"> </w:t>
      </w:r>
      <w:r>
        <w:rPr>
          <w:rFonts w:ascii="Arial" w:cs="Arial" w:eastAsia="Arial" w:hAnsi="Arial"/>
          <w:sz w:val="21"/>
          <w:szCs w:val="21"/>
          <w:color w:val="auto"/>
        </w:rPr>
        <w:t>biopharmaceutical company focused on developing small molecules to restore neuronal health and stop neurodegeneration, today announced the appointment of Barbara Kosacz to its Board of Directors. Ms. Kosacz is Chief Operating Officer and General Counsel at Kronos Bio, Inc., a clinical-stage biopharmaceutical company dedicated to discovering and developing therapies that transform the lives of those affected by cancer.</w:t>
      </w:r>
    </w:p>
    <w:p>
      <w:pPr>
        <w:spacing w:after="0" w:line="216" w:lineRule="exact"/>
        <w:rPr>
          <w:sz w:val="20"/>
          <w:szCs w:val="20"/>
          <w:color w:val="auto"/>
        </w:rPr>
      </w:pPr>
    </w:p>
    <w:p>
      <w:pPr>
        <w:ind w:right="240"/>
        <w:spacing w:after="0" w:line="233" w:lineRule="auto"/>
        <w:rPr>
          <w:sz w:val="20"/>
          <w:szCs w:val="20"/>
          <w:color w:val="auto"/>
        </w:rPr>
      </w:pPr>
      <w:r>
        <w:rPr>
          <w:rFonts w:ascii="Arial" w:cs="Arial" w:eastAsia="Arial" w:hAnsi="Arial"/>
          <w:sz w:val="22"/>
          <w:szCs w:val="22"/>
          <w:color w:val="auto"/>
        </w:rPr>
        <w:t>“Barbara will add to the existing expertise of our Board, bringing her vast experience in working strategically with biopharma companies and adding a new perspective to our team as we continue to advance our clinical trials and drug-development platform,” said Leen Kawas, Ph.D., President and Chief Executive Officer at Athira. “The diverse backgrounds and experience of our Board in science, medicine, and business are highly complementary to our innovative company vision.”</w:t>
      </w:r>
    </w:p>
    <w:p>
      <w:pPr>
        <w:spacing w:after="0" w:line="230"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Ms. Kosacz is universally recognized as one of the top life sciences attorneys in the country. With more than 25 years of experience providing strategic business and legal counsel, Ms. Kosacz has led some of the most complex and transformational transactions in the life sciences industry. Her experience includes counseling clients in the life sciences industry, ranging from early-stage startups to larger public companies, venture funds, investment banks, and non-profit institutions.</w:t>
      </w:r>
    </w:p>
    <w:p>
      <w:pPr>
        <w:spacing w:after="0" w:line="230"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Ms. Kosacz commented: "Athira has a unique drug development platform with promising product opportunities, and I’m pleased to become involved at this exciting time. I’m passionate about my work in counseling biotechnology companies that are dedicated to improving outcomes for patients, and I look forward to helping guide the company as it continues to grow.”</w:t>
      </w:r>
    </w:p>
    <w:p>
      <w:pPr>
        <w:spacing w:after="0" w:line="228" w:lineRule="exact"/>
        <w:rPr>
          <w:sz w:val="20"/>
          <w:szCs w:val="20"/>
          <w:color w:val="auto"/>
        </w:rPr>
      </w:pPr>
    </w:p>
    <w:p>
      <w:pPr>
        <w:ind w:right="380"/>
        <w:spacing w:after="0" w:line="235" w:lineRule="auto"/>
        <w:rPr>
          <w:sz w:val="20"/>
          <w:szCs w:val="20"/>
          <w:color w:val="auto"/>
        </w:rPr>
      </w:pPr>
      <w:r>
        <w:rPr>
          <w:rFonts w:ascii="Arial" w:cs="Arial" w:eastAsia="Arial" w:hAnsi="Arial"/>
          <w:sz w:val="22"/>
          <w:szCs w:val="22"/>
          <w:color w:val="auto"/>
        </w:rPr>
        <w:t>Ms. Kosacz has been Chief Operating Officer and General Counsel at Kronos Bio since July 2020. Prior to joining Kronos Bio, she was Partner and Head of the International Life Sciences Practice at Cooley LLP, a leading international law firm. During her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ind w:right="220"/>
        <w:spacing w:after="0" w:line="232" w:lineRule="auto"/>
        <w:rPr>
          <w:sz w:val="20"/>
          <w:szCs w:val="20"/>
          <w:color w:val="auto"/>
        </w:rPr>
      </w:pPr>
      <w:r>
        <w:rPr>
          <w:rFonts w:ascii="Arial" w:cs="Arial" w:eastAsia="Arial" w:hAnsi="Arial"/>
          <w:sz w:val="22"/>
          <w:szCs w:val="22"/>
          <w:color w:val="auto"/>
        </w:rPr>
        <w:t xml:space="preserve">at Cooley, Ms. Kosacz received significant recognition for her role in the industry, including being recognized as Biotechnology Lawyer of the Year in 2018 by </w:t>
      </w:r>
      <w:r>
        <w:rPr>
          <w:rFonts w:ascii="Arial" w:cs="Arial" w:eastAsia="Arial" w:hAnsi="Arial"/>
          <w:sz w:val="22"/>
          <w:szCs w:val="22"/>
          <w:i w:val="1"/>
          <w:iCs w:val="1"/>
          <w:color w:val="auto"/>
        </w:rPr>
        <w:t>Best Lawyers in America</w:t>
      </w:r>
      <w:r>
        <w:rPr>
          <w:rFonts w:ascii="Arial" w:cs="Arial" w:eastAsia="Arial" w:hAnsi="Arial"/>
          <w:sz w:val="22"/>
          <w:szCs w:val="22"/>
          <w:color w:val="auto"/>
        </w:rPr>
        <w:t xml:space="preserve"> and as a highly recommended transactions lawyer by IAM Patent 1000 for her “nearly three decades advising diverse companies in the industry at a deeply strategic and commercial level and overseeing their most complex and profitable deals.” Ms. Kosacz serves on the Board of Directors of XOMA Corp. and Locust Walk Acquisition Corporation (a SPAC), and the Board of Trustees of the Keck Graduate Institute. Ms. Kosacz received a bachelor’s degree from Stanford University and a JD from the University of California, Berkeley School of Law.</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Athira Pharma, Inc.</w:t>
      </w:r>
    </w:p>
    <w:p>
      <w:pPr>
        <w:spacing w:after="0" w:line="16" w:lineRule="exact"/>
        <w:rPr>
          <w:sz w:val="20"/>
          <w:szCs w:val="20"/>
          <w:color w:val="auto"/>
        </w:rPr>
      </w:pPr>
    </w:p>
    <w:p>
      <w:pPr>
        <w:ind w:right="360"/>
        <w:spacing w:after="0" w:line="241" w:lineRule="auto"/>
        <w:rPr>
          <w:sz w:val="20"/>
          <w:szCs w:val="20"/>
          <w:color w:val="auto"/>
        </w:rPr>
      </w:pPr>
      <w:r>
        <w:rPr>
          <w:rFonts w:ascii="Arial" w:cs="Arial" w:eastAsia="Arial" w:hAnsi="Arial"/>
          <w:sz w:val="21"/>
          <w:szCs w:val="21"/>
          <w:color w:val="auto"/>
        </w:rPr>
        <w:t xml:space="preserve">Athira, headquartered in Seattle, is a late clinical-stage biopharmaceutical company focused on developing small molecules to restore neuronal health and stop neurodegeneration. We aim to provide rapid cognitive improvement and alter the course of neurological diseases with our novel mechanism of action. Athira is currently advancing its lead therapeutic candidate, ATH-1017, a novel small molecule for Alzheimer’s disease and Parkinson’s disease dementia. For more information, visit </w:t>
      </w:r>
      <w:r>
        <w:rPr>
          <w:rFonts w:ascii="Arial" w:cs="Arial" w:eastAsia="Arial" w:hAnsi="Arial"/>
          <w:sz w:val="21"/>
          <w:szCs w:val="21"/>
          <w:u w:val="single" w:color="auto"/>
          <w:color w:val="auto"/>
        </w:rPr>
        <w:t>www.athira.com.</w:t>
      </w:r>
      <w:r>
        <w:rPr>
          <w:rFonts w:ascii="Arial" w:cs="Arial" w:eastAsia="Arial" w:hAnsi="Arial"/>
          <w:sz w:val="21"/>
          <w:szCs w:val="21"/>
          <w:color w:val="auto"/>
        </w:rPr>
        <w:t xml:space="preserve"> You can also follow Athira on </w:t>
      </w:r>
      <w:r>
        <w:rPr>
          <w:rFonts w:ascii="Arial" w:cs="Arial" w:eastAsia="Arial" w:hAnsi="Arial"/>
          <w:sz w:val="21"/>
          <w:szCs w:val="21"/>
          <w:u w:val="single" w:color="auto"/>
          <w:color w:val="auto"/>
        </w:rPr>
        <w:t>Facebook</w:t>
      </w:r>
      <w:r>
        <w:rPr>
          <w:rFonts w:ascii="Arial" w:cs="Arial" w:eastAsia="Arial" w:hAnsi="Arial"/>
          <w:sz w:val="21"/>
          <w:szCs w:val="21"/>
          <w:color w:val="auto"/>
        </w:rPr>
        <w:t>,</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LinkedIn</w:t>
      </w:r>
      <w:r>
        <w:rPr>
          <w:rFonts w:ascii="Arial" w:cs="Arial" w:eastAsia="Arial" w:hAnsi="Arial"/>
          <w:sz w:val="22"/>
          <w:szCs w:val="22"/>
          <w:color w:val="auto"/>
        </w:rPr>
        <w:t xml:space="preserve"> and @athirapharma on </w:t>
      </w:r>
      <w:r>
        <w:rPr>
          <w:rFonts w:ascii="Arial" w:cs="Arial" w:eastAsia="Arial" w:hAnsi="Arial"/>
          <w:sz w:val="22"/>
          <w:szCs w:val="22"/>
          <w:u w:val="single" w:color="auto"/>
          <w:color w:val="auto"/>
        </w:rPr>
        <w:t>Twitter</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Instagram</w:t>
      </w:r>
      <w:r>
        <w:rPr>
          <w:rFonts w:ascii="Arial" w:cs="Arial" w:eastAsia="Arial" w:hAnsi="Arial"/>
          <w:sz w:val="22"/>
          <w:szCs w:val="22"/>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6"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This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ATH-1017 as a potential treatment for Alzheimer’s disease and other dementias; Athira’s platform technology and potential therapies; future development plans; clinical and regulatory objectives; expectations regarding the potential efficacy and commercial potential of Athira’s product candidates, including ATH-1017; the results of Athira’s research and development efforts and Athira’s ability to advance its product candidates into later stages of development. Forward-looking statements generally include statements that are predictive in nature and depend upon or refer to future events or conditions, and include words and phrases such as "may," "will," "should,"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preliminary data for Athira’s ATH-1017 product candidate from the Phase 1a/b trials will not continue or persist; cessation or delay of any of the ongoing clinical trials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 w:name="page6"/>
    <w:bookmarkEnd w:id="5"/>
    <w:p>
      <w:pPr>
        <w:spacing w:after="0" w:line="243" w:lineRule="auto"/>
        <w:rPr>
          <w:sz w:val="20"/>
          <w:szCs w:val="20"/>
          <w:color w:val="auto"/>
        </w:rPr>
      </w:pPr>
      <w:r>
        <w:rPr>
          <w:rFonts w:ascii="Arial" w:cs="Arial" w:eastAsia="Arial" w:hAnsi="Arial"/>
          <w:sz w:val="21"/>
          <w:szCs w:val="21"/>
          <w:color w:val="auto"/>
        </w:rPr>
        <w:t>Athira’s development of ATH-1017 may occur; future potential regulatory milestones of ATH-1017, including those related to current and planned clinical studies may be insufficient to support regulatory submissions or approval; the impact of the COVID-19 pandemic on Athira’s business;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&amp; Media Contact</w:t>
      </w:r>
      <w:r>
        <w:rPr>
          <w:rFonts w:ascii="Arial" w:cs="Arial" w:eastAsia="Arial" w:hAnsi="Arial"/>
          <w:sz w:val="22"/>
          <w:szCs w:val="2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Julie Rathbun</w:t>
      </w:r>
    </w:p>
    <w:p>
      <w:pPr>
        <w:spacing w:after="0" w:line="230" w:lineRule="auto"/>
        <w:rPr>
          <w:sz w:val="20"/>
          <w:szCs w:val="20"/>
          <w:color w:val="auto"/>
        </w:rPr>
      </w:pPr>
      <w:r>
        <w:rPr>
          <w:rFonts w:ascii="Arial" w:cs="Arial" w:eastAsia="Arial" w:hAnsi="Arial"/>
          <w:sz w:val="22"/>
          <w:szCs w:val="22"/>
          <w:u w:val="single" w:color="auto"/>
          <w:color w:val="auto"/>
        </w:rPr>
        <w:t>Julie.rathbun@athira.com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206-769-9219</w:t>
      </w:r>
    </w:p>
    <w:sectPr>
      <w:pgSz w:w="11900" w:h="16838" w:orient="portrait"/>
      <w:cols w:equalWidth="0" w:num="1">
        <w:col w:w="11240"/>
      </w:cols>
      <w:pgMar w:left="320" w:top="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2021-03-08T06:06:34Z</dcterms:created>
  <dcterms:modified xsi:type="dcterms:W3CDTF">2021-03-08T06:06:34Z</dcterms:modified>
</cp:coreProperties>
</file>