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4"/>
          <w:szCs w:val="24"/>
          <w:color w:val="auto"/>
        </w:rPr>
      </w:pPr>
    </w:p>
    <w:p>
      <w:pPr>
        <w:jc w:val="center"/>
        <w:ind w:left="340" w:right="120"/>
        <w:spacing w:after="0" w:line="229" w:lineRule="auto"/>
        <w:rPr>
          <w:sz w:val="20"/>
          <w:szCs w:val="20"/>
          <w:color w:val="auto"/>
        </w:rPr>
      </w:pPr>
      <w:r>
        <w:rPr>
          <w:rFonts w:ascii="Arial" w:cs="Arial" w:eastAsia="Arial" w:hAnsi="Arial"/>
          <w:sz w:val="13"/>
          <w:szCs w:val="13"/>
          <w:b w:val="1"/>
          <w:bCs w:val="1"/>
          <w:color w:val="auto"/>
        </w:rPr>
        <w:t>As confidentially submitted with the Securities and Exchange Commission on January 6, 2021.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6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69" w:lineRule="exact"/>
        <w:rPr>
          <w:sz w:val="24"/>
          <w:szCs w:val="24"/>
          <w:color w:val="auto"/>
        </w:rPr>
      </w:pPr>
    </w:p>
    <w:p>
      <w:pPr>
        <w:jc w:val="center"/>
        <w:ind w:right="-19"/>
        <w:spacing w:after="0" w:line="311" w:lineRule="exact"/>
        <w:rPr>
          <w:sz w:val="20"/>
          <w:szCs w:val="20"/>
          <w:color w:val="auto"/>
        </w:rPr>
      </w:pPr>
      <w:r>
        <w:rPr>
          <w:rFonts w:ascii="Arial" w:cs="Arial" w:eastAsia="Arial" w:hAnsi="Arial"/>
          <w:sz w:val="27"/>
          <w:szCs w:val="27"/>
          <w:b w:val="1"/>
          <w:bCs w:val="1"/>
          <w:color w:val="auto"/>
        </w:rPr>
        <w:t>FORM S</w:t>
      </w:r>
      <w:r>
        <w:rPr>
          <w:rFonts w:ascii="MS PGothic" w:cs="MS PGothic" w:eastAsia="MS PGothic" w:hAnsi="MS PGothic"/>
          <w:sz w:val="27"/>
          <w:szCs w:val="27"/>
          <w:b w:val="1"/>
          <w:bCs w:val="1"/>
          <w:color w:val="auto"/>
        </w:rPr>
        <w:t>‑</w:t>
      </w:r>
      <w:r>
        <w:rPr>
          <w:rFonts w:ascii="Arial" w:cs="Arial" w:eastAsia="Arial" w:hAnsi="Arial"/>
          <w:sz w:val="27"/>
          <w:szCs w:val="27"/>
          <w:b w:val="1"/>
          <w:bCs w:val="1"/>
          <w:color w:val="auto"/>
        </w:rPr>
        <w:t>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Act of 1933</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ATHIRA PHARMA,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57" w:lineRule="exact"/>
        <w:rPr>
          <w:sz w:val="24"/>
          <w:szCs w:val="24"/>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tcPr>
          <w:p>
            <w:pPr>
              <w:jc w:val="center"/>
              <w:ind w:right="751"/>
              <w:spacing w:after="0"/>
              <w:rPr>
                <w:sz w:val="20"/>
                <w:szCs w:val="20"/>
                <w:color w:val="auto"/>
              </w:rPr>
            </w:pPr>
            <w:r>
              <w:rPr>
                <w:rFonts w:ascii="Arial" w:cs="Arial" w:eastAsia="Arial" w:hAnsi="Arial"/>
                <w:sz w:val="14"/>
                <w:szCs w:val="14"/>
                <w:b w:val="1"/>
                <w:bCs w:val="1"/>
                <w:color w:val="auto"/>
              </w:rPr>
              <w:t>Delaware</w:t>
            </w:r>
          </w:p>
        </w:tc>
        <w:tc>
          <w:tcPr>
            <w:tcW w:w="414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rPr>
              <w:t>2836</w:t>
            </w:r>
          </w:p>
        </w:tc>
        <w:tc>
          <w:tcPr>
            <w:tcW w:w="1100" w:type="dxa"/>
            <w:vAlign w:val="bottom"/>
          </w:tcPr>
          <w:p>
            <w:pPr>
              <w:spacing w:after="0"/>
              <w:rPr>
                <w:sz w:val="14"/>
                <w:szCs w:val="14"/>
                <w:color w:val="auto"/>
              </w:rPr>
            </w:pPr>
          </w:p>
        </w:tc>
        <w:tc>
          <w:tcPr>
            <w:tcW w:w="2300" w:type="dxa"/>
            <w:vAlign w:val="bottom"/>
          </w:tcPr>
          <w:p>
            <w:pPr>
              <w:jc w:val="center"/>
              <w:ind w:left="551"/>
              <w:spacing w:after="0"/>
              <w:rPr>
                <w:sz w:val="20"/>
                <w:szCs w:val="20"/>
                <w:color w:val="auto"/>
              </w:rPr>
            </w:pPr>
            <w:r>
              <w:rPr>
                <w:rFonts w:ascii="Arial" w:cs="Arial" w:eastAsia="Arial" w:hAnsi="Arial"/>
                <w:sz w:val="14"/>
                <w:szCs w:val="14"/>
                <w:b w:val="1"/>
                <w:bCs w:val="1"/>
                <w:color w:val="auto"/>
              </w:rPr>
              <w:t>45-3368487</w:t>
            </w:r>
          </w:p>
        </w:tc>
        <w:tc>
          <w:tcPr>
            <w:tcW w:w="0" w:type="dxa"/>
            <w:vAlign w:val="bottom"/>
          </w:tcPr>
          <w:p>
            <w:pPr>
              <w:spacing w:after="0"/>
              <w:rPr>
                <w:sz w:val="1"/>
                <w:szCs w:val="1"/>
                <w:color w:val="auto"/>
              </w:rPr>
            </w:pPr>
          </w:p>
        </w:tc>
      </w:tr>
      <w:tr>
        <w:trPr>
          <w:trHeight w:val="122"/>
        </w:trPr>
        <w:tc>
          <w:tcPr>
            <w:tcW w:w="2160" w:type="dxa"/>
            <w:vAlign w:val="bottom"/>
          </w:tcPr>
          <w:p>
            <w:pPr>
              <w:jc w:val="center"/>
              <w:ind w:right="751"/>
              <w:spacing w:after="0" w:line="122" w:lineRule="exact"/>
              <w:rPr>
                <w:sz w:val="20"/>
                <w:szCs w:val="20"/>
                <w:color w:val="auto"/>
              </w:rPr>
            </w:pPr>
            <w:r>
              <w:rPr>
                <w:rFonts w:ascii="Arial" w:cs="Arial" w:eastAsia="Arial" w:hAnsi="Arial"/>
                <w:sz w:val="11"/>
                <w:szCs w:val="11"/>
                <w:b w:val="1"/>
                <w:bCs w:val="1"/>
                <w:color w:val="auto"/>
                <w:w w:val="86"/>
              </w:rPr>
              <w:t>(State or other jurisdiction of</w:t>
            </w:r>
          </w:p>
        </w:tc>
        <w:tc>
          <w:tcPr>
            <w:tcW w:w="1060" w:type="dxa"/>
            <w:vAlign w:val="bottom"/>
          </w:tcPr>
          <w:p>
            <w:pPr>
              <w:spacing w:after="0"/>
              <w:rPr>
                <w:sz w:val="10"/>
                <w:szCs w:val="10"/>
                <w:color w:val="auto"/>
              </w:rPr>
            </w:pPr>
          </w:p>
        </w:tc>
        <w:tc>
          <w:tcPr>
            <w:tcW w:w="4180" w:type="dxa"/>
            <w:vAlign w:val="bottom"/>
            <w:gridSpan w:val="2"/>
          </w:tcPr>
          <w:p>
            <w:pPr>
              <w:jc w:val="center"/>
              <w:ind w:right="1100"/>
              <w:spacing w:after="0" w:line="122" w:lineRule="exact"/>
              <w:rPr>
                <w:sz w:val="20"/>
                <w:szCs w:val="20"/>
                <w:color w:val="auto"/>
              </w:rPr>
            </w:pPr>
            <w:r>
              <w:rPr>
                <w:rFonts w:ascii="Arial" w:cs="Arial" w:eastAsia="Arial" w:hAnsi="Arial"/>
                <w:sz w:val="11"/>
                <w:szCs w:val="11"/>
                <w:b w:val="1"/>
                <w:bCs w:val="1"/>
                <w:color w:val="auto"/>
                <w:w w:val="89"/>
              </w:rPr>
              <w:t>(Primary Standard Industrial</w:t>
            </w:r>
          </w:p>
        </w:tc>
        <w:tc>
          <w:tcPr>
            <w:tcW w:w="2300" w:type="dxa"/>
            <w:vAlign w:val="bottom"/>
          </w:tcPr>
          <w:p>
            <w:pPr>
              <w:jc w:val="center"/>
              <w:ind w:left="551"/>
              <w:spacing w:after="0" w:line="122" w:lineRule="exact"/>
              <w:rPr>
                <w:sz w:val="20"/>
                <w:szCs w:val="20"/>
                <w:color w:val="auto"/>
              </w:rPr>
            </w:pPr>
            <w:r>
              <w:rPr>
                <w:rFonts w:ascii="Arial" w:cs="Arial" w:eastAsia="Arial" w:hAnsi="Arial"/>
                <w:sz w:val="11"/>
                <w:szCs w:val="11"/>
                <w:b w:val="1"/>
                <w:bCs w:val="1"/>
                <w:color w:val="auto"/>
                <w:w w:val="90"/>
              </w:rPr>
              <w:t>(I.R.S. Employer</w:t>
            </w:r>
          </w:p>
        </w:tc>
        <w:tc>
          <w:tcPr>
            <w:tcW w:w="0" w:type="dxa"/>
            <w:vAlign w:val="bottom"/>
          </w:tcPr>
          <w:p>
            <w:pPr>
              <w:spacing w:after="0"/>
              <w:rPr>
                <w:sz w:val="1"/>
                <w:szCs w:val="1"/>
                <w:color w:val="auto"/>
              </w:rPr>
            </w:pPr>
          </w:p>
        </w:tc>
      </w:tr>
      <w:tr>
        <w:trPr>
          <w:trHeight w:val="140"/>
        </w:trPr>
        <w:tc>
          <w:tcPr>
            <w:tcW w:w="2160" w:type="dxa"/>
            <w:vAlign w:val="bottom"/>
          </w:tcPr>
          <w:p>
            <w:pPr>
              <w:jc w:val="center"/>
              <w:ind w:right="731"/>
              <w:spacing w:after="0"/>
              <w:rPr>
                <w:sz w:val="20"/>
                <w:szCs w:val="20"/>
                <w:color w:val="auto"/>
              </w:rPr>
            </w:pPr>
            <w:r>
              <w:rPr>
                <w:rFonts w:ascii="Arial" w:cs="Arial" w:eastAsia="Arial" w:hAnsi="Arial"/>
                <w:sz w:val="11"/>
                <w:szCs w:val="11"/>
                <w:b w:val="1"/>
                <w:bCs w:val="1"/>
                <w:color w:val="auto"/>
                <w:w w:val="86"/>
              </w:rPr>
              <w:t>incorporation or organization)</w:t>
            </w:r>
          </w:p>
        </w:tc>
        <w:tc>
          <w:tcPr>
            <w:tcW w:w="1060" w:type="dxa"/>
            <w:vAlign w:val="bottom"/>
          </w:tcPr>
          <w:p>
            <w:pPr>
              <w:spacing w:after="0"/>
              <w:rPr>
                <w:sz w:val="12"/>
                <w:szCs w:val="12"/>
                <w:color w:val="auto"/>
              </w:rPr>
            </w:pPr>
          </w:p>
        </w:tc>
        <w:tc>
          <w:tcPr>
            <w:tcW w:w="4180" w:type="dxa"/>
            <w:vAlign w:val="bottom"/>
            <w:gridSpan w:val="2"/>
          </w:tcPr>
          <w:p>
            <w:pPr>
              <w:jc w:val="center"/>
              <w:ind w:right="1080"/>
              <w:spacing w:after="0"/>
              <w:rPr>
                <w:sz w:val="20"/>
                <w:szCs w:val="20"/>
                <w:color w:val="auto"/>
              </w:rPr>
            </w:pPr>
            <w:r>
              <w:rPr>
                <w:rFonts w:ascii="Arial" w:cs="Arial" w:eastAsia="Arial" w:hAnsi="Arial"/>
                <w:sz w:val="11"/>
                <w:szCs w:val="11"/>
                <w:b w:val="1"/>
                <w:bCs w:val="1"/>
                <w:color w:val="auto"/>
                <w:w w:val="86"/>
              </w:rPr>
              <w:t>Classification Code Number)</w:t>
            </w:r>
          </w:p>
        </w:tc>
        <w:tc>
          <w:tcPr>
            <w:tcW w:w="2300" w:type="dxa"/>
            <w:vAlign w:val="bottom"/>
          </w:tcPr>
          <w:p>
            <w:pPr>
              <w:jc w:val="center"/>
              <w:ind w:left="551"/>
              <w:spacing w:after="0"/>
              <w:rPr>
                <w:sz w:val="20"/>
                <w:szCs w:val="20"/>
                <w:color w:val="auto"/>
              </w:rPr>
            </w:pPr>
            <w:r>
              <w:rPr>
                <w:rFonts w:ascii="Arial" w:cs="Arial" w:eastAsia="Arial" w:hAnsi="Arial"/>
                <w:sz w:val="11"/>
                <w:szCs w:val="11"/>
                <w:b w:val="1"/>
                <w:bCs w:val="1"/>
                <w:color w:val="auto"/>
                <w:w w:val="89"/>
              </w:rPr>
              <w:t>Identification Number)</w:t>
            </w:r>
          </w:p>
        </w:tc>
        <w:tc>
          <w:tcPr>
            <w:tcW w:w="0" w:type="dxa"/>
            <w:vAlign w:val="bottom"/>
          </w:tcPr>
          <w:p>
            <w:pPr>
              <w:spacing w:after="0"/>
              <w:rPr>
                <w:sz w:val="1"/>
                <w:szCs w:val="1"/>
                <w:color w:val="auto"/>
              </w:rPr>
            </w:pPr>
          </w:p>
        </w:tc>
      </w:tr>
      <w:tr>
        <w:trPr>
          <w:trHeight w:val="387"/>
        </w:trPr>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9"/>
              </w:rPr>
              <w:t>18706 North Creek Parkway, Suite 104</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Bothell, WA 98011</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14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rPr>
              <w:t>(206) 221-8112</w:t>
            </w:r>
          </w:p>
        </w:tc>
        <w:tc>
          <w:tcPr>
            <w:tcW w:w="1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12"/>
                <w:szCs w:val="12"/>
                <w:color w:val="auto"/>
              </w:rPr>
            </w:pPr>
          </w:p>
        </w:tc>
        <w:tc>
          <w:tcPr>
            <w:tcW w:w="524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83"/>
              </w:rPr>
              <w:t>(Address, including zip code, and telephone number, including area code, of Registrant’s principal executive offices)</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1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Leen Kawas, Ph.D.</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President and Chief Executive Officer</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rPr>
              <w:t>Athira Pharma, Inc.</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9"/>
              </w:rPr>
              <w:t>18706 North Creek Parkway, Suite 104</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rPr>
              <w:t>Bothell, WA 98011</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4140" w:type="dxa"/>
            <w:vAlign w:val="bottom"/>
            <w:gridSpan w:val="2"/>
          </w:tcPr>
          <w:p>
            <w:pPr>
              <w:jc w:val="center"/>
              <w:ind w:left="995"/>
              <w:spacing w:after="0"/>
              <w:rPr>
                <w:sz w:val="20"/>
                <w:szCs w:val="20"/>
                <w:color w:val="auto"/>
              </w:rPr>
            </w:pPr>
            <w:r>
              <w:rPr>
                <w:rFonts w:ascii="Arial" w:cs="Arial" w:eastAsia="Arial" w:hAnsi="Arial"/>
                <w:sz w:val="14"/>
                <w:szCs w:val="14"/>
                <w:b w:val="1"/>
                <w:bCs w:val="1"/>
                <w:color w:val="auto"/>
              </w:rPr>
              <w:t>(206) 221-8112</w:t>
            </w:r>
          </w:p>
        </w:tc>
        <w:tc>
          <w:tcPr>
            <w:tcW w:w="1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524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83"/>
              </w:rPr>
              <w:t>(Name, address, including zip code, and telephone number, including area code, of agent for service)</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1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rPr>
              <w:t>Michael Nordtvedt</w:t>
            </w:r>
          </w:p>
        </w:tc>
        <w:tc>
          <w:tcPr>
            <w:tcW w:w="1060" w:type="dxa"/>
            <w:vAlign w:val="bottom"/>
          </w:tcPr>
          <w:p>
            <w:pPr>
              <w:spacing w:after="0"/>
              <w:rPr>
                <w:sz w:val="21"/>
                <w:szCs w:val="21"/>
                <w:color w:val="auto"/>
              </w:rPr>
            </w:pPr>
          </w:p>
        </w:tc>
        <w:tc>
          <w:tcPr>
            <w:tcW w:w="4180" w:type="dxa"/>
            <w:vAlign w:val="bottom"/>
            <w:gridSpan w:val="2"/>
          </w:tcPr>
          <w:p>
            <w:pPr>
              <w:ind w:left="1260"/>
              <w:spacing w:after="0"/>
              <w:rPr>
                <w:sz w:val="20"/>
                <w:szCs w:val="20"/>
                <w:color w:val="auto"/>
              </w:rPr>
            </w:pPr>
            <w:r>
              <w:rPr>
                <w:rFonts w:ascii="Arial" w:cs="Arial" w:eastAsia="Arial" w:hAnsi="Arial"/>
                <w:sz w:val="14"/>
                <w:szCs w:val="14"/>
                <w:b w:val="1"/>
                <w:bCs w:val="1"/>
                <w:i w:val="1"/>
                <w:iCs w:val="1"/>
                <w:color w:val="auto"/>
              </w:rPr>
              <w:t>Copies to:</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Charles S. Kim</w:t>
            </w:r>
          </w:p>
        </w:tc>
        <w:tc>
          <w:tcPr>
            <w:tcW w:w="0" w:type="dxa"/>
            <w:vAlign w:val="bottom"/>
          </w:tcPr>
          <w:p>
            <w:pPr>
              <w:spacing w:after="0"/>
              <w:rPr>
                <w:sz w:val="1"/>
                <w:szCs w:val="1"/>
                <w:color w:val="auto"/>
              </w:rPr>
            </w:pPr>
          </w:p>
        </w:tc>
      </w:tr>
      <w:tr>
        <w:trPr>
          <w:trHeight w:val="53"/>
        </w:trPr>
        <w:tc>
          <w:tcPr>
            <w:tcW w:w="21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Bryan D. King</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Alan D. Hambelton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Donna Petkanics</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Dave Peinsipp</w:t>
            </w:r>
          </w:p>
        </w:tc>
        <w:tc>
          <w:tcPr>
            <w:tcW w:w="0" w:type="dxa"/>
            <w:vAlign w:val="bottom"/>
          </w:tcPr>
          <w:p>
            <w:pPr>
              <w:spacing w:after="0"/>
              <w:rPr>
                <w:sz w:val="1"/>
                <w:szCs w:val="1"/>
                <w:color w:val="auto"/>
              </w:rPr>
            </w:pPr>
          </w:p>
        </w:tc>
      </w:tr>
      <w:tr>
        <w:trPr>
          <w:trHeight w:val="162"/>
        </w:trPr>
        <w:tc>
          <w:tcPr>
            <w:tcW w:w="7400" w:type="dxa"/>
            <w:vAlign w:val="bottom"/>
            <w:gridSpan w:val="4"/>
          </w:tcPr>
          <w:p>
            <w:pPr>
              <w:jc w:val="center"/>
              <w:ind w:right="5080"/>
              <w:spacing w:after="0"/>
              <w:rPr>
                <w:sz w:val="20"/>
                <w:szCs w:val="20"/>
                <w:color w:val="auto"/>
              </w:rPr>
            </w:pPr>
            <w:r>
              <w:rPr>
                <w:rFonts w:ascii="Arial" w:cs="Arial" w:eastAsia="Arial" w:hAnsi="Arial"/>
                <w:sz w:val="14"/>
                <w:szCs w:val="14"/>
                <w:b w:val="1"/>
                <w:bCs w:val="1"/>
                <w:color w:val="auto"/>
              </w:rPr>
              <w:t>Wilson Sonsini Goodrich &amp; Rosati,</w:t>
            </w: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Denny Won</w:t>
            </w:r>
          </w:p>
        </w:tc>
        <w:tc>
          <w:tcPr>
            <w:tcW w:w="0" w:type="dxa"/>
            <w:vAlign w:val="bottom"/>
          </w:tcPr>
          <w:p>
            <w:pPr>
              <w:spacing w:after="0"/>
              <w:rPr>
                <w:sz w:val="1"/>
                <w:szCs w:val="1"/>
                <w:color w:val="auto"/>
              </w:rPr>
            </w:pPr>
          </w:p>
        </w:tc>
      </w:tr>
      <w:tr>
        <w:trPr>
          <w:trHeight w:val="162"/>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w w:val="99"/>
              </w:rPr>
              <w:t>Professional Corporation</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Cooley LLP</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rPr>
              <w:t>701 Fifth Avenue, Suite 5100</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ind w:left="11"/>
              <w:spacing w:after="0"/>
              <w:rPr>
                <w:sz w:val="20"/>
                <w:szCs w:val="20"/>
                <w:color w:val="auto"/>
              </w:rPr>
            </w:pPr>
            <w:r>
              <w:rPr>
                <w:rFonts w:ascii="Arial" w:cs="Arial" w:eastAsia="Arial" w:hAnsi="Arial"/>
                <w:sz w:val="14"/>
                <w:szCs w:val="14"/>
                <w:b w:val="1"/>
                <w:bCs w:val="1"/>
                <w:color w:val="auto"/>
              </w:rPr>
              <w:t>1700 Seventh Avenue, Suite 1900</w:t>
            </w:r>
          </w:p>
        </w:tc>
        <w:tc>
          <w:tcPr>
            <w:tcW w:w="0" w:type="dxa"/>
            <w:vAlign w:val="bottom"/>
          </w:tcPr>
          <w:p>
            <w:pPr>
              <w:spacing w:after="0"/>
              <w:rPr>
                <w:sz w:val="1"/>
                <w:szCs w:val="1"/>
                <w:color w:val="auto"/>
              </w:rPr>
            </w:pPr>
          </w:p>
        </w:tc>
      </w:tr>
      <w:tr>
        <w:trPr>
          <w:trHeight w:val="162"/>
        </w:trPr>
        <w:tc>
          <w:tcPr>
            <w:tcW w:w="216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Seattle, WA 98104</w:t>
            </w:r>
          </w:p>
        </w:tc>
        <w:tc>
          <w:tcPr>
            <w:tcW w:w="10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Seattle, WA 98101</w:t>
            </w:r>
          </w:p>
        </w:tc>
        <w:tc>
          <w:tcPr>
            <w:tcW w:w="0" w:type="dxa"/>
            <w:vAlign w:val="bottom"/>
          </w:tcPr>
          <w:p>
            <w:pPr>
              <w:spacing w:after="0"/>
              <w:rPr>
                <w:sz w:val="1"/>
                <w:szCs w:val="1"/>
                <w:color w:val="auto"/>
              </w:rPr>
            </w:pPr>
          </w:p>
        </w:tc>
      </w:tr>
      <w:tr>
        <w:trPr>
          <w:trHeight w:val="190"/>
        </w:trPr>
        <w:tc>
          <w:tcPr>
            <w:tcW w:w="2160" w:type="dxa"/>
            <w:vAlign w:val="bottom"/>
          </w:tcPr>
          <w:p>
            <w:pPr>
              <w:jc w:val="center"/>
              <w:ind w:left="91"/>
              <w:spacing w:after="0"/>
              <w:rPr>
                <w:sz w:val="20"/>
                <w:szCs w:val="20"/>
                <w:color w:val="auto"/>
              </w:rPr>
            </w:pPr>
            <w:r>
              <w:rPr>
                <w:rFonts w:ascii="Arial" w:cs="Arial" w:eastAsia="Arial" w:hAnsi="Arial"/>
                <w:sz w:val="14"/>
                <w:szCs w:val="14"/>
                <w:b w:val="1"/>
                <w:bCs w:val="1"/>
                <w:color w:val="auto"/>
              </w:rPr>
              <w:t>(206) 883-2500</w:t>
            </w:r>
          </w:p>
        </w:tc>
        <w:tc>
          <w:tcPr>
            <w:tcW w:w="10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(206) 452-8700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50165</wp:posOffset>
            </wp:positionV>
            <wp:extent cx="195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19" w:lineRule="exact"/>
        <w:rPr>
          <w:sz w:val="24"/>
          <w:szCs w:val="24"/>
          <w:color w:val="auto"/>
        </w:rPr>
      </w:pPr>
    </w:p>
    <w:p>
      <w:pPr>
        <w:ind w:left="5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3"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2" w:lineRule="exact"/>
        <w:rPr>
          <w:sz w:val="24"/>
          <w:szCs w:val="24"/>
          <w:color w:val="auto"/>
        </w:rPr>
      </w:pPr>
    </w:p>
    <w:p>
      <w:pPr>
        <w:ind w:right="100" w:firstLine="510"/>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right="340" w:firstLine="51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right="340" w:firstLine="51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firstLine="51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ind w:left="1940"/>
              <w:spacing w:after="0"/>
              <w:rPr>
                <w:sz w:val="20"/>
                <w:szCs w:val="20"/>
                <w:color w:val="auto"/>
              </w:rPr>
            </w:pPr>
            <w:r>
              <w:rPr>
                <w:rFonts w:ascii="Arial" w:cs="Arial" w:eastAsia="Arial" w:hAnsi="Arial"/>
                <w:sz w:val="13"/>
                <w:szCs w:val="13"/>
                <w:b w:val="1"/>
                <w:bCs w:val="1"/>
                <w:color w:val="auto"/>
              </w:rPr>
              <w:t>Accelerated filer</w:t>
            </w:r>
          </w:p>
        </w:tc>
        <w:tc>
          <w:tcPr>
            <w:tcW w:w="1060" w:type="dxa"/>
            <w:vAlign w:val="bottom"/>
          </w:tcPr>
          <w:p>
            <w:pPr>
              <w:ind w:left="9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252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ind w:left="1940"/>
              <w:spacing w:after="0"/>
              <w:rPr>
                <w:sz w:val="20"/>
                <w:szCs w:val="20"/>
                <w:color w:val="auto"/>
              </w:rPr>
            </w:pPr>
            <w:r>
              <w:rPr>
                <w:rFonts w:ascii="Arial" w:cs="Arial" w:eastAsia="Arial" w:hAnsi="Arial"/>
                <w:sz w:val="13"/>
                <w:szCs w:val="13"/>
                <w:b w:val="1"/>
                <w:bCs w:val="1"/>
                <w:color w:val="auto"/>
              </w:rPr>
              <w:t>Smaller reporting company</w:t>
            </w:r>
          </w:p>
        </w:tc>
        <w:tc>
          <w:tcPr>
            <w:tcW w:w="1060" w:type="dxa"/>
            <w:vAlign w:val="bottom"/>
          </w:tcPr>
          <w:p>
            <w:pPr>
              <w:ind w:left="9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520" w:type="dxa"/>
            <w:vAlign w:val="bottom"/>
          </w:tcPr>
          <w:p>
            <w:pPr>
              <w:spacing w:after="0"/>
              <w:rPr>
                <w:sz w:val="20"/>
                <w:szCs w:val="20"/>
                <w:color w:val="auto"/>
              </w:rPr>
            </w:pPr>
            <w:r>
              <w:rPr>
                <w:rFonts w:ascii="Arial" w:cs="Arial" w:eastAsia="Arial" w:hAnsi="Arial"/>
                <w:sz w:val="13"/>
                <w:szCs w:val="13"/>
                <w:b w:val="1"/>
                <w:bCs w:val="1"/>
                <w:color w:val="auto"/>
              </w:rPr>
              <w:t>Emerging growth company</w:t>
            </w:r>
          </w:p>
        </w:tc>
        <w:tc>
          <w:tcPr>
            <w:tcW w:w="29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44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2202815</wp:posOffset>
            </wp:positionH>
            <wp:positionV relativeFrom="paragraph">
              <wp:posOffset>-291465</wp:posOffset>
            </wp:positionV>
            <wp:extent cx="60960" cy="61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6931025</wp:posOffset>
            </wp:positionH>
            <wp:positionV relativeFrom="paragraph">
              <wp:posOffset>-291465</wp:posOffset>
            </wp:positionV>
            <wp:extent cx="60960" cy="61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-196850</wp:posOffset>
            </wp:positionV>
            <wp:extent cx="60960" cy="61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6931025</wp:posOffset>
            </wp:positionH>
            <wp:positionV relativeFrom="paragraph">
              <wp:posOffset>-196850</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-93980</wp:posOffset>
            </wp:positionV>
            <wp:extent cx="60960" cy="61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pacing w:after="0" w:line="27" w:lineRule="exact"/>
        <w:rPr>
          <w:sz w:val="24"/>
          <w:szCs w:val="24"/>
          <w:color w:val="auto"/>
        </w:rPr>
      </w:pPr>
    </w:p>
    <w:p>
      <w:pPr>
        <w:ind w:right="400" w:firstLine="510"/>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27305</wp:posOffset>
            </wp:positionV>
            <wp:extent cx="1954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27" w:lineRule="exact"/>
        <w:rPr>
          <w:sz w:val="24"/>
          <w:szCs w:val="24"/>
          <w:color w:val="auto"/>
        </w:rPr>
      </w:pPr>
    </w:p>
    <w:tbl>
      <w:tblPr>
        <w:tblLayout w:type="fixed"/>
        <w:tblInd w:w="580" w:type="dxa"/>
        <w:tblCellMar>
          <w:top w:w="0" w:type="dxa"/>
          <w:left w:w="0" w:type="dxa"/>
          <w:bottom w:w="0" w:type="dxa"/>
          <w:right w:w="0" w:type="dxa"/>
        </w:tblCellMar>
      </w:tblPr>
      <w:tr>
        <w:trPr>
          <w:trHeight w:val="40"/>
        </w:trPr>
        <w:tc>
          <w:tcPr>
            <w:tcW w:w="4540" w:type="dxa"/>
            <w:vAlign w:val="bottom"/>
            <w:tcBorders>
              <w:top w:val="single" w:sz="8" w:color="auto"/>
              <w:bottom w:val="single" w:sz="8" w:color="auto"/>
            </w:tcBorders>
          </w:tcPr>
          <w:p>
            <w:pPr>
              <w:spacing w:after="0"/>
              <w:rPr>
                <w:sz w:val="3"/>
                <w:szCs w:val="3"/>
                <w:color w:val="auto"/>
              </w:rPr>
            </w:pPr>
          </w:p>
        </w:tc>
        <w:tc>
          <w:tcPr>
            <w:tcW w:w="316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r>
      <w:tr>
        <w:trPr>
          <w:trHeight w:val="116"/>
        </w:trPr>
        <w:tc>
          <w:tcPr>
            <w:tcW w:w="4540" w:type="dxa"/>
            <w:vAlign w:val="bottom"/>
          </w:tcPr>
          <w:p>
            <w:pPr>
              <w:spacing w:after="0"/>
              <w:rPr>
                <w:sz w:val="10"/>
                <w:szCs w:val="10"/>
                <w:color w:val="auto"/>
              </w:rPr>
            </w:pPr>
          </w:p>
        </w:tc>
        <w:tc>
          <w:tcPr>
            <w:tcW w:w="3160" w:type="dxa"/>
            <w:vAlign w:val="bottom"/>
          </w:tcPr>
          <w:p>
            <w:pPr>
              <w:jc w:val="center"/>
              <w:ind w:left="373"/>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2400" w:type="dxa"/>
            <w:vAlign w:val="bottom"/>
          </w:tcPr>
          <w:p>
            <w:pPr>
              <w:spacing w:after="0"/>
              <w:rPr>
                <w:sz w:val="10"/>
                <w:szCs w:val="10"/>
                <w:color w:val="auto"/>
              </w:rPr>
            </w:pPr>
          </w:p>
        </w:tc>
      </w:tr>
      <w:tr>
        <w:trPr>
          <w:trHeight w:val="149"/>
        </w:trPr>
        <w:tc>
          <w:tcPr>
            <w:tcW w:w="4540" w:type="dxa"/>
            <w:vAlign w:val="bottom"/>
          </w:tcPr>
          <w:p>
            <w:pPr>
              <w:jc w:val="center"/>
              <w:ind w:left="213"/>
              <w:spacing w:after="0"/>
              <w:rPr>
                <w:sz w:val="20"/>
                <w:szCs w:val="20"/>
                <w:color w:val="auto"/>
              </w:rPr>
            </w:pPr>
            <w:r>
              <w:rPr>
                <w:rFonts w:ascii="Arial" w:cs="Arial" w:eastAsia="Arial" w:hAnsi="Arial"/>
                <w:sz w:val="13"/>
                <w:szCs w:val="13"/>
                <w:b w:val="1"/>
                <w:bCs w:val="1"/>
                <w:color w:val="auto"/>
                <w:w w:val="92"/>
              </w:rPr>
              <w:t>Title of Each Class of Securities</w:t>
            </w:r>
          </w:p>
        </w:tc>
        <w:tc>
          <w:tcPr>
            <w:tcW w:w="3160" w:type="dxa"/>
            <w:vAlign w:val="bottom"/>
          </w:tcPr>
          <w:p>
            <w:pPr>
              <w:jc w:val="center"/>
              <w:ind w:left="373"/>
              <w:spacing w:after="0"/>
              <w:rPr>
                <w:sz w:val="20"/>
                <w:szCs w:val="20"/>
                <w:color w:val="auto"/>
              </w:rPr>
            </w:pPr>
            <w:r>
              <w:rPr>
                <w:rFonts w:ascii="Arial" w:cs="Arial" w:eastAsia="Arial" w:hAnsi="Arial"/>
                <w:sz w:val="13"/>
                <w:szCs w:val="13"/>
                <w:b w:val="1"/>
                <w:bCs w:val="1"/>
                <w:color w:val="auto"/>
                <w:w w:val="94"/>
              </w:rPr>
              <w:t>Aggregate Offering</w:t>
            </w:r>
          </w:p>
        </w:tc>
        <w:tc>
          <w:tcPr>
            <w:tcW w:w="2400" w:type="dxa"/>
            <w:vAlign w:val="bottom"/>
          </w:tcPr>
          <w:p>
            <w:pPr>
              <w:jc w:val="center"/>
              <w:ind w:left="73"/>
              <w:spacing w:after="0"/>
              <w:rPr>
                <w:sz w:val="20"/>
                <w:szCs w:val="20"/>
                <w:color w:val="auto"/>
              </w:rPr>
            </w:pPr>
            <w:r>
              <w:rPr>
                <w:rFonts w:ascii="Arial" w:cs="Arial" w:eastAsia="Arial" w:hAnsi="Arial"/>
                <w:sz w:val="13"/>
                <w:szCs w:val="13"/>
                <w:b w:val="1"/>
                <w:bCs w:val="1"/>
                <w:color w:val="auto"/>
                <w:w w:val="95"/>
              </w:rPr>
              <w:t>Amount of</w:t>
            </w:r>
          </w:p>
        </w:tc>
      </w:tr>
      <w:tr>
        <w:trPr>
          <w:trHeight w:val="182"/>
        </w:trPr>
        <w:tc>
          <w:tcPr>
            <w:tcW w:w="4540" w:type="dxa"/>
            <w:vAlign w:val="bottom"/>
            <w:tcBorders>
              <w:bottom w:val="single" w:sz="8" w:color="auto"/>
            </w:tcBorders>
          </w:tcPr>
          <w:p>
            <w:pPr>
              <w:jc w:val="center"/>
              <w:ind w:left="213"/>
              <w:spacing w:after="0"/>
              <w:rPr>
                <w:sz w:val="20"/>
                <w:szCs w:val="20"/>
                <w:color w:val="auto"/>
              </w:rPr>
            </w:pPr>
            <w:r>
              <w:rPr>
                <w:rFonts w:ascii="Arial" w:cs="Arial" w:eastAsia="Arial" w:hAnsi="Arial"/>
                <w:sz w:val="13"/>
                <w:szCs w:val="13"/>
                <w:b w:val="1"/>
                <w:bCs w:val="1"/>
                <w:color w:val="auto"/>
                <w:w w:val="92"/>
              </w:rPr>
              <w:t>to be Registered</w:t>
            </w:r>
          </w:p>
        </w:tc>
        <w:tc>
          <w:tcPr>
            <w:tcW w:w="3160" w:type="dxa"/>
            <w:vAlign w:val="bottom"/>
            <w:tcBorders>
              <w:bottom w:val="single" w:sz="8" w:color="auto"/>
            </w:tcBorders>
          </w:tcPr>
          <w:p>
            <w:pPr>
              <w:jc w:val="center"/>
              <w:ind w:left="373"/>
              <w:spacing w:after="0"/>
              <w:rPr>
                <w:sz w:val="20"/>
                <w:szCs w:val="20"/>
                <w:color w:val="auto"/>
              </w:rPr>
            </w:pPr>
            <w:r>
              <w:rPr>
                <w:rFonts w:ascii="Arial" w:cs="Arial" w:eastAsia="Arial" w:hAnsi="Arial"/>
                <w:sz w:val="13"/>
                <w:szCs w:val="13"/>
                <w:b w:val="1"/>
                <w:bCs w:val="1"/>
                <w:color w:val="auto"/>
                <w:w w:val="92"/>
              </w:rPr>
              <w:t>Price(1)</w:t>
            </w:r>
          </w:p>
        </w:tc>
        <w:tc>
          <w:tcPr>
            <w:tcW w:w="240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w w:val="92"/>
              </w:rPr>
              <w:t>Registration Fee</w:t>
            </w:r>
          </w:p>
        </w:tc>
      </w:tr>
      <w:tr>
        <w:trPr>
          <w:trHeight w:val="256"/>
        </w:trPr>
        <w:tc>
          <w:tcPr>
            <w:tcW w:w="4540" w:type="dxa"/>
            <w:vAlign w:val="bottom"/>
          </w:tcPr>
          <w:p>
            <w:pPr>
              <w:spacing w:after="0"/>
              <w:rPr>
                <w:sz w:val="20"/>
                <w:szCs w:val="20"/>
                <w:color w:val="auto"/>
              </w:rPr>
            </w:pPr>
            <w:r>
              <w:rPr>
                <w:rFonts w:ascii="Arial" w:cs="Arial" w:eastAsia="Arial" w:hAnsi="Arial"/>
                <w:sz w:val="13"/>
                <w:szCs w:val="13"/>
                <w:color w:val="auto"/>
              </w:rPr>
              <w:t>Common Stock, $0.0001 par value per share</w:t>
            </w:r>
          </w:p>
        </w:tc>
        <w:tc>
          <w:tcPr>
            <w:tcW w:w="3160" w:type="dxa"/>
            <w:vAlign w:val="bottom"/>
          </w:tcPr>
          <w:p>
            <w:pPr>
              <w:jc w:val="right"/>
              <w:ind w:right="1553"/>
              <w:spacing w:after="0"/>
              <w:rPr>
                <w:sz w:val="20"/>
                <w:szCs w:val="20"/>
                <w:color w:val="auto"/>
              </w:rPr>
            </w:pPr>
            <w:r>
              <w:rPr>
                <w:rFonts w:ascii="Arial" w:cs="Arial" w:eastAsia="Arial" w:hAnsi="Arial"/>
                <w:sz w:val="13"/>
                <w:szCs w:val="13"/>
                <w:color w:val="auto"/>
              </w:rPr>
              <w:t>$</w:t>
            </w:r>
          </w:p>
        </w:tc>
        <w:tc>
          <w:tcPr>
            <w:tcW w:w="2400" w:type="dxa"/>
            <w:vAlign w:val="bottom"/>
          </w:tcPr>
          <w:p>
            <w:pPr>
              <w:jc w:val="right"/>
              <w:ind w:right="1233"/>
              <w:spacing w:after="0"/>
              <w:rPr>
                <w:sz w:val="20"/>
                <w:szCs w:val="20"/>
                <w:color w:val="auto"/>
              </w:rPr>
            </w:pPr>
            <w:r>
              <w:rPr>
                <w:rFonts w:ascii="Arial" w:cs="Arial" w:eastAsia="Arial" w:hAnsi="Arial"/>
                <w:sz w:val="13"/>
                <w:szCs w:val="13"/>
                <w:color w:val="auto"/>
              </w:rPr>
              <w:t>$</w:t>
            </w:r>
          </w:p>
        </w:tc>
      </w:tr>
      <w:tr>
        <w:trPr>
          <w:trHeight w:val="28"/>
        </w:trPr>
        <w:tc>
          <w:tcPr>
            <w:tcW w:w="45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57" w:lineRule="exact"/>
        <w:rPr>
          <w:sz w:val="24"/>
          <w:szCs w:val="24"/>
          <w:color w:val="auto"/>
        </w:rPr>
      </w:pPr>
    </w:p>
    <w:p>
      <w:pPr>
        <w:ind w:left="860" w:hanging="366"/>
        <w:spacing w:after="0" w:line="274" w:lineRule="auto"/>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in accordance with Rule 457(o) under the Securities Act of 1933, as amended. Includes shares that the underwriters have the option to purchase.</w:t>
      </w:r>
    </w:p>
    <w:p>
      <w:pPr>
        <w:spacing w:after="0" w:line="79" w:lineRule="exact"/>
        <w:rPr>
          <w:sz w:val="24"/>
          <w:szCs w:val="24"/>
          <w:color w:val="auto"/>
        </w:rPr>
      </w:pPr>
    </w:p>
    <w:p>
      <w:pPr>
        <w:ind w:right="40" w:firstLine="499"/>
        <w:spacing w:after="0" w:line="234"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1" w:name="page2"/>
    <w:bookmarkEnd w:id="1"/>
    <w:p>
      <w:pPr>
        <w:ind w:right="40"/>
        <w:spacing w:after="0" w:line="219" w:lineRule="auto"/>
        <w:rPr>
          <w:sz w:val="20"/>
          <w:szCs w:val="20"/>
          <w:color w:val="auto"/>
        </w:rPr>
      </w:pPr>
      <w:r>
        <w:rPr>
          <w:rFonts w:ascii="Arial" w:cs="Arial" w:eastAsia="Arial" w:hAnsi="Arial"/>
          <w:sz w:val="18"/>
          <w:szCs w:val="18"/>
          <w:color w:val="C00000"/>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190" w:lineRule="exact"/>
        <w:rPr>
          <w:sz w:val="20"/>
          <w:szCs w:val="20"/>
          <w:color w:val="auto"/>
        </w:rPr>
      </w:pPr>
    </w:p>
    <w:tbl>
      <w:tblPr>
        <w:tblLayout w:type="fixed"/>
        <w:tblInd w:w="3760" w:type="dxa"/>
        <w:tblCellMar>
          <w:top w:w="0" w:type="dxa"/>
          <w:left w:w="0" w:type="dxa"/>
          <w:bottom w:w="0" w:type="dxa"/>
          <w:right w:w="0" w:type="dxa"/>
        </w:tblCellMar>
      </w:tblPr>
      <w:tr>
        <w:trPr>
          <w:trHeight w:val="239"/>
        </w:trPr>
        <w:tc>
          <w:tcPr>
            <w:tcW w:w="2860" w:type="dxa"/>
            <w:vAlign w:val="bottom"/>
          </w:tcPr>
          <w:p>
            <w:pPr>
              <w:spacing w:after="0"/>
              <w:rPr>
                <w:sz w:val="20"/>
                <w:szCs w:val="20"/>
                <w:color w:val="auto"/>
              </w:rPr>
            </w:pPr>
            <w:r>
              <w:rPr>
                <w:rFonts w:ascii="Arial" w:cs="Arial" w:eastAsia="Arial" w:hAnsi="Arial"/>
                <w:sz w:val="18"/>
                <w:szCs w:val="18"/>
                <w:b w:val="1"/>
                <w:bCs w:val="1"/>
                <w:color w:val="C00000"/>
              </w:rPr>
              <w:t>Subject to Completion, Dated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C00000"/>
              </w:rPr>
              <w:t>, 2021</w:t>
            </w:r>
          </w:p>
        </w:tc>
      </w:tr>
    </w:tbl>
    <w:p>
      <w:pPr>
        <w:spacing w:after="0" w:line="137" w:lineRule="exact"/>
        <w:rPr>
          <w:sz w:val="20"/>
          <w:szCs w:val="20"/>
          <w:color w:val="auto"/>
        </w:rPr>
      </w:pPr>
    </w:p>
    <w:p>
      <w:pPr>
        <w:ind w:left="58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90805</wp:posOffset>
            </wp:positionV>
            <wp:extent cx="2726055" cy="1354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151130</wp:posOffset>
            </wp:positionV>
            <wp:extent cx="1988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We are offering</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w:t>
      </w:r>
    </w:p>
    <w:p>
      <w:pPr>
        <w:spacing w:after="0" w:line="169" w:lineRule="exact"/>
        <w:rPr>
          <w:sz w:val="20"/>
          <w:szCs w:val="20"/>
          <w:color w:val="auto"/>
        </w:rPr>
      </w:pPr>
    </w:p>
    <w:p>
      <w:pPr>
        <w:sectPr>
          <w:pgSz w:w="11900" w:h="16838" w:orient="portrait"/>
          <w:cols w:equalWidth="0" w:num="2">
            <w:col w:w="1740" w:space="500"/>
            <w:col w:w="9020"/>
          </w:cols>
          <w:pgMar w:left="320" w:top="125" w:right="31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Our common stock is listed on the Nasdaq Global Select Market under the symbol “ATHA.” On January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2021, the last reported</w:t>
      </w:r>
    </w:p>
    <w:p>
      <w:pPr>
        <w:spacing w:after="0" w:line="17" w:lineRule="exact"/>
        <w:rPr>
          <w:sz w:val="20"/>
          <w:szCs w:val="20"/>
          <w:color w:val="auto"/>
        </w:rPr>
      </w:pPr>
    </w:p>
    <w:p>
      <w:pPr>
        <w:sectPr>
          <w:pgSz w:w="11900" w:h="16838" w:orient="portrait"/>
          <w:cols w:equalWidth="0" w:num="2">
            <w:col w:w="8700" w:space="280"/>
            <w:col w:w="2280"/>
          </w:cols>
          <w:pgMar w:left="320" w:top="125" w:right="319" w:bottom="1440" w:gutter="0" w:footer="0" w:header="0"/>
          <w:type w:val="continuous"/>
        </w:sectPr>
      </w:pPr>
    </w:p>
    <w:p>
      <w:pPr>
        <w:spacing w:after="0"/>
        <w:rPr>
          <w:sz w:val="20"/>
          <w:szCs w:val="20"/>
          <w:color w:val="auto"/>
        </w:rPr>
      </w:pPr>
      <w:r>
        <w:rPr>
          <w:rFonts w:ascii="Arial" w:cs="Arial" w:eastAsia="Arial" w:hAnsi="Arial"/>
          <w:sz w:val="18"/>
          <w:szCs w:val="18"/>
          <w:color w:val="auto"/>
        </w:rPr>
        <w:t>sale price of our common stock on the Nasdaq Global Select Market was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per share. The final public offering price will be determined</w:t>
      </w:r>
    </w:p>
    <w:p>
      <w:pPr>
        <w:spacing w:after="0" w:line="8" w:lineRule="exact"/>
        <w:rPr>
          <w:sz w:val="20"/>
          <w:szCs w:val="20"/>
          <w:color w:val="auto"/>
        </w:rPr>
      </w:pPr>
    </w:p>
    <w:p>
      <w:pPr>
        <w:sectPr>
          <w:pgSz w:w="11900" w:h="16838" w:orient="portrait"/>
          <w:cols w:equalWidth="0" w:num="2">
            <w:col w:w="5960" w:space="440"/>
            <w:col w:w="4860"/>
          </w:cols>
          <w:pgMar w:left="320" w:top="125" w:right="319" w:bottom="1440" w:gutter="0" w:footer="0" w:header="0"/>
          <w:type w:val="continuous"/>
        </w:sectPr>
      </w:pPr>
    </w:p>
    <w:p>
      <w:pPr>
        <w:ind w:right="320"/>
        <w:spacing w:after="0" w:line="234" w:lineRule="auto"/>
        <w:rPr>
          <w:sz w:val="20"/>
          <w:szCs w:val="20"/>
          <w:color w:val="auto"/>
        </w:rPr>
      </w:pPr>
      <w:r>
        <w:rPr>
          <w:rFonts w:ascii="Arial" w:cs="Arial" w:eastAsia="Arial" w:hAnsi="Arial"/>
          <w:sz w:val="18"/>
          <w:szCs w:val="18"/>
          <w:color w:val="auto"/>
        </w:rPr>
        <w:t>through negotiation between us and the lead underwriters in the offering and the recent market price used throughout the prospectus may not be indicative of the final offering price.</w:t>
      </w:r>
    </w:p>
    <w:p>
      <w:pPr>
        <w:spacing w:after="0" w:line="122" w:lineRule="exact"/>
        <w:rPr>
          <w:sz w:val="20"/>
          <w:szCs w:val="20"/>
          <w:color w:val="auto"/>
        </w:rPr>
      </w:pPr>
    </w:p>
    <w:p>
      <w:pPr>
        <w:ind w:right="160" w:firstLine="499"/>
        <w:spacing w:after="0" w:line="24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133985</wp:posOffset>
            </wp:positionV>
            <wp:extent cx="1988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88" w:lineRule="exact"/>
        <w:rPr>
          <w:sz w:val="20"/>
          <w:szCs w:val="20"/>
          <w:color w:val="auto"/>
        </w:rPr>
      </w:pPr>
    </w:p>
    <w:p>
      <w:pPr>
        <w:ind w:right="600" w:firstLine="499"/>
        <w:spacing w:after="0" w:line="267" w:lineRule="auto"/>
        <w:rPr>
          <w:sz w:val="20"/>
          <w:szCs w:val="20"/>
          <w:color w:val="auto"/>
        </w:rPr>
      </w:pPr>
      <w:r>
        <w:rPr>
          <w:rFonts w:ascii="Arial" w:cs="Arial" w:eastAsia="Arial" w:hAnsi="Arial"/>
          <w:sz w:val="18"/>
          <w:szCs w:val="18"/>
          <w:i w:val="1"/>
          <w:iCs w:val="1"/>
          <w:color w:val="auto"/>
        </w:rPr>
        <w:t>See the section titled “</w:t>
      </w:r>
      <w:r>
        <w:rPr>
          <w:rFonts w:ascii="Arial" w:cs="Arial" w:eastAsia="Arial" w:hAnsi="Arial"/>
          <w:sz w:val="18"/>
          <w:szCs w:val="18"/>
          <w:i w:val="1"/>
          <w:iCs w:val="1"/>
          <w:u w:val="single" w:color="auto"/>
          <w:color w:val="auto"/>
        </w:rPr>
        <w:t>Risk Factors</w:t>
      </w:r>
      <w:r>
        <w:rPr>
          <w:rFonts w:ascii="Arial" w:cs="Arial" w:eastAsia="Arial" w:hAnsi="Arial"/>
          <w:sz w:val="18"/>
          <w:szCs w:val="18"/>
          <w:i w:val="1"/>
          <w:iCs w:val="1"/>
          <w:color w:val="auto"/>
        </w:rPr>
        <w:t>” beginning on page 16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113665</wp:posOffset>
            </wp:positionV>
            <wp:extent cx="198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52" w:lineRule="exact"/>
        <w:rPr>
          <w:sz w:val="20"/>
          <w:szCs w:val="20"/>
          <w:color w:val="auto"/>
        </w:rPr>
      </w:pPr>
    </w:p>
    <w:p>
      <w:pPr>
        <w:ind w:right="40" w:firstLine="499"/>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97790</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20" w:type="dxa"/>
            <w:vAlign w:val="bottom"/>
          </w:tcPr>
          <w:p>
            <w:pPr>
              <w:spacing w:after="0"/>
              <w:rPr>
                <w:sz w:val="19"/>
                <w:szCs w:val="19"/>
                <w:color w:val="auto"/>
              </w:rPr>
            </w:pPr>
          </w:p>
        </w:tc>
        <w:tc>
          <w:tcPr>
            <w:tcW w:w="3420" w:type="dxa"/>
            <w:vAlign w:val="bottom"/>
          </w:tcPr>
          <w:p>
            <w:pPr>
              <w:jc w:val="right"/>
              <w:ind w:right="150"/>
              <w:spacing w:after="0"/>
              <w:rPr>
                <w:sz w:val="20"/>
                <w:szCs w:val="20"/>
                <w:color w:val="auto"/>
              </w:rPr>
            </w:pPr>
            <w:r>
              <w:rPr>
                <w:rFonts w:ascii="Arial" w:cs="Arial" w:eastAsia="Arial" w:hAnsi="Arial"/>
                <w:sz w:val="18"/>
                <w:szCs w:val="18"/>
                <w:color w:val="auto"/>
              </w:rPr>
              <w:t>Per Share</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Public offering price</w:t>
            </w:r>
          </w:p>
        </w:tc>
        <w:tc>
          <w:tcPr>
            <w:tcW w:w="342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420" w:type="dxa"/>
            <w:vAlign w:val="bottom"/>
          </w:tcPr>
          <w:p>
            <w:pPr>
              <w:jc w:val="right"/>
              <w:ind w:right="12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5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3420" w:type="dxa"/>
            <w:vAlign w:val="bottom"/>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3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423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0" w:lineRule="exact"/>
        <w:rPr>
          <w:sz w:val="20"/>
          <w:szCs w:val="20"/>
          <w:color w:val="auto"/>
        </w:rPr>
      </w:pPr>
    </w:p>
    <w:p>
      <w:pPr>
        <w:ind w:left="420" w:hanging="412"/>
        <w:spacing w:after="0"/>
        <w:tabs>
          <w:tab w:leader="none" w:pos="42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for a description of the compensation payable to the underwriters.</w:t>
      </w:r>
    </w:p>
    <w:p>
      <w:pPr>
        <w:spacing w:after="0" w:line="133" w:lineRule="exact"/>
        <w:rPr>
          <w:sz w:val="20"/>
          <w:szCs w:val="20"/>
          <w:color w:val="auto"/>
        </w:rPr>
      </w:pPr>
    </w:p>
    <w:p>
      <w:pPr>
        <w:ind w:right="140" w:firstLine="499"/>
        <w:spacing w:after="0" w:line="246" w:lineRule="auto"/>
        <w:rPr>
          <w:sz w:val="20"/>
          <w:szCs w:val="20"/>
          <w:color w:val="auto"/>
        </w:rPr>
      </w:pPr>
      <w:r>
        <w:rPr>
          <w:rFonts w:ascii="Arial" w:cs="Arial" w:eastAsia="Arial" w:hAnsi="Arial"/>
          <w:sz w:val="18"/>
          <w:szCs w:val="18"/>
          <w:color w:val="auto"/>
        </w:rPr>
        <w:t>To the extent that the underwriters sell more than shares of common stock, the underwriters have an option to purchase up to an additional shares from us at the public offering price, less the underwriting discounts and commissions.</w:t>
      </w:r>
    </w:p>
    <w:p>
      <w:pPr>
        <w:sectPr>
          <w:pgSz w:w="11900" w:h="16838" w:orient="portrait"/>
          <w:cols w:equalWidth="0" w:num="1">
            <w:col w:w="11260"/>
          </w:cols>
          <w:pgMar w:left="320" w:top="125" w:right="319" w:bottom="1440" w:gutter="0" w:footer="0" w:header="0"/>
          <w:type w:val="continuous"/>
        </w:sectPr>
      </w:pPr>
    </w:p>
    <w:p>
      <w:pPr>
        <w:spacing w:after="0" w:line="1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142240</wp:posOffset>
            </wp:positionV>
            <wp:extent cx="198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2021.</w:t>
      </w:r>
    </w:p>
    <w:p>
      <w:pPr>
        <w:spacing w:after="0" w:line="200" w:lineRule="exact"/>
        <w:rPr>
          <w:sz w:val="20"/>
          <w:szCs w:val="20"/>
          <w:color w:val="auto"/>
        </w:rPr>
      </w:pPr>
    </w:p>
    <w:p>
      <w:pPr>
        <w:sectPr>
          <w:pgSz w:w="11900" w:h="16838" w:orient="portrait"/>
          <w:cols w:equalWidth="0" w:num="2">
            <w:col w:w="7600" w:space="400"/>
            <w:col w:w="3260"/>
          </w:cols>
          <w:pgMar w:left="320" w:top="125" w:right="319" w:bottom="1440" w:gutter="0" w:footer="0" w:header="0"/>
          <w:type w:val="continuous"/>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370"/>
        </w:trPr>
        <w:tc>
          <w:tcPr>
            <w:tcW w:w="3940" w:type="dxa"/>
            <w:vAlign w:val="bottom"/>
          </w:tcPr>
          <w:p>
            <w:pPr>
              <w:spacing w:after="0"/>
              <w:rPr>
                <w:sz w:val="20"/>
                <w:szCs w:val="20"/>
                <w:color w:val="auto"/>
              </w:rPr>
            </w:pPr>
            <w:r>
              <w:rPr>
                <w:rFonts w:ascii="Arial" w:cs="Arial" w:eastAsia="Arial" w:hAnsi="Arial"/>
                <w:sz w:val="28"/>
                <w:szCs w:val="28"/>
                <w:b w:val="1"/>
                <w:bCs w:val="1"/>
                <w:color w:val="auto"/>
              </w:rPr>
              <w:t>Goldman Sachs &amp; Co. LLC</w:t>
            </w:r>
          </w:p>
        </w:tc>
        <w:tc>
          <w:tcPr>
            <w:tcW w:w="2420" w:type="dxa"/>
            <w:vAlign w:val="bottom"/>
          </w:tcPr>
          <w:p>
            <w:pPr>
              <w:ind w:left="1200"/>
              <w:spacing w:after="0"/>
              <w:rPr>
                <w:sz w:val="20"/>
                <w:szCs w:val="20"/>
                <w:color w:val="auto"/>
              </w:rPr>
            </w:pPr>
            <w:r>
              <w:rPr>
                <w:rFonts w:ascii="Arial" w:cs="Arial" w:eastAsia="Arial" w:hAnsi="Arial"/>
                <w:sz w:val="28"/>
                <w:szCs w:val="28"/>
                <w:b w:val="1"/>
                <w:bCs w:val="1"/>
                <w:color w:val="auto"/>
              </w:rPr>
              <w:t>Jefferies</w:t>
            </w:r>
          </w:p>
        </w:tc>
        <w:tc>
          <w:tcPr>
            <w:tcW w:w="4900" w:type="dxa"/>
            <w:vAlign w:val="bottom"/>
          </w:tcPr>
          <w:p>
            <w:pPr>
              <w:jc w:val="right"/>
              <w:spacing w:after="0"/>
              <w:rPr>
                <w:sz w:val="20"/>
                <w:szCs w:val="20"/>
                <w:color w:val="auto"/>
              </w:rPr>
            </w:pPr>
            <w:r>
              <w:rPr>
                <w:rFonts w:ascii="Arial" w:cs="Arial" w:eastAsia="Arial" w:hAnsi="Arial"/>
                <w:sz w:val="28"/>
                <w:szCs w:val="28"/>
                <w:b w:val="1"/>
                <w:bCs w:val="1"/>
                <w:color w:val="auto"/>
              </w:rPr>
              <w:t>Stifel</w:t>
            </w:r>
          </w:p>
        </w:tc>
      </w:tr>
      <w:tr>
        <w:trPr>
          <w:trHeight w:val="626"/>
        </w:trPr>
        <w:tc>
          <w:tcPr>
            <w:tcW w:w="3940" w:type="dxa"/>
            <w:vAlign w:val="bottom"/>
          </w:tcPr>
          <w:p>
            <w:pPr>
              <w:spacing w:after="0"/>
              <w:rPr>
                <w:sz w:val="24"/>
                <w:szCs w:val="24"/>
                <w:color w:val="auto"/>
              </w:rPr>
            </w:pPr>
          </w:p>
        </w:tc>
        <w:tc>
          <w:tcPr>
            <w:tcW w:w="7320" w:type="dxa"/>
            <w:vAlign w:val="bottom"/>
            <w:gridSpan w:val="2"/>
          </w:tcPr>
          <w:p>
            <w:pPr>
              <w:jc w:val="right"/>
              <w:ind w:right="4625"/>
              <w:spacing w:after="0"/>
              <w:rPr>
                <w:sz w:val="20"/>
                <w:szCs w:val="20"/>
                <w:color w:val="auto"/>
              </w:rPr>
            </w:pPr>
            <w:r>
              <w:rPr>
                <w:rFonts w:ascii="Arial" w:cs="Arial" w:eastAsia="Arial" w:hAnsi="Arial"/>
                <w:sz w:val="25"/>
                <w:szCs w:val="25"/>
                <w:b w:val="1"/>
                <w:bCs w:val="1"/>
                <w:color w:val="auto"/>
              </w:rPr>
              <w:t>JMP Securities</w:t>
            </w:r>
          </w:p>
        </w:tc>
      </w:tr>
      <w:tr>
        <w:trPr>
          <w:trHeight w:val="572"/>
        </w:trPr>
        <w:tc>
          <w:tcPr>
            <w:tcW w:w="3940" w:type="dxa"/>
            <w:vAlign w:val="bottom"/>
          </w:tcPr>
          <w:p>
            <w:pPr>
              <w:spacing w:after="0"/>
              <w:rPr>
                <w:sz w:val="24"/>
                <w:szCs w:val="24"/>
                <w:color w:val="auto"/>
              </w:rPr>
            </w:pPr>
          </w:p>
        </w:tc>
        <w:tc>
          <w:tcPr>
            <w:tcW w:w="2420" w:type="dxa"/>
            <w:vAlign w:val="bottom"/>
          </w:tcPr>
          <w:p>
            <w:pPr>
              <w:ind w:left="380"/>
              <w:spacing w:after="0"/>
              <w:rPr>
                <w:sz w:val="20"/>
                <w:szCs w:val="20"/>
                <w:color w:val="auto"/>
              </w:rPr>
            </w:pPr>
            <w:r>
              <w:rPr>
                <w:rFonts w:ascii="Arial" w:cs="Arial" w:eastAsia="Arial" w:hAnsi="Arial"/>
                <w:sz w:val="18"/>
                <w:szCs w:val="18"/>
                <w:color w:val="auto"/>
              </w:rPr>
              <w:t>Prospectus dated</w:t>
            </w:r>
          </w:p>
        </w:tc>
        <w:tc>
          <w:tcPr>
            <w:tcW w:w="4900" w:type="dxa"/>
            <w:vAlign w:val="bottom"/>
          </w:tcPr>
          <w:p>
            <w:pPr>
              <w:jc w:val="right"/>
              <w:ind w:right="4225"/>
              <w:spacing w:after="0"/>
              <w:rPr>
                <w:sz w:val="20"/>
                <w:szCs w:val="20"/>
                <w:color w:val="auto"/>
              </w:rPr>
            </w:pPr>
            <w:r>
              <w:rPr>
                <w:rFonts w:ascii="Arial" w:cs="Arial" w:eastAsia="Arial" w:hAnsi="Arial"/>
                <w:sz w:val="18"/>
                <w:szCs w:val="18"/>
                <w:color w:val="auto"/>
              </w:rPr>
              <w:t>, 2021</w:t>
            </w:r>
          </w:p>
        </w:tc>
      </w:tr>
      <w:tr>
        <w:trPr>
          <w:trHeight w:val="615"/>
        </w:trPr>
        <w:tc>
          <w:tcPr>
            <w:tcW w:w="39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p>
        </w:tc>
        <w:tc>
          <w:tcPr>
            <w:tcW w:w="624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300" w:type="dxa"/>
            <w:vAlign w:val="bottom"/>
            <w:gridSpan w:val="3"/>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0300" w:type="dxa"/>
            <w:vAlign w:val="bottom"/>
            <w:gridSpan w:val="3"/>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10300" w:type="dxa"/>
            <w:vAlign w:val="bottom"/>
            <w:gridSpan w:val="3"/>
          </w:tcPr>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firstLine="468"/>
        <w:spacing w:after="0" w:line="237"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205" w:lineRule="exact"/>
        <w:rPr>
          <w:sz w:val="20"/>
          <w:szCs w:val="20"/>
          <w:color w:val="auto"/>
        </w:rPr>
      </w:pPr>
    </w:p>
    <w:p>
      <w:pPr>
        <w:ind w:right="600" w:firstLine="562"/>
        <w:spacing w:after="0" w:line="23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9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right="80" w:firstLine="576"/>
        <w:spacing w:after="0" w:line="242"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w:t>
      </w:r>
    </w:p>
    <w:p>
      <w:pPr>
        <w:spacing w:after="0" w:line="21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28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528185"/>
                    </a:xfrm>
                    <a:prstGeom prst="rect">
                      <a:avLst/>
                    </a:prstGeom>
                    <a:noFill/>
                  </pic:spPr>
                </pic:pic>
              </a:graphicData>
            </a:graphic>
          </wp:anchor>
        </w:drawing>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80" w:firstLine="547"/>
        <w:spacing w:after="0" w:line="237"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203" w:lineRule="exact"/>
        <w:rPr>
          <w:sz w:val="20"/>
          <w:szCs w:val="20"/>
          <w:color w:val="auto"/>
        </w:rPr>
      </w:pPr>
    </w:p>
    <w:p>
      <w:pPr>
        <w:ind w:right="80" w:firstLine="553"/>
        <w:spacing w:after="0" w:line="236" w:lineRule="auto"/>
        <w:rPr>
          <w:sz w:val="20"/>
          <w:szCs w:val="20"/>
          <w:color w:val="auto"/>
        </w:rPr>
      </w:pPr>
      <w:r>
        <w:rPr>
          <w:rFonts w:ascii="Arial" w:cs="Arial" w:eastAsia="Arial" w:hAnsi="Arial"/>
          <w:sz w:val="18"/>
          <w:szCs w:val="18"/>
          <w:color w:val="auto"/>
        </w:rPr>
        <w:t>We are pioneering the use of small molecules that are designed to promote the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208" w:lineRule="exact"/>
        <w:rPr>
          <w:sz w:val="20"/>
          <w:szCs w:val="20"/>
          <w:color w:val="auto"/>
        </w:rPr>
      </w:pPr>
    </w:p>
    <w:p>
      <w:pPr>
        <w:ind w:firstLine="553"/>
        <w:spacing w:after="0" w:line="204" w:lineRule="exact"/>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repair mechanism of HGF/MET, can potentially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indications such as depression and anxiety. We are planning to initiate a Phase 2 clinical trial for ATH-1017 for the treatment of PDD by the end of 2021. Currently we have several preclinical candidates for non-AD indications, including ATH-1018, which is being developed to address peripheral indications, and ATH-1019 / ATH</w:t>
      </w:r>
      <w:r>
        <w:rPr>
          <w:rFonts w:ascii="MS PGothic" w:cs="MS PGothic" w:eastAsia="MS PGothic" w:hAnsi="MS PGothic"/>
          <w:sz w:val="18"/>
          <w:szCs w:val="18"/>
          <w:color w:val="auto"/>
        </w:rPr>
        <w:t>‑</w:t>
      </w:r>
      <w:r>
        <w:rPr>
          <w:rFonts w:ascii="Arial" w:cs="Arial" w:eastAsia="Arial" w:hAnsi="Arial"/>
          <w:sz w:val="18"/>
          <w:szCs w:val="18"/>
          <w:color w:val="auto"/>
        </w:rPr>
        <w:t>1020 compounds, which are being advanced to address neuropsychiatric indications. ATH</w:t>
      </w:r>
      <w:r>
        <w:rPr>
          <w:rFonts w:ascii="MS PGothic" w:cs="MS PGothic" w:eastAsia="MS PGothic" w:hAnsi="MS PGothic"/>
          <w:sz w:val="18"/>
          <w:szCs w:val="18"/>
          <w:color w:val="auto"/>
        </w:rPr>
        <w:t>‑</w:t>
      </w:r>
      <w:r>
        <w:rPr>
          <w:rFonts w:ascii="Arial" w:cs="Arial" w:eastAsia="Arial" w:hAnsi="Arial"/>
          <w:sz w:val="18"/>
          <w:szCs w:val="18"/>
          <w:color w:val="auto"/>
        </w:rPr>
        <w:t>1020 is a new compound that recently moved from the discovery to the development stage. Similar to ATH</w:t>
      </w:r>
      <w:r>
        <w:rPr>
          <w:rFonts w:ascii="MS PGothic" w:cs="MS PGothic" w:eastAsia="MS PGothic" w:hAnsi="MS PGothic"/>
          <w:sz w:val="18"/>
          <w:szCs w:val="18"/>
          <w:color w:val="auto"/>
        </w:rPr>
        <w:t>‑</w:t>
      </w:r>
      <w:r>
        <w:rPr>
          <w:rFonts w:ascii="Arial" w:cs="Arial" w:eastAsia="Arial" w:hAnsi="Arial"/>
          <w:sz w:val="18"/>
          <w:szCs w:val="18"/>
          <w:color w:val="auto"/>
        </w:rPr>
        <w:t>1019, it is designed to activate HGF/MET and is neuroactive in animal models. Late-stage non-clinical development work and potentially early clinical studies will support decisions on selection of the lead product candidate and indication moving forward. Our ATH platform allows us the flexibility to engineer compounds that are BBB-penetrating or that generate specific activity in the periphery and molecules for subcutaneous or oral route of administration.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323" w:right="57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825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6825615"/>
                    </a:xfrm>
                    <a:prstGeom prst="rect">
                      <a:avLst/>
                    </a:prstGeom>
                    <a:noFill/>
                  </pic:spPr>
                </pic:pic>
              </a:graphicData>
            </a:graphic>
          </wp:anchor>
        </w:drawing>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and ATH Platform</w:t>
      </w:r>
    </w:p>
    <w:p>
      <w:pPr>
        <w:spacing w:after="0" w:line="126" w:lineRule="exact"/>
        <w:rPr>
          <w:sz w:val="20"/>
          <w:szCs w:val="20"/>
          <w:color w:val="auto"/>
        </w:rPr>
      </w:pPr>
    </w:p>
    <w:p>
      <w:pPr>
        <w:ind w:right="320" w:firstLine="553"/>
        <w:spacing w:after="0" w:line="23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hanging="458"/>
        <w:spacing w:after="0"/>
        <w:tabs>
          <w:tab w:leader="none" w:pos="4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RoA: route of administration; SC: subcutaneous; PO: oral.</w:t>
      </w:r>
    </w:p>
    <w:p>
      <w:pPr>
        <w:spacing w:after="0" w:line="30" w:lineRule="exact"/>
        <w:rPr>
          <w:rFonts w:ascii="Arial" w:cs="Arial" w:eastAsia="Arial" w:hAnsi="Arial"/>
          <w:sz w:val="24"/>
          <w:szCs w:val="24"/>
          <w:color w:val="auto"/>
          <w:vertAlign w:val="superscript"/>
        </w:rPr>
      </w:pPr>
    </w:p>
    <w:p>
      <w:pPr>
        <w:ind w:left="460" w:hanging="458"/>
        <w:spacing w:after="0" w:line="189" w:lineRule="auto"/>
        <w:tabs>
          <w:tab w:leader="none" w:pos="460" w:val="left"/>
        </w:tabs>
        <w:numPr>
          <w:ilvl w:val="0"/>
          <w:numId w:val="3"/>
        </w:numPr>
        <w:rPr>
          <w:rFonts w:ascii="Arial" w:cs="Arial" w:eastAsia="Arial" w:hAnsi="Arial"/>
          <w:sz w:val="19"/>
          <w:szCs w:val="19"/>
          <w:color w:val="auto"/>
          <w:vertAlign w:val="superscript"/>
        </w:rPr>
      </w:pPr>
      <w:r>
        <w:rPr>
          <w:rFonts w:ascii="Arial" w:cs="Arial" w:eastAsia="Arial" w:hAnsi="Arial"/>
          <w:sz w:val="12"/>
          <w:szCs w:val="12"/>
          <w:color w:val="auto"/>
        </w:rPr>
        <w:t>ATH-1017 for AD is moving from Phase 1b to a Phase 2/3 clinical trial that may provide pivotal data in support of registration based on discussions with FDA.</w:t>
      </w:r>
    </w:p>
    <w:p>
      <w:pPr>
        <w:spacing w:after="0" w:line="30" w:lineRule="exact"/>
        <w:rPr>
          <w:rFonts w:ascii="Arial" w:cs="Arial" w:eastAsia="Arial" w:hAnsi="Arial"/>
          <w:sz w:val="19"/>
          <w:szCs w:val="19"/>
          <w:color w:val="auto"/>
          <w:vertAlign w:val="superscript"/>
        </w:rPr>
      </w:pPr>
    </w:p>
    <w:p>
      <w:pPr>
        <w:ind w:left="460" w:right="140" w:hanging="458"/>
        <w:spacing w:after="0" w:line="199" w:lineRule="auto"/>
        <w:tabs>
          <w:tab w:leader="none" w:pos="4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01" w:lineRule="exact"/>
        <w:rPr>
          <w:sz w:val="20"/>
          <w:szCs w:val="20"/>
          <w:color w:val="auto"/>
        </w:rPr>
      </w:pPr>
    </w:p>
    <w:p>
      <w:pPr>
        <w:jc w:val="both"/>
        <w:ind w:firstLine="553"/>
        <w:spacing w:after="0"/>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95" w:lineRule="exact"/>
        <w:rPr>
          <w:sz w:val="20"/>
          <w:szCs w:val="20"/>
          <w:color w:val="auto"/>
        </w:rPr>
      </w:pPr>
    </w:p>
    <w:p>
      <w:pPr>
        <w:ind w:left="780" w:hanging="23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molecule focus;</w:t>
      </w:r>
    </w:p>
    <w:p>
      <w:pPr>
        <w:spacing w:after="0" w:line="117" w:lineRule="exact"/>
        <w:rPr>
          <w:rFonts w:ascii="Arial" w:cs="Arial" w:eastAsia="Arial" w:hAnsi="Arial"/>
          <w:sz w:val="18"/>
          <w:szCs w:val="18"/>
          <w:color w:val="auto"/>
        </w:rPr>
      </w:pPr>
    </w:p>
    <w:p>
      <w:pPr>
        <w:ind w:left="780" w:hanging="23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and scalable manufacturing process; and</w:t>
      </w:r>
    </w:p>
    <w:p>
      <w:pPr>
        <w:spacing w:after="0" w:line="117" w:lineRule="exact"/>
        <w:rPr>
          <w:rFonts w:ascii="Arial" w:cs="Arial" w:eastAsia="Arial" w:hAnsi="Arial"/>
          <w:sz w:val="18"/>
          <w:szCs w:val="18"/>
          <w:color w:val="auto"/>
        </w:rPr>
      </w:pPr>
    </w:p>
    <w:p>
      <w:pPr>
        <w:ind w:left="780" w:hanging="23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avoids alteration of target system regulation.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323" w:right="5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828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4828540"/>
                    </a:xfrm>
                    <a:prstGeom prst="rect">
                      <a:avLst/>
                    </a:prstGeom>
                    <a:noFill/>
                  </pic:spPr>
                </pic:pic>
              </a:graphicData>
            </a:graphic>
          </wp:anchor>
        </w:drawing>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w:t>
      </w:r>
    </w:p>
    <w:p>
      <w:pPr>
        <w:spacing w:after="0" w:line="126" w:lineRule="exact"/>
        <w:rPr>
          <w:sz w:val="20"/>
          <w:szCs w:val="20"/>
          <w:color w:val="auto"/>
        </w:rPr>
      </w:pPr>
    </w:p>
    <w:p>
      <w:pPr>
        <w:ind w:right="40" w:firstLine="553"/>
        <w:spacing w:after="0" w:line="238"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w:t>
      </w:r>
    </w:p>
    <w:p>
      <w:pPr>
        <w:spacing w:after="0" w:line="97" w:lineRule="exact"/>
        <w:rPr>
          <w:sz w:val="20"/>
          <w:szCs w:val="20"/>
          <w:color w:val="auto"/>
        </w:rPr>
      </w:pPr>
    </w:p>
    <w:p>
      <w:pPr>
        <w:ind w:left="780" w:hanging="238"/>
        <w:spacing w:after="0" w:line="24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was well tolerated with no serious adverse events across 88 subjects recruited in the study, including 11 subjects with mild-to-moderate AD, who were assigned to treatment and control groups;</w:t>
      </w:r>
    </w:p>
    <w:p>
      <w:pPr>
        <w:spacing w:after="0" w:line="88" w:lineRule="exact"/>
        <w:rPr>
          <w:rFonts w:ascii="Arial" w:cs="Arial" w:eastAsia="Arial" w:hAnsi="Arial"/>
          <w:sz w:val="18"/>
          <w:szCs w:val="18"/>
          <w:color w:val="auto"/>
        </w:rPr>
      </w:pPr>
    </w:p>
    <w:p>
      <w:pPr>
        <w:ind w:left="780" w:hanging="23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led to improvements in brain network activity that indicated potentially positive effects on brain function; and</w:t>
      </w:r>
    </w:p>
    <w:p>
      <w:pPr>
        <w:spacing w:after="0" w:line="117" w:lineRule="exact"/>
        <w:rPr>
          <w:rFonts w:ascii="Arial" w:cs="Arial" w:eastAsia="Arial" w:hAnsi="Arial"/>
          <w:sz w:val="18"/>
          <w:szCs w:val="18"/>
          <w:color w:val="auto"/>
        </w:rPr>
      </w:pPr>
    </w:p>
    <w:p>
      <w:pPr>
        <w:ind w:left="780" w:right="40" w:hanging="23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demonstrated significant improvement in P300 latency, a functional measure that is highly correlated with cognition, in the AD subjects with multiple dosing; however, we have not yet established a connection between these P300 latency results and improved cognition.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Our Phase 1b Clinical Trial</w:t>
      </w:r>
    </w:p>
    <w:p>
      <w:pPr>
        <w:spacing w:after="0" w:line="126" w:lineRule="exact"/>
        <w:rPr>
          <w:sz w:val="20"/>
          <w:szCs w:val="20"/>
          <w:color w:val="auto"/>
        </w:rPr>
      </w:pPr>
    </w:p>
    <w:p>
      <w:pPr>
        <w:ind w:firstLine="553"/>
        <w:spacing w:after="0" w:line="250" w:lineRule="auto"/>
        <w:rPr>
          <w:sz w:val="20"/>
          <w:szCs w:val="20"/>
          <w:color w:val="auto"/>
        </w:rPr>
      </w:pPr>
      <w:r>
        <w:rPr>
          <w:rFonts w:ascii="Arial" w:cs="Arial" w:eastAsia="Arial" w:hAnsi="Arial"/>
          <w:sz w:val="17"/>
          <w:szCs w:val="17"/>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in AD subjects, as shown in the figures below.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the figure below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overall improvement in neuronal health and function.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323" w:right="5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983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7983220"/>
                    </a:xfrm>
                    <a:prstGeom prst="rect">
                      <a:avLst/>
                    </a:prstGeom>
                    <a:noFill/>
                  </pic:spPr>
                </pic:pic>
              </a:graphicData>
            </a:graphic>
          </wp:anchor>
        </w:drawing>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7" w:lineRule="exact"/>
        <w:rPr>
          <w:sz w:val="20"/>
          <w:szCs w:val="20"/>
          <w:color w:val="auto"/>
        </w:rPr>
      </w:pPr>
    </w:p>
    <w:p>
      <w:pPr>
        <w:ind w:right="200" w:firstLine="553"/>
        <w:spacing w:after="0" w:line="267" w:lineRule="auto"/>
        <w:rPr>
          <w:sz w:val="20"/>
          <w:szCs w:val="20"/>
          <w:color w:val="auto"/>
        </w:rPr>
      </w:pPr>
      <w:r>
        <w:rPr>
          <w:rFonts w:ascii="Arial" w:cs="Arial" w:eastAsia="Arial" w:hAnsi="Arial"/>
          <w:sz w:val="18"/>
          <w:szCs w:val="18"/>
          <w:i w:val="1"/>
          <w:iCs w:val="1"/>
          <w:color w:val="auto"/>
        </w:rPr>
        <w:t xml:space="preserve">ATH-1017 Treatment Led to Continued and Sustained Improvement in P300 Latency in AD Subjects. </w:t>
      </w:r>
      <w:r>
        <w:rPr>
          <w:rFonts w:ascii="Arial" w:cs="Arial" w:eastAsia="Arial" w:hAnsi="Arial"/>
          <w:sz w:val="18"/>
          <w:szCs w:val="18"/>
          <w:color w:val="auto"/>
        </w:rPr>
        <w:t>The arrows highlight the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firstLine="553"/>
        <w:spacing w:after="0" w:line="250" w:lineRule="auto"/>
        <w:rPr>
          <w:sz w:val="20"/>
          <w:szCs w:val="20"/>
          <w:color w:val="auto"/>
        </w:rPr>
      </w:pPr>
      <w:r>
        <w:rPr>
          <w:rFonts w:ascii="Arial" w:cs="Arial" w:eastAsia="Arial" w:hAnsi="Arial"/>
          <w:sz w:val="18"/>
          <w:szCs w:val="18"/>
          <w:i w:val="1"/>
          <w:iCs w:val="1"/>
          <w:color w:val="auto"/>
        </w:rPr>
        <w:t xml:space="preserve">Quantification of the Change in P300 Latency from Baseline, ATH-1017 Significantly Reduced P300 Latency Compared to the Placebo Group on Day 8 Recordings. </w:t>
      </w:r>
      <w:r>
        <w:rPr>
          <w:rFonts w:ascii="Arial" w:cs="Arial" w:eastAsia="Arial" w:hAnsi="Arial"/>
          <w:sz w:val="18"/>
          <w:szCs w:val="18"/>
          <w:color w:val="auto"/>
        </w:rPr>
        <w:t>Data show the average of P300 latency values of 7 AD subjects treated with ATH-1017 vs. 4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22" w:lineRule="exact"/>
        <w:rPr>
          <w:sz w:val="20"/>
          <w:szCs w:val="20"/>
          <w:color w:val="auto"/>
        </w:rPr>
      </w:pPr>
    </w:p>
    <w:p>
      <w:pPr>
        <w:ind w:firstLine="553"/>
        <w:spacing w:after="0" w:line="238"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In September 2020, we began site initiation and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560" w:top="323" w:right="6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048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7048500"/>
                    </a:xfrm>
                    <a:prstGeom prst="rect">
                      <a:avLst/>
                    </a:prstGeom>
                    <a:noFill/>
                  </pic:spPr>
                </pic:pic>
              </a:graphicData>
            </a:graphic>
          </wp:anchor>
        </w:drawing>
        <w:t>Confidential Treatment Requested by Athira Pharma, Inc.</w:t>
      </w:r>
    </w:p>
    <w:p>
      <w:pPr>
        <w:jc w:val="center"/>
        <w:ind w:right="-7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22" w:lineRule="exact"/>
        <w:rPr>
          <w:sz w:val="20"/>
          <w:szCs w:val="20"/>
          <w:color w:val="auto"/>
        </w:rPr>
      </w:pPr>
    </w:p>
    <w:p>
      <w:pPr>
        <w:ind w:right="180" w:firstLine="553"/>
        <w:spacing w:after="0" w:line="238" w:lineRule="auto"/>
        <w:rPr>
          <w:sz w:val="20"/>
          <w:szCs w:val="20"/>
          <w:color w:val="auto"/>
        </w:rPr>
      </w:pPr>
      <w:r>
        <w:rPr>
          <w:rFonts w:ascii="Arial" w:cs="Arial" w:eastAsia="Arial" w:hAnsi="Arial"/>
          <w:sz w:val="18"/>
          <w:szCs w:val="18"/>
          <w:color w:val="auto"/>
        </w:rPr>
        <w:t>In addition to LIFT-AD, in November 2020 we initiated ACT-AD, a randomized, placebo-controlled clinical trial designed to test the same dose levels of ATH-1017 (low and high) in subjects with mild-to-moderate AD compared to placebo. We intend to enroll approximately 60 to 75 mild-to-moderate AD subjects. The ACT-AD P300 Phase 2 clinical trial in mild-to-moderate AD is intended to better understand the overall effects of ATH-1017 on working memory processing speed and cognitive measures, with topline results expected by early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right="240" w:firstLine="553"/>
        <w:spacing w:after="0" w:line="24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89" w:lineRule="exact"/>
        <w:rPr>
          <w:sz w:val="20"/>
          <w:szCs w:val="20"/>
          <w:color w:val="auto"/>
        </w:rPr>
      </w:pPr>
    </w:p>
    <w:p>
      <w:pPr>
        <w:ind w:left="780" w:hanging="2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ATH-1017 through clinical development for AD;</w:t>
      </w:r>
    </w:p>
    <w:p>
      <w:pPr>
        <w:spacing w:after="0" w:line="117" w:lineRule="exact"/>
        <w:rPr>
          <w:rFonts w:ascii="Arial" w:cs="Arial" w:eastAsia="Arial" w:hAnsi="Arial"/>
          <w:sz w:val="18"/>
          <w:szCs w:val="18"/>
          <w:color w:val="auto"/>
        </w:rPr>
      </w:pPr>
    </w:p>
    <w:p>
      <w:pPr>
        <w:ind w:left="780" w:hanging="2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the development of ATH-1017 to include additional indications and delivery methods;</w:t>
      </w:r>
    </w:p>
    <w:p>
      <w:pPr>
        <w:spacing w:after="0" w:line="117" w:lineRule="exact"/>
        <w:rPr>
          <w:rFonts w:ascii="Arial" w:cs="Arial" w:eastAsia="Arial" w:hAnsi="Arial"/>
          <w:sz w:val="18"/>
          <w:szCs w:val="18"/>
          <w:color w:val="auto"/>
        </w:rPr>
      </w:pPr>
    </w:p>
    <w:p>
      <w:pPr>
        <w:ind w:left="780" w:hanging="2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 on translational and functional endpoints to efficiently develop product candidates;</w:t>
      </w:r>
    </w:p>
    <w:p>
      <w:pPr>
        <w:spacing w:after="0" w:line="117" w:lineRule="exact"/>
        <w:rPr>
          <w:rFonts w:ascii="Arial" w:cs="Arial" w:eastAsia="Arial" w:hAnsi="Arial"/>
          <w:sz w:val="18"/>
          <w:szCs w:val="18"/>
          <w:color w:val="auto"/>
        </w:rPr>
      </w:pPr>
    </w:p>
    <w:p>
      <w:pPr>
        <w:ind w:left="780" w:hanging="2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developing additional pipeline programs and utilize our ATH platform for further drug discovery; and</w:t>
      </w:r>
    </w:p>
    <w:p>
      <w:pPr>
        <w:spacing w:after="0" w:line="117" w:lineRule="exact"/>
        <w:rPr>
          <w:rFonts w:ascii="Arial" w:cs="Arial" w:eastAsia="Arial" w:hAnsi="Arial"/>
          <w:sz w:val="18"/>
          <w:szCs w:val="18"/>
          <w:color w:val="auto"/>
        </w:rPr>
      </w:pPr>
    </w:p>
    <w:p>
      <w:pPr>
        <w:ind w:left="780" w:hanging="2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optimize the value of ATH-1017 and other candidates in major markets.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Scientific Data Support HGF/MET’s Role in Maintaining Neuronal Health and Function</w:t>
      </w:r>
    </w:p>
    <w:p>
      <w:pPr>
        <w:spacing w:after="0" w:line="126" w:lineRule="exact"/>
        <w:rPr>
          <w:sz w:val="20"/>
          <w:szCs w:val="20"/>
          <w:color w:val="auto"/>
        </w:rPr>
      </w:pPr>
    </w:p>
    <w:p>
      <w:pPr>
        <w:ind w:right="120" w:firstLine="553"/>
        <w:spacing w:after="0"/>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95" w:lineRule="exact"/>
        <w:rPr>
          <w:sz w:val="20"/>
          <w:szCs w:val="20"/>
          <w:color w:val="auto"/>
        </w:rPr>
      </w:pPr>
    </w:p>
    <w:p>
      <w:pPr>
        <w:ind w:left="780" w:hanging="238"/>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7" w:lineRule="exact"/>
        <w:rPr>
          <w:rFonts w:ascii="Arial" w:cs="Arial" w:eastAsia="Arial" w:hAnsi="Arial"/>
          <w:sz w:val="18"/>
          <w:szCs w:val="18"/>
          <w:color w:val="auto"/>
        </w:rPr>
      </w:pPr>
    </w:p>
    <w:p>
      <w:pPr>
        <w:ind w:left="780" w:right="120" w:hanging="238"/>
        <w:spacing w:after="0" w:line="24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88" w:lineRule="exact"/>
        <w:rPr>
          <w:rFonts w:ascii="Arial" w:cs="Arial" w:eastAsia="Arial" w:hAnsi="Arial"/>
          <w:sz w:val="18"/>
          <w:szCs w:val="18"/>
          <w:color w:val="auto"/>
        </w:rPr>
      </w:pPr>
    </w:p>
    <w:p>
      <w:pPr>
        <w:ind w:left="780" w:right="20" w:hanging="238"/>
        <w:spacing w:after="0" w:line="24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197" w:lineRule="exact"/>
        <w:rPr>
          <w:sz w:val="20"/>
          <w:szCs w:val="20"/>
          <w:color w:val="auto"/>
        </w:rPr>
      </w:pPr>
    </w:p>
    <w:p>
      <w:pPr>
        <w:ind w:firstLine="553"/>
        <w:spacing w:after="0" w:line="23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26" w:lineRule="exact"/>
        <w:rPr>
          <w:sz w:val="20"/>
          <w:szCs w:val="20"/>
          <w:color w:val="auto"/>
        </w:rPr>
      </w:pPr>
    </w:p>
    <w:p>
      <w:pPr>
        <w:ind w:right="120" w:firstLine="553"/>
        <w:spacing w:after="0" w:line="23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560" w:top="323" w:right="6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774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6774180"/>
                    </a:xfrm>
                    <a:prstGeom prst="rect">
                      <a:avLst/>
                    </a:prstGeom>
                    <a:noFill/>
                  </pic:spPr>
                </pic:pic>
              </a:graphicData>
            </a:graphic>
          </wp:anchor>
        </w:drawing>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urgent need for new and novel approaches to address most neuronal disorders including progressive and severe conditions such as AD, PDD, MS, and others.</w:t>
      </w:r>
    </w:p>
    <w:p>
      <w:pPr>
        <w:spacing w:after="0" w:line="197" w:lineRule="exact"/>
        <w:rPr>
          <w:sz w:val="20"/>
          <w:szCs w:val="20"/>
          <w:color w:val="auto"/>
        </w:rPr>
      </w:pPr>
    </w:p>
    <w:p>
      <w:pPr>
        <w:ind w:right="40" w:firstLine="553"/>
        <w:spacing w:after="0" w:line="237"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203" w:lineRule="exact"/>
        <w:rPr>
          <w:sz w:val="20"/>
          <w:szCs w:val="20"/>
          <w:color w:val="auto"/>
        </w:rPr>
      </w:pPr>
    </w:p>
    <w:p>
      <w:pPr>
        <w:ind w:right="20" w:firstLine="553"/>
        <w:spacing w:after="0" w:line="238"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26" w:lineRule="exact"/>
        <w:rPr>
          <w:sz w:val="20"/>
          <w:szCs w:val="20"/>
          <w:color w:val="auto"/>
        </w:rPr>
      </w:pPr>
    </w:p>
    <w:p>
      <w:pPr>
        <w:ind w:right="160" w:firstLine="553"/>
        <w:spacing w:after="0" w:line="261" w:lineRule="auto"/>
        <w:rPr>
          <w:sz w:val="20"/>
          <w:szCs w:val="20"/>
          <w:color w:val="auto"/>
        </w:rPr>
      </w:pPr>
      <w:r>
        <w:rPr>
          <w:rFonts w:ascii="Arial" w:cs="Arial" w:eastAsia="Arial" w:hAnsi="Arial"/>
          <w:sz w:val="17"/>
          <w:szCs w:val="17"/>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60" w:lineRule="exact"/>
        <w:rPr>
          <w:sz w:val="20"/>
          <w:szCs w:val="20"/>
          <w:color w:val="auto"/>
        </w:rPr>
      </w:pPr>
    </w:p>
    <w:p>
      <w:pPr>
        <w:ind w:left="780" w:right="60" w:hanging="238"/>
        <w:spacing w:after="0" w:line="245"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72" w:lineRule="exact"/>
        <w:rPr>
          <w:rFonts w:ascii="Arial" w:cs="Arial" w:eastAsia="Arial" w:hAnsi="Arial"/>
          <w:sz w:val="18"/>
          <w:szCs w:val="18"/>
          <w:color w:val="auto"/>
        </w:rPr>
      </w:pPr>
    </w:p>
    <w:p>
      <w:pPr>
        <w:ind w:left="780" w:right="20" w:hanging="238"/>
        <w:spacing w:after="0" w:line="250"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oxidative stress, which is expected to reduce damage and slow down disease progression and improve network activity. Many therapies in development are focused only on slowing disease progression.</w:t>
      </w:r>
    </w:p>
    <w:p>
      <w:pPr>
        <w:spacing w:after="0" w:line="68" w:lineRule="exact"/>
        <w:rPr>
          <w:rFonts w:ascii="Arial" w:cs="Arial" w:eastAsia="Arial" w:hAnsi="Arial"/>
          <w:sz w:val="18"/>
          <w:szCs w:val="18"/>
          <w:color w:val="auto"/>
        </w:rPr>
      </w:pPr>
    </w:p>
    <w:p>
      <w:pPr>
        <w:ind w:left="780" w:right="200" w:hanging="238"/>
        <w:spacing w:after="0" w:line="26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78" w:lineRule="exact"/>
        <w:rPr>
          <w:sz w:val="20"/>
          <w:szCs w:val="20"/>
          <w:color w:val="auto"/>
        </w:rPr>
      </w:pPr>
    </w:p>
    <w:p>
      <w:pPr>
        <w:ind w:right="340" w:firstLine="553"/>
        <w:spacing w:after="0"/>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26" w:lineRule="exact"/>
        <w:rPr>
          <w:sz w:val="20"/>
          <w:szCs w:val="20"/>
          <w:color w:val="auto"/>
        </w:rPr>
      </w:pPr>
    </w:p>
    <w:p>
      <w:pPr>
        <w:ind w:firstLine="553"/>
        <w:spacing w:after="0" w:line="23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05" w:lineRule="exact"/>
        <w:rPr>
          <w:sz w:val="20"/>
          <w:szCs w:val="20"/>
          <w:color w:val="auto"/>
        </w:rPr>
      </w:pPr>
    </w:p>
    <w:p>
      <w:pPr>
        <w:ind w:right="100" w:firstLine="553"/>
        <w:spacing w:after="0" w:line="246"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early stages of clinical development by utilizing EEG and ERP methods. Commonly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323" w:right="5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788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5788660"/>
                    </a:xfrm>
                    <a:prstGeom prst="rect">
                      <a:avLst/>
                    </a:prstGeom>
                    <a:noFill/>
                  </pic:spPr>
                </pic:pic>
              </a:graphicData>
            </a:graphic>
          </wp:anchor>
        </w:drawing>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cognitive processing, we believe we will be able to develop ATH-1017 more efficiently for treatment of AD and broader dementia.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 and Applications to Our ATH Platform</w:t>
      </w:r>
    </w:p>
    <w:p>
      <w:pPr>
        <w:spacing w:after="0" w:line="126" w:lineRule="exact"/>
        <w:rPr>
          <w:sz w:val="20"/>
          <w:szCs w:val="20"/>
          <w:color w:val="auto"/>
        </w:rPr>
      </w:pPr>
    </w:p>
    <w:p>
      <w:pPr>
        <w:ind w:right="40" w:firstLine="553"/>
        <w:spacing w:after="0" w:line="238"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the table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79"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74" w:lineRule="exact"/>
        <w:rPr>
          <w:sz w:val="20"/>
          <w:szCs w:val="20"/>
          <w:color w:val="auto"/>
        </w:rPr>
      </w:pPr>
    </w:p>
    <w:p>
      <w:pPr>
        <w:ind w:firstLine="553"/>
        <w:spacing w:after="0" w:line="238"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323" w:right="57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774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6774180"/>
                    </a:xfrm>
                    <a:prstGeom prst="rect">
                      <a:avLst/>
                    </a:prstGeom>
                    <a:noFill/>
                  </pic:spPr>
                </pic:pic>
              </a:graphicData>
            </a:graphic>
          </wp:anchor>
        </w:drawing>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NIH Grant</w:t>
      </w:r>
    </w:p>
    <w:p>
      <w:pPr>
        <w:spacing w:after="0" w:line="126" w:lineRule="exact"/>
        <w:rPr>
          <w:sz w:val="20"/>
          <w:szCs w:val="20"/>
          <w:color w:val="auto"/>
        </w:rPr>
      </w:pPr>
    </w:p>
    <w:p>
      <w:pPr>
        <w:ind w:right="120" w:firstLine="547"/>
        <w:spacing w:after="0" w:line="238" w:lineRule="auto"/>
        <w:rPr>
          <w:sz w:val="20"/>
          <w:szCs w:val="20"/>
          <w:color w:val="auto"/>
        </w:rPr>
      </w:pPr>
      <w:r>
        <w:rPr>
          <w:rFonts w:ascii="Arial" w:cs="Arial" w:eastAsia="Arial" w:hAnsi="Arial"/>
          <w:sz w:val="18"/>
          <w:szCs w:val="18"/>
          <w:color w:val="auto"/>
        </w:rPr>
        <w:t>In December 2020, we accepted a grant from the National Institutes of Health, or NIH, to support our ACT-AD Phase 2 clinical trial for ATH-1017. Under the terms of the agreement, we may receive approximately $7.8 million with the potential for an additional $7.4 million up to an aggregate of $15.2 million. For additional information regarding this grant, see the section of this prospectus titled “Business—Our Collaboration and Grant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Preliminary Financial Position Information</w:t>
      </w:r>
    </w:p>
    <w:p>
      <w:pPr>
        <w:spacing w:after="0" w:line="126" w:lineRule="exact"/>
        <w:rPr>
          <w:sz w:val="20"/>
          <w:szCs w:val="20"/>
          <w:color w:val="auto"/>
        </w:rPr>
      </w:pPr>
    </w:p>
    <w:p>
      <w:pPr>
        <w:ind w:right="100" w:firstLine="547"/>
        <w:spacing w:after="0" w:line="253" w:lineRule="auto"/>
        <w:rPr>
          <w:sz w:val="20"/>
          <w:szCs w:val="20"/>
          <w:color w:val="auto"/>
        </w:rPr>
      </w:pPr>
      <w:r>
        <w:rPr>
          <w:rFonts w:ascii="Arial" w:cs="Arial" w:eastAsia="Arial" w:hAnsi="Arial"/>
          <w:sz w:val="17"/>
          <w:szCs w:val="17"/>
          <w:color w:val="auto"/>
        </w:rPr>
        <w:t>Our consolidated financial statements for the year ended December 31, 2020 are not yet available. The preliminary financial data included in this prospectus supplement has been prepared by, and is the responsibility of, management. Our independent registered public accounting firm, Ernst &amp; Young LLP, has not audited, reviewed, compiled, or applied agreed -upon procedures with respect to the preliminary financial data. Accordingly, Ernst &amp; Young LLP does not express an opinion or any other form of assurance with respect thereto. It is possible that we or Ernst &amp; Young LLP may identify items that require us to make adjustments to the financial information set forth below. We expect to complete our audited consolidated financial statements for the year ended December 31, 2020 subsequent to the completion of this offering. Accordingly, undue reliance should not be placed on this preliminary estimate.</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2020, we had approximately $268.2 million in cash, cash equivalents and investments.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26" w:lineRule="exact"/>
        <w:rPr>
          <w:sz w:val="20"/>
          <w:szCs w:val="20"/>
          <w:color w:val="auto"/>
        </w:rPr>
      </w:pPr>
    </w:p>
    <w:p>
      <w:pPr>
        <w:ind w:right="80" w:firstLine="547"/>
        <w:spacing w:after="0"/>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prospectus. The following is a summary of the principal risks we face:</w:t>
      </w:r>
    </w:p>
    <w:p>
      <w:pPr>
        <w:spacing w:after="0" w:line="54"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late clinical-stage biopharmaceutical company with a limited operating history.</w:t>
      </w:r>
    </w:p>
    <w:p>
      <w:pPr>
        <w:spacing w:after="0" w:line="76" w:lineRule="exact"/>
        <w:rPr>
          <w:rFonts w:ascii="Arial" w:cs="Arial" w:eastAsia="Arial" w:hAnsi="Arial"/>
          <w:sz w:val="18"/>
          <w:szCs w:val="18"/>
          <w:color w:val="auto"/>
        </w:rPr>
      </w:pPr>
    </w:p>
    <w:p>
      <w:pPr>
        <w:ind w:left="1240" w:right="480" w:hanging="415"/>
        <w:spacing w:after="0" w:line="246"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48"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development of ATH-1017 may never lead to a marketable product.</w:t>
      </w:r>
    </w:p>
    <w:p>
      <w:pPr>
        <w:spacing w:after="0" w:line="76" w:lineRule="exact"/>
        <w:rPr>
          <w:rFonts w:ascii="Arial" w:cs="Arial" w:eastAsia="Arial" w:hAnsi="Arial"/>
          <w:sz w:val="18"/>
          <w:szCs w:val="18"/>
          <w:color w:val="auto"/>
        </w:rPr>
      </w:pPr>
    </w:p>
    <w:p>
      <w:pPr>
        <w:ind w:left="1240" w:hanging="415"/>
        <w:spacing w:after="0" w:line="23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56" w:lineRule="exact"/>
        <w:rPr>
          <w:rFonts w:ascii="Arial" w:cs="Arial" w:eastAsia="Arial" w:hAnsi="Arial"/>
          <w:sz w:val="18"/>
          <w:szCs w:val="18"/>
          <w:color w:val="auto"/>
        </w:rPr>
      </w:pPr>
    </w:p>
    <w:p>
      <w:pPr>
        <w:ind w:left="1240" w:right="60" w:hanging="415"/>
        <w:spacing w:after="0" w:line="246"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48" w:lineRule="exact"/>
        <w:rPr>
          <w:rFonts w:ascii="Arial" w:cs="Arial" w:eastAsia="Arial" w:hAnsi="Arial"/>
          <w:sz w:val="18"/>
          <w:szCs w:val="18"/>
          <w:color w:val="auto"/>
        </w:rPr>
      </w:pPr>
    </w:p>
    <w:p>
      <w:pPr>
        <w:ind w:left="1240" w:right="20" w:hanging="415"/>
        <w:spacing w:after="0" w:line="238"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56" w:lineRule="exact"/>
        <w:rPr>
          <w:rFonts w:ascii="Arial" w:cs="Arial" w:eastAsia="Arial" w:hAnsi="Arial"/>
          <w:sz w:val="18"/>
          <w:szCs w:val="18"/>
          <w:color w:val="auto"/>
        </w:rPr>
      </w:pPr>
    </w:p>
    <w:p>
      <w:pPr>
        <w:ind w:left="1240" w:right="640" w:hanging="415"/>
        <w:spacing w:after="0" w:line="246"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48" w:lineRule="exact"/>
        <w:rPr>
          <w:rFonts w:ascii="Arial" w:cs="Arial" w:eastAsia="Arial" w:hAnsi="Arial"/>
          <w:sz w:val="18"/>
          <w:szCs w:val="18"/>
          <w:color w:val="auto"/>
        </w:rPr>
      </w:pPr>
    </w:p>
    <w:p>
      <w:pPr>
        <w:ind w:left="1240" w:right="16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323" w:right="55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39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6396990"/>
                    </a:xfrm>
                    <a:prstGeom prst="rect">
                      <a:avLst/>
                    </a:prstGeom>
                    <a:noFill/>
                  </pic:spPr>
                </pic:pic>
              </a:graphicData>
            </a:graphic>
          </wp:anchor>
        </w:drawing>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06" w:lineRule="exact"/>
        <w:rPr>
          <w:sz w:val="20"/>
          <w:szCs w:val="20"/>
          <w:color w:val="auto"/>
        </w:rPr>
      </w:pPr>
    </w:p>
    <w:p>
      <w:pPr>
        <w:ind w:left="1240" w:right="800" w:hanging="415"/>
        <w:spacing w:after="0" w:line="246"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spacing w:after="0" w:line="48" w:lineRule="exact"/>
        <w:rPr>
          <w:rFonts w:ascii="Arial" w:cs="Arial" w:eastAsia="Arial" w:hAnsi="Arial"/>
          <w:sz w:val="18"/>
          <w:szCs w:val="18"/>
          <w:color w:val="auto"/>
        </w:rPr>
      </w:pPr>
    </w:p>
    <w:p>
      <w:pPr>
        <w:ind w:left="1240" w:right="40" w:hanging="415"/>
        <w:spacing w:after="0" w:line="246"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48" w:lineRule="exact"/>
        <w:rPr>
          <w:rFonts w:ascii="Arial" w:cs="Arial" w:eastAsia="Arial" w:hAnsi="Arial"/>
          <w:sz w:val="18"/>
          <w:szCs w:val="18"/>
          <w:color w:val="auto"/>
        </w:rPr>
      </w:pPr>
    </w:p>
    <w:p>
      <w:pPr>
        <w:ind w:left="1240" w:right="40" w:hanging="415"/>
        <w:spacing w:after="0" w:line="261"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37" w:lineRule="exact"/>
        <w:rPr>
          <w:rFonts w:ascii="Arial" w:cs="Arial" w:eastAsia="Arial" w:hAnsi="Arial"/>
          <w:sz w:val="17"/>
          <w:szCs w:val="17"/>
          <w:color w:val="auto"/>
        </w:rPr>
      </w:pPr>
    </w:p>
    <w:p>
      <w:pPr>
        <w:ind w:left="1240" w:right="160" w:hanging="415"/>
        <w:spacing w:after="0" w:line="257"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0" w:lineRule="exact"/>
        <w:rPr>
          <w:rFonts w:ascii="Arial" w:cs="Arial" w:eastAsia="Arial" w:hAnsi="Arial"/>
          <w:sz w:val="17"/>
          <w:szCs w:val="17"/>
          <w:color w:val="auto"/>
        </w:rPr>
      </w:pPr>
    </w:p>
    <w:p>
      <w:pPr>
        <w:jc w:val="both"/>
        <w:ind w:left="1240" w:right="10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54" w:lineRule="exact"/>
        <w:rPr>
          <w:rFonts w:ascii="Arial" w:cs="Arial" w:eastAsia="Arial" w:hAnsi="Arial"/>
          <w:sz w:val="18"/>
          <w:szCs w:val="18"/>
          <w:color w:val="auto"/>
        </w:rPr>
      </w:pPr>
    </w:p>
    <w:p>
      <w:pPr>
        <w:ind w:left="1240" w:right="260" w:hanging="415"/>
        <w:spacing w:after="0" w:line="246"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48" w:lineRule="exact"/>
        <w:rPr>
          <w:rFonts w:ascii="Arial" w:cs="Arial" w:eastAsia="Arial" w:hAnsi="Arial"/>
          <w:sz w:val="18"/>
          <w:szCs w:val="18"/>
          <w:color w:val="auto"/>
        </w:rPr>
      </w:pPr>
    </w:p>
    <w:p>
      <w:pPr>
        <w:ind w:left="1240" w:right="560" w:hanging="415"/>
        <w:spacing w:after="0" w:line="246"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48"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76" w:lineRule="exact"/>
        <w:rPr>
          <w:rFonts w:ascii="Arial" w:cs="Arial" w:eastAsia="Arial" w:hAnsi="Arial"/>
          <w:sz w:val="18"/>
          <w:szCs w:val="18"/>
          <w:color w:val="auto"/>
        </w:rPr>
      </w:pPr>
    </w:p>
    <w:p>
      <w:pPr>
        <w:ind w:left="1240" w:right="3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4"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firstLine="553"/>
        <w:spacing w:after="0" w:line="238"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(206) 221-8115.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26" w:lineRule="exact"/>
        <w:rPr>
          <w:sz w:val="20"/>
          <w:szCs w:val="20"/>
          <w:color w:val="auto"/>
        </w:rPr>
      </w:pPr>
    </w:p>
    <w:p>
      <w:pPr>
        <w:ind w:right="20" w:firstLine="547"/>
        <w:spacing w:after="0" w:line="237"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323" w:right="55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50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6508750"/>
                    </a:xfrm>
                    <a:prstGeom prst="rect">
                      <a:avLst/>
                    </a:prstGeom>
                    <a:noFill/>
                  </pic:spPr>
                </pic:pic>
              </a:graphicData>
            </a:graphic>
          </wp:anchor>
        </w:drawing>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6" w:lineRule="exact"/>
        <w:rPr>
          <w:sz w:val="20"/>
          <w:szCs w:val="20"/>
          <w:color w:val="auto"/>
        </w:rPr>
      </w:pPr>
    </w:p>
    <w:p>
      <w:pPr>
        <w:jc w:val="both"/>
        <w:ind w:right="400" w:firstLine="553"/>
        <w:spacing w:after="0"/>
        <w:rPr>
          <w:sz w:val="20"/>
          <w:szCs w:val="20"/>
          <w:color w:val="auto"/>
        </w:rPr>
      </w:pPr>
      <w:r>
        <w:rPr>
          <w:rFonts w:ascii="Arial" w:cs="Arial" w:eastAsia="Arial" w:hAnsi="Arial"/>
          <w:sz w:val="18"/>
          <w:szCs w:val="18"/>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95"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17" w:lineRule="exact"/>
        <w:rPr>
          <w:rFonts w:ascii="Arial" w:cs="Arial" w:eastAsia="Arial" w:hAnsi="Arial"/>
          <w:sz w:val="18"/>
          <w:szCs w:val="18"/>
          <w:color w:val="auto"/>
        </w:rPr>
      </w:pPr>
    </w:p>
    <w:p>
      <w:pPr>
        <w:ind w:left="1240" w:right="760" w:hanging="415"/>
        <w:spacing w:after="0" w:line="246"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requirement to have our registered independent public accounting firm attest to management's assessment of our internal control over financial reporting;</w:t>
      </w:r>
    </w:p>
    <w:p>
      <w:pPr>
        <w:spacing w:after="0" w:line="88"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17" w:lineRule="exact"/>
        <w:rPr>
          <w:rFonts w:ascii="Arial" w:cs="Arial" w:eastAsia="Arial" w:hAnsi="Arial"/>
          <w:sz w:val="18"/>
          <w:szCs w:val="18"/>
          <w:color w:val="auto"/>
        </w:rPr>
      </w:pPr>
    </w:p>
    <w:p>
      <w:pPr>
        <w:ind w:left="1240" w:right="640" w:hanging="415"/>
        <w:spacing w:after="0" w:line="246"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requirement to hold non-binding advisory votes on executive compensation or golden parachute arrangements.</w:t>
      </w:r>
    </w:p>
    <w:p>
      <w:pPr>
        <w:spacing w:after="0" w:line="197" w:lineRule="exact"/>
        <w:rPr>
          <w:sz w:val="20"/>
          <w:szCs w:val="20"/>
          <w:color w:val="auto"/>
        </w:rPr>
      </w:pPr>
    </w:p>
    <w:p>
      <w:pPr>
        <w:ind w:right="80" w:firstLine="547"/>
        <w:spacing w:after="0" w:line="237" w:lineRule="auto"/>
        <w:rPr>
          <w:sz w:val="20"/>
          <w:szCs w:val="20"/>
          <w:color w:val="auto"/>
        </w:rPr>
      </w:pPr>
      <w:r>
        <w:rPr>
          <w:rFonts w:ascii="Arial" w:cs="Arial" w:eastAsia="Arial" w:hAnsi="Arial"/>
          <w:sz w:val="18"/>
          <w:szCs w:val="18"/>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205" w:lineRule="exact"/>
        <w:rPr>
          <w:sz w:val="20"/>
          <w:szCs w:val="20"/>
          <w:color w:val="auto"/>
        </w:rPr>
      </w:pPr>
    </w:p>
    <w:p>
      <w:pPr>
        <w:ind w:firstLine="547"/>
        <w:spacing w:after="0" w:line="236" w:lineRule="auto"/>
        <w:rPr>
          <w:sz w:val="20"/>
          <w:szCs w:val="20"/>
          <w:color w:val="auto"/>
        </w:rPr>
      </w:pPr>
      <w:r>
        <w:rPr>
          <w:rFonts w:ascii="Arial" w:cs="Arial" w:eastAsia="Arial" w:hAnsi="Arial"/>
          <w:sz w:val="18"/>
          <w:szCs w:val="18"/>
          <w:color w:val="auto"/>
          <w:highlight w:val="white"/>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have different effective dates for public and private companies until the earlier of the date that we are no longer an emerging growth company or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5" w:lineRule="exact"/>
        <w:rPr>
          <w:sz w:val="20"/>
          <w:szCs w:val="20"/>
          <w:color w:val="auto"/>
        </w:rPr>
      </w:pPr>
    </w:p>
    <w:p>
      <w:pPr>
        <w:ind w:right="20" w:firstLine="547"/>
        <w:spacing w:after="0" w:line="236" w:lineRule="auto"/>
        <w:rPr>
          <w:sz w:val="20"/>
          <w:szCs w:val="20"/>
          <w:color w:val="auto"/>
        </w:rPr>
      </w:pPr>
      <w:r>
        <w:rPr>
          <w:rFonts w:ascii="Arial" w:cs="Arial" w:eastAsia="Arial" w:hAnsi="Arial"/>
          <w:sz w:val="18"/>
          <w:szCs w:val="18"/>
          <w:color w:val="auto"/>
        </w:rPr>
        <w:t>In addition, we are also a “smaller reporting company” because the market value of our stock held by non-affiliates plus the proposed aggregate amount of gross proceeds to us as a result of this offering is less than $ 700 million as of June 30, 2019 and our annual revenue was less than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323" w:right="5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38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6388735"/>
                    </a:xfrm>
                    <a:prstGeom prst="rect">
                      <a:avLst/>
                    </a:prstGeom>
                    <a:noFill/>
                  </pic:spPr>
                </pic:pic>
              </a:graphicData>
            </a:graphic>
          </wp:anchor>
        </w:drawing>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2100" w:type="dxa"/>
            <w:vAlign w:val="bottom"/>
          </w:tcPr>
          <w:p>
            <w:pPr>
              <w:ind w:left="960"/>
              <w:spacing w:after="0"/>
              <w:rPr>
                <w:sz w:val="20"/>
                <w:szCs w:val="20"/>
                <w:color w:val="auto"/>
              </w:rPr>
            </w:pPr>
            <w:r>
              <w:rPr>
                <w:rFonts w:ascii="Arial" w:cs="Arial" w:eastAsia="Arial" w:hAnsi="Arial"/>
                <w:sz w:val="18"/>
                <w:szCs w:val="18"/>
                <w:b w:val="1"/>
                <w:bCs w:val="1"/>
                <w:color w:val="auto"/>
              </w:rPr>
              <w:t>The Offering</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6"/>
        </w:trPr>
        <w:tc>
          <w:tcPr>
            <w:tcW w:w="390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210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shares.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840" w:type="dxa"/>
            <w:vAlign w:val="bottom"/>
            <w:gridSpan w:val="5"/>
          </w:tcPr>
          <w:p>
            <w:pPr>
              <w:ind w:left="1300"/>
              <w:spacing w:after="0"/>
              <w:rPr>
                <w:sz w:val="20"/>
                <w:szCs w:val="20"/>
                <w:color w:val="auto"/>
              </w:rPr>
            </w:pPr>
            <w:r>
              <w:rPr>
                <w:rFonts w:ascii="Arial" w:cs="Arial" w:eastAsia="Arial" w:hAnsi="Arial"/>
                <w:sz w:val="18"/>
                <w:szCs w:val="18"/>
                <w:color w:val="auto"/>
              </w:rPr>
              <w:t>We have granted the underwriters an option to purchase up</w:t>
            </w:r>
          </w:p>
        </w:tc>
      </w:tr>
      <w:tr>
        <w:trPr>
          <w:trHeight w:val="203"/>
        </w:trPr>
        <w:tc>
          <w:tcPr>
            <w:tcW w:w="3900" w:type="dxa"/>
            <w:vAlign w:val="bottom"/>
          </w:tcPr>
          <w:p>
            <w:pPr>
              <w:spacing w:after="0"/>
              <w:rPr>
                <w:sz w:val="17"/>
                <w:szCs w:val="17"/>
                <w:color w:val="auto"/>
              </w:rPr>
            </w:pPr>
          </w:p>
        </w:tc>
        <w:tc>
          <w:tcPr>
            <w:tcW w:w="2100" w:type="dxa"/>
            <w:vAlign w:val="bottom"/>
          </w:tcPr>
          <w:p>
            <w:pPr>
              <w:ind w:left="1300"/>
              <w:spacing w:after="0" w:line="202" w:lineRule="exact"/>
              <w:rPr>
                <w:sz w:val="20"/>
                <w:szCs w:val="20"/>
                <w:color w:val="auto"/>
              </w:rPr>
            </w:pPr>
            <w:r>
              <w:rPr>
                <w:rFonts w:ascii="Arial" w:cs="Arial" w:eastAsia="Arial" w:hAnsi="Arial"/>
                <w:sz w:val="18"/>
                <w:szCs w:val="18"/>
                <w:color w:val="auto"/>
              </w:rPr>
              <w:t>to</w:t>
            </w:r>
          </w:p>
        </w:tc>
        <w:tc>
          <w:tcPr>
            <w:tcW w:w="47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additional shares of common stock from us. The</w:t>
            </w:r>
          </w:p>
        </w:tc>
      </w:tr>
      <w:tr>
        <w:trPr>
          <w:trHeight w:val="203"/>
        </w:trPr>
        <w:tc>
          <w:tcPr>
            <w:tcW w:w="3900" w:type="dxa"/>
            <w:vAlign w:val="bottom"/>
          </w:tcPr>
          <w:p>
            <w:pPr>
              <w:spacing w:after="0"/>
              <w:rPr>
                <w:sz w:val="17"/>
                <w:szCs w:val="17"/>
                <w:color w:val="auto"/>
              </w:rPr>
            </w:pPr>
          </w:p>
        </w:tc>
        <w:tc>
          <w:tcPr>
            <w:tcW w:w="6840" w:type="dxa"/>
            <w:vAlign w:val="bottom"/>
            <w:gridSpan w:val="5"/>
          </w:tcPr>
          <w:p>
            <w:pPr>
              <w:ind w:left="1300"/>
              <w:spacing w:after="0" w:line="202" w:lineRule="exact"/>
              <w:rPr>
                <w:sz w:val="20"/>
                <w:szCs w:val="20"/>
                <w:color w:val="auto"/>
              </w:rPr>
            </w:pPr>
            <w:r>
              <w:rPr>
                <w:rFonts w:ascii="Arial" w:cs="Arial" w:eastAsia="Arial" w:hAnsi="Arial"/>
                <w:sz w:val="18"/>
                <w:szCs w:val="18"/>
                <w:color w:val="auto"/>
              </w:rPr>
              <w:t>underwriters can exercise this option at any time within 30 days from</w:t>
            </w:r>
          </w:p>
        </w:tc>
      </w:tr>
      <w:tr>
        <w:trPr>
          <w:trHeight w:val="217"/>
        </w:trPr>
        <w:tc>
          <w:tcPr>
            <w:tcW w:w="3900" w:type="dxa"/>
            <w:vAlign w:val="bottom"/>
          </w:tcPr>
          <w:p>
            <w:pPr>
              <w:spacing w:after="0"/>
              <w:rPr>
                <w:sz w:val="18"/>
                <w:szCs w:val="18"/>
                <w:color w:val="auto"/>
              </w:rPr>
            </w:pPr>
          </w:p>
        </w:tc>
        <w:tc>
          <w:tcPr>
            <w:tcW w:w="4020" w:type="dxa"/>
            <w:vAlign w:val="bottom"/>
            <w:gridSpan w:val="3"/>
          </w:tcPr>
          <w:p>
            <w:pPr>
              <w:ind w:left="1300"/>
              <w:spacing w:after="0"/>
              <w:rPr>
                <w:sz w:val="20"/>
                <w:szCs w:val="20"/>
                <w:color w:val="auto"/>
              </w:rPr>
            </w:pPr>
            <w:r>
              <w:rPr>
                <w:rFonts w:ascii="Arial" w:cs="Arial" w:eastAsia="Arial" w:hAnsi="Arial"/>
                <w:sz w:val="18"/>
                <w:szCs w:val="18"/>
                <w:color w:val="auto"/>
              </w:rPr>
              <w:t>the date of this prospectus.</w:t>
            </w: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Common stock to be outstanding</w:t>
            </w:r>
          </w:p>
        </w:tc>
        <w:tc>
          <w:tcPr>
            <w:tcW w:w="210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shares (or</w:t>
            </w:r>
          </w:p>
        </w:tc>
        <w:tc>
          <w:tcPr>
            <w:tcW w:w="3840" w:type="dxa"/>
            <w:vAlign w:val="bottom"/>
            <w:gridSpan w:val="3"/>
          </w:tcPr>
          <w:p>
            <w:pPr>
              <w:ind w:left="820"/>
              <w:spacing w:after="0"/>
              <w:rPr>
                <w:sz w:val="20"/>
                <w:szCs w:val="20"/>
                <w:color w:val="auto"/>
              </w:rPr>
            </w:pPr>
            <w:r>
              <w:rPr>
                <w:rFonts w:ascii="Arial" w:cs="Arial" w:eastAsia="Arial" w:hAnsi="Arial"/>
                <w:sz w:val="18"/>
                <w:szCs w:val="18"/>
                <w:color w:val="auto"/>
              </w:rPr>
              <w:t>shares if the underwriters exercise in</w:t>
            </w:r>
          </w:p>
        </w:tc>
      </w:t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after the offering</w:t>
            </w:r>
          </w:p>
        </w:tc>
        <w:tc>
          <w:tcPr>
            <w:tcW w:w="6840" w:type="dxa"/>
            <w:vAlign w:val="bottom"/>
            <w:gridSpan w:val="5"/>
          </w:tcPr>
          <w:p>
            <w:pPr>
              <w:ind w:left="1300"/>
              <w:spacing w:after="0"/>
              <w:rPr>
                <w:sz w:val="20"/>
                <w:szCs w:val="20"/>
                <w:color w:val="auto"/>
              </w:rPr>
            </w:pPr>
            <w:r>
              <w:rPr>
                <w:rFonts w:ascii="Arial" w:cs="Arial" w:eastAsia="Arial" w:hAnsi="Arial"/>
                <w:sz w:val="18"/>
                <w:szCs w:val="18"/>
                <w:color w:val="auto"/>
              </w:rPr>
              <w:t>full their option to purchase additional shares).</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Use of proceeds</w:t>
            </w:r>
          </w:p>
        </w:tc>
        <w:tc>
          <w:tcPr>
            <w:tcW w:w="6840" w:type="dxa"/>
            <w:vAlign w:val="bottom"/>
            <w:gridSpan w:val="5"/>
          </w:tcPr>
          <w:p>
            <w:pPr>
              <w:ind w:left="130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03"/>
        </w:trPr>
        <w:tc>
          <w:tcPr>
            <w:tcW w:w="3900" w:type="dxa"/>
            <w:vAlign w:val="bottom"/>
          </w:tcPr>
          <w:p>
            <w:pPr>
              <w:spacing w:after="0"/>
              <w:rPr>
                <w:sz w:val="17"/>
                <w:szCs w:val="17"/>
                <w:color w:val="auto"/>
              </w:rPr>
            </w:pPr>
          </w:p>
        </w:tc>
        <w:tc>
          <w:tcPr>
            <w:tcW w:w="3000" w:type="dxa"/>
            <w:vAlign w:val="bottom"/>
            <w:gridSpan w:val="2"/>
          </w:tcPr>
          <w:p>
            <w:pPr>
              <w:ind w:left="1300"/>
              <w:spacing w:after="0" w:line="202" w:lineRule="exact"/>
              <w:rPr>
                <w:sz w:val="20"/>
                <w:szCs w:val="20"/>
                <w:color w:val="auto"/>
              </w:rPr>
            </w:pPr>
            <w:r>
              <w:rPr>
                <w:rFonts w:ascii="Arial" w:cs="Arial" w:eastAsia="Arial" w:hAnsi="Arial"/>
                <w:sz w:val="18"/>
                <w:szCs w:val="18"/>
                <w:color w:val="auto"/>
              </w:rPr>
              <w:t>approximately $</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million, or $</w:t>
            </w:r>
          </w:p>
        </w:tc>
        <w:tc>
          <w:tcPr>
            <w:tcW w:w="282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million if the underwriters</w:t>
            </w:r>
          </w:p>
        </w:tc>
      </w:tr>
      <w:tr>
        <w:trPr>
          <w:trHeight w:val="203"/>
        </w:trPr>
        <w:tc>
          <w:tcPr>
            <w:tcW w:w="3900" w:type="dxa"/>
            <w:vAlign w:val="bottom"/>
          </w:tcPr>
          <w:p>
            <w:pPr>
              <w:spacing w:after="0"/>
              <w:rPr>
                <w:sz w:val="17"/>
                <w:szCs w:val="17"/>
                <w:color w:val="auto"/>
              </w:rPr>
            </w:pPr>
          </w:p>
        </w:tc>
        <w:tc>
          <w:tcPr>
            <w:tcW w:w="6840" w:type="dxa"/>
            <w:vAlign w:val="bottom"/>
            <w:gridSpan w:val="5"/>
          </w:tcPr>
          <w:p>
            <w:pPr>
              <w:ind w:left="1300"/>
              <w:spacing w:after="0" w:line="202" w:lineRule="exact"/>
              <w:rPr>
                <w:sz w:val="20"/>
                <w:szCs w:val="20"/>
                <w:color w:val="auto"/>
              </w:rPr>
            </w:pPr>
            <w:r>
              <w:rPr>
                <w:rFonts w:ascii="Arial" w:cs="Arial" w:eastAsia="Arial" w:hAnsi="Arial"/>
                <w:sz w:val="18"/>
                <w:szCs w:val="18"/>
                <w:color w:val="auto"/>
              </w:rPr>
              <w:t>exercise in full their option to purchase additional shares of common</w:t>
            </w:r>
          </w:p>
        </w:tc>
      </w:tr>
      <w:tr>
        <w:trPr>
          <w:trHeight w:val="203"/>
        </w:trPr>
        <w:tc>
          <w:tcPr>
            <w:tcW w:w="3900" w:type="dxa"/>
            <w:vAlign w:val="bottom"/>
          </w:tcPr>
          <w:p>
            <w:pPr>
              <w:spacing w:after="0"/>
              <w:rPr>
                <w:sz w:val="17"/>
                <w:szCs w:val="17"/>
                <w:color w:val="auto"/>
              </w:rPr>
            </w:pPr>
          </w:p>
        </w:tc>
        <w:tc>
          <w:tcPr>
            <w:tcW w:w="4820" w:type="dxa"/>
            <w:vAlign w:val="bottom"/>
            <w:gridSpan w:val="4"/>
          </w:tcPr>
          <w:p>
            <w:pPr>
              <w:ind w:left="1300"/>
              <w:spacing w:after="0" w:line="202" w:lineRule="exact"/>
              <w:rPr>
                <w:sz w:val="20"/>
                <w:szCs w:val="20"/>
                <w:color w:val="auto"/>
              </w:rPr>
            </w:pPr>
            <w:r>
              <w:rPr>
                <w:rFonts w:ascii="Arial" w:cs="Arial" w:eastAsia="Arial" w:hAnsi="Arial"/>
                <w:sz w:val="18"/>
                <w:szCs w:val="18"/>
                <w:color w:val="auto"/>
              </w:rPr>
              <w:t>stock, assuming a public offering price of $</w:t>
            </w:r>
          </w:p>
        </w:tc>
        <w:tc>
          <w:tcPr>
            <w:tcW w:w="2020" w:type="dxa"/>
            <w:vAlign w:val="bottom"/>
          </w:tcPr>
          <w:p>
            <w:pPr>
              <w:ind w:left="320"/>
              <w:spacing w:after="0" w:line="202" w:lineRule="exact"/>
              <w:rPr>
                <w:sz w:val="20"/>
                <w:szCs w:val="20"/>
                <w:color w:val="auto"/>
              </w:rPr>
            </w:pPr>
            <w:r>
              <w:rPr>
                <w:rFonts w:ascii="Arial" w:cs="Arial" w:eastAsia="Arial" w:hAnsi="Arial"/>
                <w:sz w:val="18"/>
                <w:szCs w:val="18"/>
                <w:color w:val="auto"/>
                <w:w w:val="99"/>
              </w:rPr>
              <w:t>per share, which was</w:t>
            </w:r>
          </w:p>
        </w:tc>
      </w:tr>
      <w:tr>
        <w:trPr>
          <w:trHeight w:val="203"/>
        </w:trPr>
        <w:tc>
          <w:tcPr>
            <w:tcW w:w="3900" w:type="dxa"/>
            <w:vAlign w:val="bottom"/>
          </w:tcPr>
          <w:p>
            <w:pPr>
              <w:spacing w:after="0"/>
              <w:rPr>
                <w:sz w:val="17"/>
                <w:szCs w:val="17"/>
                <w:color w:val="auto"/>
              </w:rPr>
            </w:pPr>
          </w:p>
        </w:tc>
        <w:tc>
          <w:tcPr>
            <w:tcW w:w="6840" w:type="dxa"/>
            <w:vAlign w:val="bottom"/>
            <w:gridSpan w:val="5"/>
          </w:tcPr>
          <w:p>
            <w:pPr>
              <w:ind w:left="1300"/>
              <w:spacing w:after="0" w:line="202" w:lineRule="exact"/>
              <w:rPr>
                <w:sz w:val="20"/>
                <w:szCs w:val="20"/>
                <w:color w:val="auto"/>
              </w:rPr>
            </w:pPr>
            <w:r>
              <w:rPr>
                <w:rFonts w:ascii="Arial" w:cs="Arial" w:eastAsia="Arial" w:hAnsi="Arial"/>
                <w:sz w:val="18"/>
                <w:szCs w:val="18"/>
                <w:color w:val="auto"/>
              </w:rPr>
              <w:t>the last reported sale price of our common stock on the Nasdaq</w:t>
            </w:r>
          </w:p>
        </w:tc>
      </w:tr>
      <w:tr>
        <w:trPr>
          <w:trHeight w:val="203"/>
        </w:trPr>
        <w:tc>
          <w:tcPr>
            <w:tcW w:w="3900" w:type="dxa"/>
            <w:vAlign w:val="bottom"/>
          </w:tcPr>
          <w:p>
            <w:pPr>
              <w:spacing w:after="0"/>
              <w:rPr>
                <w:sz w:val="17"/>
                <w:szCs w:val="17"/>
                <w:color w:val="auto"/>
              </w:rPr>
            </w:pPr>
          </w:p>
        </w:tc>
        <w:tc>
          <w:tcPr>
            <w:tcW w:w="4020" w:type="dxa"/>
            <w:vAlign w:val="bottom"/>
            <w:gridSpan w:val="3"/>
          </w:tcPr>
          <w:p>
            <w:pPr>
              <w:ind w:left="1300"/>
              <w:spacing w:after="0" w:line="202" w:lineRule="exact"/>
              <w:rPr>
                <w:sz w:val="20"/>
                <w:szCs w:val="20"/>
                <w:color w:val="auto"/>
              </w:rPr>
            </w:pPr>
            <w:r>
              <w:rPr>
                <w:rFonts w:ascii="Arial" w:cs="Arial" w:eastAsia="Arial" w:hAnsi="Arial"/>
                <w:sz w:val="18"/>
                <w:szCs w:val="18"/>
                <w:color w:val="auto"/>
              </w:rPr>
              <w:t>Global Select Market on January</w:t>
            </w:r>
          </w:p>
        </w:tc>
        <w:tc>
          <w:tcPr>
            <w:tcW w:w="2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2021, and after deducting</w:t>
            </w:r>
          </w:p>
        </w:tc>
      </w:tr>
      <w:tr>
        <w:trPr>
          <w:trHeight w:val="203"/>
        </w:trPr>
        <w:tc>
          <w:tcPr>
            <w:tcW w:w="3900" w:type="dxa"/>
            <w:vAlign w:val="bottom"/>
          </w:tcPr>
          <w:p>
            <w:pPr>
              <w:spacing w:after="0"/>
              <w:rPr>
                <w:sz w:val="17"/>
                <w:szCs w:val="17"/>
                <w:color w:val="auto"/>
              </w:rPr>
            </w:pPr>
          </w:p>
        </w:tc>
        <w:tc>
          <w:tcPr>
            <w:tcW w:w="6840" w:type="dxa"/>
            <w:vAlign w:val="bottom"/>
            <w:gridSpan w:val="5"/>
          </w:tcPr>
          <w:p>
            <w:pPr>
              <w:ind w:left="130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17"/>
        </w:trPr>
        <w:tc>
          <w:tcPr>
            <w:tcW w:w="3900" w:type="dxa"/>
            <w:vAlign w:val="bottom"/>
          </w:tcPr>
          <w:p>
            <w:pPr>
              <w:spacing w:after="0"/>
              <w:rPr>
                <w:sz w:val="18"/>
                <w:szCs w:val="18"/>
                <w:color w:val="auto"/>
              </w:rPr>
            </w:pPr>
          </w:p>
        </w:tc>
        <w:tc>
          <w:tcPr>
            <w:tcW w:w="4020" w:type="dxa"/>
            <w:vAlign w:val="bottom"/>
            <w:gridSpan w:val="3"/>
          </w:tcPr>
          <w:p>
            <w:pPr>
              <w:ind w:left="1300"/>
              <w:spacing w:after="0"/>
              <w:rPr>
                <w:sz w:val="20"/>
                <w:szCs w:val="20"/>
                <w:color w:val="auto"/>
              </w:rPr>
            </w:pPr>
            <w:r>
              <w:rPr>
                <w:rFonts w:ascii="Arial" w:cs="Arial" w:eastAsia="Arial" w:hAnsi="Arial"/>
                <w:sz w:val="18"/>
                <w:szCs w:val="18"/>
                <w:color w:val="auto"/>
              </w:rPr>
              <w:t>expenses payable by us.</w:t>
            </w: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364"/>
        </w:trPr>
        <w:tc>
          <w:tcPr>
            <w:tcW w:w="3900" w:type="dxa"/>
            <w:vAlign w:val="bottom"/>
          </w:tcPr>
          <w:p>
            <w:pPr>
              <w:spacing w:after="0"/>
              <w:rPr>
                <w:sz w:val="24"/>
                <w:szCs w:val="24"/>
                <w:color w:val="auto"/>
              </w:rPr>
            </w:pPr>
          </w:p>
        </w:tc>
        <w:tc>
          <w:tcPr>
            <w:tcW w:w="6840" w:type="dxa"/>
            <w:vAlign w:val="bottom"/>
            <w:gridSpan w:val="5"/>
          </w:tcPr>
          <w:p>
            <w:pPr>
              <w:ind w:left="1300"/>
              <w:spacing w:after="0"/>
              <w:rPr>
                <w:sz w:val="20"/>
                <w:szCs w:val="20"/>
                <w:color w:val="auto"/>
              </w:rPr>
            </w:pPr>
            <w:r>
              <w:rPr>
                <w:rFonts w:ascii="Arial" w:cs="Arial" w:eastAsia="Arial" w:hAnsi="Arial"/>
                <w:sz w:val="18"/>
                <w:szCs w:val="18"/>
                <w:color w:val="auto"/>
              </w:rPr>
              <w:t>We currently intend to use the net proceeds from this offering for the</w:t>
            </w:r>
          </w:p>
        </w:tc>
      </w:tr>
      <w:tr>
        <w:trPr>
          <w:trHeight w:val="203"/>
        </w:trPr>
        <w:tc>
          <w:tcPr>
            <w:tcW w:w="3900" w:type="dxa"/>
            <w:vAlign w:val="bottom"/>
          </w:tcPr>
          <w:p>
            <w:pPr>
              <w:spacing w:after="0"/>
              <w:rPr>
                <w:sz w:val="17"/>
                <w:szCs w:val="17"/>
                <w:color w:val="auto"/>
              </w:rPr>
            </w:pPr>
          </w:p>
        </w:tc>
        <w:tc>
          <w:tcPr>
            <w:tcW w:w="4820" w:type="dxa"/>
            <w:vAlign w:val="bottom"/>
            <w:gridSpan w:val="4"/>
          </w:tcPr>
          <w:p>
            <w:pPr>
              <w:ind w:left="1300"/>
              <w:spacing w:after="0" w:line="202" w:lineRule="exact"/>
              <w:rPr>
                <w:sz w:val="20"/>
                <w:szCs w:val="20"/>
                <w:color w:val="auto"/>
              </w:rPr>
            </w:pPr>
            <w:r>
              <w:rPr>
                <w:rFonts w:ascii="Arial" w:cs="Arial" w:eastAsia="Arial" w:hAnsi="Arial"/>
                <w:sz w:val="18"/>
                <w:szCs w:val="18"/>
                <w:color w:val="auto"/>
              </w:rPr>
              <w:t>following purposes: (1) approximately $</w:t>
            </w:r>
          </w:p>
        </w:tc>
        <w:tc>
          <w:tcPr>
            <w:tcW w:w="2020" w:type="dxa"/>
            <w:vAlign w:val="bottom"/>
          </w:tcPr>
          <w:p>
            <w:pPr>
              <w:ind w:left="120"/>
              <w:spacing w:after="0" w:line="202" w:lineRule="exact"/>
              <w:rPr>
                <w:sz w:val="20"/>
                <w:szCs w:val="20"/>
                <w:color w:val="auto"/>
              </w:rPr>
            </w:pPr>
            <w:r>
              <w:rPr>
                <w:rFonts w:ascii="Arial" w:cs="Arial" w:eastAsia="Arial" w:hAnsi="Arial"/>
                <w:sz w:val="18"/>
                <w:szCs w:val="18"/>
                <w:color w:val="auto"/>
              </w:rPr>
              <w:t>million to fund the</w:t>
            </w:r>
          </w:p>
        </w:tc>
      </w:tr>
    </w:tbl>
    <w:p>
      <w:pPr>
        <w:ind w:left="5200"/>
        <w:spacing w:after="0" w:line="236" w:lineRule="auto"/>
        <w:rPr>
          <w:sz w:val="20"/>
          <w:szCs w:val="20"/>
          <w:color w:val="auto"/>
        </w:rPr>
      </w:pPr>
      <w:r>
        <w:rPr>
          <w:rFonts w:ascii="Arial" w:cs="Arial" w:eastAsia="Arial" w:hAnsi="Arial"/>
          <w:sz w:val="18"/>
          <w:szCs w:val="18"/>
          <w:color w:val="auto"/>
        </w:rPr>
        <w:t>continued development of ATH-1017, including for our planned Phase 2 trial of ATH-1017 for the treatment of Parkinson’s disease dementia and for clinical pharmacology and safety studies to support the development of ATH-1017 for both mild-to-moderate Alzheimer’s disease and Parkinson’s disease dementia; (2) approximately $ million to fund our IND-enabling studies and early-stage clinical development of ATH-1019 or ATH-1020 for the treatment of neuropsychiatric indications; and (3) the remainder for our other research and development activities, as well as for working capital and other general corporate purposes.</w:t>
      </w:r>
    </w:p>
    <w:p>
      <w:pPr>
        <w:spacing w:after="0" w:line="165" w:lineRule="exact"/>
        <w:rPr>
          <w:sz w:val="20"/>
          <w:szCs w:val="20"/>
          <w:color w:val="auto"/>
        </w:rPr>
      </w:pPr>
    </w:p>
    <w:p>
      <w:pPr>
        <w:ind w:left="5200"/>
        <w:spacing w:after="0" w:line="238" w:lineRule="auto"/>
        <w:rPr>
          <w:sz w:val="20"/>
          <w:szCs w:val="20"/>
          <w:color w:val="auto"/>
        </w:rPr>
      </w:pPr>
      <w:r>
        <w:rPr>
          <w:rFonts w:ascii="Arial" w:cs="Arial" w:eastAsia="Arial" w:hAnsi="Arial"/>
          <w:sz w:val="18"/>
          <w:szCs w:val="18"/>
          <w:color w:val="auto"/>
        </w:rPr>
        <w:t>We currently intend to use our existing cash, cash equivalents and investments to fund the ongoing clinical development of ATH-1017 for the treatment of mild-to-moderate Alzheimer’s disease, including our ongoing LIFT-AD and ACT-AD clinical trials, and for working capital and other general corporate purposes.</w:t>
      </w:r>
    </w:p>
    <w:p>
      <w:pPr>
        <w:spacing w:after="0" w:line="175" w:lineRule="exact"/>
        <w:rPr>
          <w:sz w:val="20"/>
          <w:szCs w:val="20"/>
          <w:color w:val="auto"/>
        </w:rPr>
      </w:pPr>
    </w:p>
    <w:p>
      <w:pPr>
        <w:ind w:left="5200" w:right="80"/>
        <w:spacing w:after="0"/>
        <w:rPr>
          <w:sz w:val="20"/>
          <w:szCs w:val="20"/>
          <w:color w:val="auto"/>
        </w:rPr>
      </w:pPr>
      <w:r>
        <w:rPr>
          <w:rFonts w:ascii="Arial" w:cs="Arial" w:eastAsia="Arial" w:hAnsi="Arial"/>
          <w:sz w:val="18"/>
          <w:szCs w:val="18"/>
          <w:color w:val="auto"/>
        </w:rPr>
        <w:t>For a more complete description of our intended use of the proceeds from this offering, see the section of this prospectus titled “Use of Proceeds.”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40"/>
          </w:cols>
          <w:pgMar w:left="560" w:top="323" w:right="59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508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3508375"/>
                    </a:xfrm>
                    <a:prstGeom prst="rect">
                      <a:avLst/>
                    </a:prstGeom>
                    <a:noFill/>
                  </pic:spPr>
                </pic:pic>
              </a:graphicData>
            </a:graphic>
          </wp:anchor>
        </w:drawing>
        <w:t>Confidential Treatment Requested by Athira Pharma, Inc.</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Pursuant to 17 C.F.R. Section 200.83</w:t>
      </w:r>
    </w:p>
    <w:p>
      <w:pPr>
        <w:sectPr>
          <w:pgSz w:w="11900" w:h="16838" w:orient="portrait"/>
          <w:cols w:equalWidth="0" w:num="1">
            <w:col w:w="10680"/>
          </w:cols>
          <w:pgMar w:left="560" w:top="328" w:right="6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See the section of this prospectus titled “Risk Factors” beginning on page 16 and other information included in this prospectus for a discussion of factors you should carefully consider before deciding to invest in shares of our common stock.</w:t>
      </w:r>
    </w:p>
    <w:p>
      <w:pPr>
        <w:spacing w:after="0" w:line="200" w:lineRule="exact"/>
        <w:rPr>
          <w:sz w:val="20"/>
          <w:szCs w:val="20"/>
          <w:color w:val="auto"/>
        </w:rPr>
      </w:pPr>
    </w:p>
    <w:p>
      <w:pPr>
        <w:sectPr>
          <w:pgSz w:w="11900" w:h="16838" w:orient="portrait"/>
          <w:cols w:equalWidth="0" w:num="2">
            <w:col w:w="4480" w:space="720"/>
            <w:col w:w="5480"/>
          </w:cols>
          <w:pgMar w:left="560" w:top="328" w:right="65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“ATHA”</w:t>
      </w:r>
    </w:p>
    <w:p>
      <w:pPr>
        <w:spacing w:after="0" w:line="200" w:lineRule="exact"/>
        <w:rPr>
          <w:sz w:val="20"/>
          <w:szCs w:val="20"/>
          <w:color w:val="auto"/>
        </w:rPr>
      </w:pPr>
    </w:p>
    <w:p>
      <w:pPr>
        <w:sectPr>
          <w:pgSz w:w="11900" w:h="16838" w:orient="portrait"/>
          <w:cols w:equalWidth="0" w:num="2">
            <w:col w:w="4480" w:space="720"/>
            <w:col w:w="5480"/>
          </w:cols>
          <w:pgMar w:left="560" w:top="328" w:right="659" w:bottom="1440" w:gutter="0" w:footer="0" w:header="0"/>
          <w:type w:val="continuous"/>
        </w:sectPr>
      </w:pPr>
    </w:p>
    <w:p>
      <w:pPr>
        <w:spacing w:after="0" w:line="23" w:lineRule="exact"/>
        <w:rPr>
          <w:sz w:val="20"/>
          <w:szCs w:val="20"/>
          <w:color w:val="auto"/>
        </w:rPr>
      </w:pPr>
    </w:p>
    <w:p>
      <w:pPr>
        <w:ind w:right="360" w:firstLine="553"/>
        <w:spacing w:after="0" w:line="246" w:lineRule="auto"/>
        <w:rPr>
          <w:sz w:val="20"/>
          <w:szCs w:val="20"/>
          <w:color w:val="auto"/>
        </w:rPr>
      </w:pPr>
      <w:r>
        <w:rPr>
          <w:rFonts w:ascii="Arial" w:cs="Arial" w:eastAsia="Arial" w:hAnsi="Arial"/>
          <w:sz w:val="18"/>
          <w:szCs w:val="18"/>
          <w:color w:val="auto"/>
        </w:rPr>
        <w:t>The number of shares of our common stock outstanding after this offering is based on 31,087,395 shares of common stock outstanding as of September 30, 2020, and excludes:</w:t>
      </w:r>
    </w:p>
    <w:p>
      <w:pPr>
        <w:spacing w:after="0" w:line="89" w:lineRule="exact"/>
        <w:rPr>
          <w:sz w:val="20"/>
          <w:szCs w:val="20"/>
          <w:color w:val="auto"/>
        </w:rPr>
      </w:pPr>
    </w:p>
    <w:p>
      <w:pPr>
        <w:ind w:left="1240" w:right="20" w:hanging="415"/>
        <w:spacing w:after="0" w:line="246"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w:t>
      </w:r>
    </w:p>
    <w:p>
      <w:pPr>
        <w:spacing w:after="0" w:line="88" w:lineRule="exact"/>
        <w:rPr>
          <w:rFonts w:ascii="Arial" w:cs="Arial" w:eastAsia="Arial" w:hAnsi="Arial"/>
          <w:sz w:val="18"/>
          <w:szCs w:val="18"/>
          <w:color w:val="auto"/>
        </w:rPr>
      </w:pPr>
    </w:p>
    <w:p>
      <w:pPr>
        <w:ind w:left="1240" w:hanging="415"/>
        <w:spacing w:after="0" w:line="246"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88" w:lineRule="exact"/>
        <w:rPr>
          <w:rFonts w:ascii="Arial" w:cs="Arial" w:eastAsia="Arial" w:hAnsi="Arial"/>
          <w:sz w:val="18"/>
          <w:szCs w:val="18"/>
          <w:color w:val="auto"/>
        </w:rPr>
      </w:pPr>
    </w:p>
    <w:p>
      <w:pPr>
        <w:ind w:left="1240" w:right="740" w:hanging="415"/>
        <w:spacing w:after="0" w:line="246"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04" w:lineRule="exact"/>
        <w:rPr>
          <w:sz w:val="20"/>
          <w:szCs w:val="20"/>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outstanding options described above; and</w:t>
      </w:r>
    </w:p>
    <w:p>
      <w:pPr>
        <w:spacing w:after="0" w:line="117" w:lineRule="exact"/>
        <w:rPr>
          <w:rFonts w:ascii="Arial" w:cs="Arial" w:eastAsia="Arial" w:hAnsi="Arial"/>
          <w:sz w:val="18"/>
          <w:szCs w:val="18"/>
          <w:color w:val="auto"/>
        </w:rPr>
      </w:pPr>
    </w:p>
    <w:p>
      <w:pPr>
        <w:ind w:left="1240" w:hanging="415"/>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560" w:top="328" w:right="659" w:bottom="1440" w:gutter="0" w:footer="0" w:header="0"/>
          <w:type w:val="continuous"/>
        </w:sectPr>
      </w:pPr>
    </w:p>
    <w:bookmarkStart w:id="16" w:name="page17"/>
    <w:bookmarkEnd w:id="16"/>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285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6285865"/>
                    </a:xfrm>
                    <a:prstGeom prst="rect">
                      <a:avLst/>
                    </a:prstGeom>
                    <a:noFill/>
                  </pic:spPr>
                </pic:pic>
              </a:graphicData>
            </a:graphic>
          </wp:anchor>
        </w:drawing>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34" w:lineRule="exact"/>
        <w:rPr>
          <w:sz w:val="20"/>
          <w:szCs w:val="20"/>
          <w:color w:val="auto"/>
        </w:rPr>
      </w:pPr>
    </w:p>
    <w:p>
      <w:pPr>
        <w:ind w:right="60" w:firstLine="553"/>
        <w:spacing w:after="0" w:line="236"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nine months ended September 30, 2019 and 2020 and the summary balance sheet data as of September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nine months ended September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left="535"/>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12"/>
          </w:tcPr>
          <w:p>
            <w:pPr>
              <w:jc w:val="right"/>
              <w:ind w:right="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(5,097)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(5,161)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(4,187)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Unrealized gain on available-for-sale</w:t>
            </w:r>
          </w:p>
        </w:tc>
        <w:tc>
          <w:tcPr>
            <w:tcW w:w="9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securities</w:t>
            </w: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gridSpan w:val="2"/>
          </w:tcPr>
          <w:p>
            <w:pPr>
              <w:spacing w:after="0"/>
              <w:rPr>
                <w:sz w:val="20"/>
                <w:szCs w:val="20"/>
                <w:color w:val="auto"/>
              </w:rPr>
            </w:pPr>
            <w:r>
              <w:rPr>
                <w:rFonts w:ascii="Arial" w:cs="Arial" w:eastAsia="Arial" w:hAnsi="Arial"/>
                <w:sz w:val="18"/>
                <w:szCs w:val="18"/>
                <w:color w:val="auto"/>
              </w:rPr>
              <w:t>Comprehensive loss attributable to common</w:t>
            </w:r>
          </w:p>
        </w:tc>
        <w:tc>
          <w:tcPr>
            <w:tcW w:w="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tcPr>
          <w:p>
            <w:pPr>
              <w:ind w:left="140"/>
              <w:spacing w:after="0" w:line="203" w:lineRule="exact"/>
              <w:rPr>
                <w:sz w:val="20"/>
                <w:szCs w:val="20"/>
                <w:color w:val="auto"/>
              </w:rPr>
            </w:pPr>
            <w:r>
              <w:rPr>
                <w:rFonts w:ascii="Arial" w:cs="Arial" w:eastAsia="Arial" w:hAnsi="Arial"/>
                <w:sz w:val="18"/>
                <w:szCs w:val="18"/>
                <w:color w:val="auto"/>
              </w:rPr>
              <w:t>stockholders</w:t>
            </w:r>
          </w:p>
        </w:tc>
        <w:tc>
          <w:tcPr>
            <w:tcW w:w="11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(5,097)</w:t>
            </w:r>
          </w:p>
        </w:tc>
        <w:tc>
          <w:tcPr>
            <w:tcW w:w="3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(5,161)</w:t>
            </w:r>
          </w:p>
        </w:tc>
        <w:tc>
          <w:tcPr>
            <w:tcW w:w="2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(4,187)</w:t>
            </w:r>
          </w:p>
        </w:tc>
        <w:tc>
          <w:tcPr>
            <w:tcW w:w="3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64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Net loss per share attributable to common</w:t>
            </w:r>
          </w:p>
        </w:tc>
        <w:tc>
          <w:tcPr>
            <w:tcW w:w="9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shd w:val="clear" w:color="auto" w:fill="CFF0FC"/>
          </w:tcPr>
          <w:p>
            <w:pPr>
              <w:ind w:left="14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112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(1.47)</w:t>
            </w:r>
          </w:p>
        </w:tc>
        <w:tc>
          <w:tcPr>
            <w:tcW w:w="360" w:type="dxa"/>
            <w:vAlign w:val="bottom"/>
            <w:gridSpan w:val="2"/>
            <w:shd w:val="clear" w:color="auto" w:fill="CFF0FC"/>
          </w:tcPr>
          <w:p>
            <w:pPr>
              <w:jc w:val="right"/>
              <w:ind w:right="180"/>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(1.45)</w:t>
            </w:r>
          </w:p>
        </w:tc>
        <w:tc>
          <w:tcPr>
            <w:tcW w:w="280" w:type="dxa"/>
            <w:vAlign w:val="bottom"/>
            <w:gridSpan w:val="2"/>
            <w:shd w:val="clear" w:color="auto" w:fill="CFF0FC"/>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FF0FC"/>
          </w:tcPr>
          <w:p>
            <w:pPr>
              <w:jc w:val="right"/>
              <w:ind w:right="180"/>
              <w:spacing w:after="0" w:line="20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line="206"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40" w:type="dxa"/>
            <w:vAlign w:val="bottom"/>
          </w:tcPr>
          <w:p>
            <w:pPr>
              <w:ind w:left="140"/>
              <w:spacing w:after="0" w:line="200" w:lineRule="exact"/>
              <w:rPr>
                <w:sz w:val="20"/>
                <w:szCs w:val="20"/>
                <w:color w:val="auto"/>
              </w:rPr>
            </w:pPr>
            <w:r>
              <w:rPr>
                <w:rFonts w:ascii="Arial" w:cs="Arial" w:eastAsia="Arial" w:hAnsi="Arial"/>
                <w:sz w:val="18"/>
                <w:szCs w:val="18"/>
                <w:color w:val="auto"/>
              </w:rPr>
              <w:t>in computing net loss per share attributable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ind w:left="140"/>
              <w:spacing w:after="0" w:line="206" w:lineRule="exact"/>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3,469,153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7"/>
              </w:rPr>
              <w:t>3,566,849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3,551,586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9"/>
              </w:rPr>
              <w:t>5,155,338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460" w:right="240" w:hanging="458"/>
        <w:spacing w:after="0" w:line="199" w:lineRule="auto"/>
        <w:tabs>
          <w:tab w:leader="none" w:pos="46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See Note 15 to our audited financial statements and Note 12 to our unaudited interim condensed financial statements included elsewhere in this prospectus for the calculation of our basic and diluted net loss per share attributable to common stockholders, and the weighted-average number of shares used in computing the per share amounts.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323" w:right="539" w:bottom="1440" w:gutter="0" w:footer="0" w:header="0"/>
        </w:sectPr>
      </w:pPr>
    </w:p>
    <w:bookmarkStart w:id="17" w:name="page18"/>
    <w:bookmarkEnd w:id="17"/>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782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3782695"/>
                    </a:xfrm>
                    <a:prstGeom prst="rect">
                      <a:avLst/>
                    </a:prstGeom>
                    <a:noFill/>
                  </pic:spPr>
                </pic:pic>
              </a:graphicData>
            </a:graphic>
          </wp:anchor>
        </w:drawing>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2"/>
          </w:tcPr>
          <w:p>
            <w:pPr>
              <w:jc w:val="center"/>
              <w:ind w:right="265"/>
              <w:spacing w:after="0"/>
              <w:rPr>
                <w:sz w:val="20"/>
                <w:szCs w:val="20"/>
                <w:color w:val="auto"/>
              </w:rPr>
            </w:pPr>
            <w:r>
              <w:rPr>
                <w:rFonts w:ascii="Arial" w:cs="Arial" w:eastAsia="Arial" w:hAnsi="Arial"/>
                <w:sz w:val="14"/>
                <w:szCs w:val="14"/>
                <w:b w:val="1"/>
                <w:bCs w:val="1"/>
                <w:color w:val="auto"/>
              </w:rPr>
              <w:t>As of September 30, 2020</w:t>
            </w:r>
          </w:p>
        </w:tc>
      </w:tr>
      <w:tr>
        <w:trPr>
          <w:trHeight w:val="169"/>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Actual</w:t>
            </w:r>
          </w:p>
        </w:tc>
        <w:tc>
          <w:tcPr>
            <w:tcW w:w="1760" w:type="dxa"/>
            <w:vAlign w:val="bottom"/>
            <w:tcBorders>
              <w:bottom w:val="single" w:sz="8" w:color="auto"/>
            </w:tcBorders>
          </w:tcPr>
          <w:p>
            <w:pPr>
              <w:jc w:val="right"/>
              <w:ind w:right="265"/>
              <w:spacing w:after="0" w:line="16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(1)</w:t>
            </w:r>
          </w:p>
        </w:tc>
      </w:tr>
      <w:tr>
        <w:trPr>
          <w:trHeight w:val="169"/>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2"/>
          </w:tcPr>
          <w:p>
            <w:pPr>
              <w:jc w:val="center"/>
              <w:ind w:right="265"/>
              <w:spacing w:after="0"/>
              <w:rPr>
                <w:sz w:val="20"/>
                <w:szCs w:val="20"/>
                <w:color w:val="auto"/>
              </w:rPr>
            </w:pPr>
            <w:r>
              <w:rPr>
                <w:rFonts w:ascii="Arial" w:cs="Arial" w:eastAsia="Arial" w:hAnsi="Arial"/>
                <w:sz w:val="14"/>
                <w:szCs w:val="14"/>
                <w:b w:val="1"/>
                <w:bCs w:val="1"/>
                <w:color w:val="auto"/>
              </w:rPr>
              <w:t>(unaudited)</w:t>
            </w:r>
          </w:p>
        </w:tc>
      </w:tr>
      <w:tr>
        <w:trPr>
          <w:trHeight w:val="175"/>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2"/>
          </w:tcPr>
          <w:p>
            <w:pPr>
              <w:jc w:val="center"/>
              <w:ind w:right="24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Cash, cash equivalents and investments</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259,928</w:t>
            </w:r>
          </w:p>
        </w:tc>
        <w:tc>
          <w:tcPr>
            <w:tcW w:w="1760" w:type="dxa"/>
            <w:vAlign w:val="bottom"/>
          </w:tcPr>
          <w:p>
            <w:pPr>
              <w:jc w:val="right"/>
              <w:ind w:right="1445"/>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224,712</w:t>
            </w:r>
          </w:p>
        </w:tc>
        <w:tc>
          <w:tcPr>
            <w:tcW w:w="1760" w:type="dxa"/>
            <w:vAlign w:val="bottom"/>
            <w:shd w:val="clear" w:color="auto" w:fill="CFF0FC"/>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267,939</w:t>
            </w: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1,500</w:t>
            </w:r>
          </w:p>
        </w:tc>
        <w:tc>
          <w:tcPr>
            <w:tcW w:w="1760" w:type="dxa"/>
            <w:vAlign w:val="bottom"/>
            <w:shd w:val="clear" w:color="auto" w:fill="CFF0FC"/>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8,469</w:t>
            </w: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259,470</w:t>
            </w:r>
          </w:p>
        </w:tc>
        <w:tc>
          <w:tcPr>
            <w:tcW w:w="1760" w:type="dxa"/>
            <w:vAlign w:val="bottom"/>
            <w:shd w:val="clear" w:color="auto" w:fill="CFF0FC"/>
          </w:tcPr>
          <w:p>
            <w:pPr>
              <w:spacing w:after="0"/>
              <w:rPr>
                <w:sz w:val="18"/>
                <w:szCs w:val="18"/>
                <w:color w:val="auto"/>
              </w:rPr>
            </w:pPr>
          </w:p>
        </w:tc>
      </w:tr>
    </w:tbl>
    <w:p>
      <w:pPr>
        <w:spacing w:after="0" w:line="186" w:lineRule="exact"/>
        <w:rPr>
          <w:sz w:val="20"/>
          <w:szCs w:val="20"/>
          <w:color w:val="auto"/>
        </w:rPr>
      </w:pPr>
    </w:p>
    <w:p>
      <w:pPr>
        <w:ind w:left="460" w:right="40" w:hanging="459"/>
        <w:spacing w:after="0" w:line="195" w:lineRule="auto"/>
        <w:tabs>
          <w:tab w:leader="none" w:pos="44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Reflects, on an as adjusted basis the sale and issuance by us of shares of common stock in this offering at the assumed public offering price of $ per share, which was the last reported sale price of our common stock on the Nasdaq Global Select Market on January , 2021, after deducting underwriting discounts and commissions and estimated offering expenses paid and payable by us. Each $1.00 increase or decrease in the assumed public offering price of</w:t>
      </w:r>
    </w:p>
    <w:p>
      <w:pPr>
        <w:spacing w:after="0" w:line="8" w:lineRule="exact"/>
        <w:rPr>
          <w:sz w:val="20"/>
          <w:szCs w:val="20"/>
          <w:color w:val="auto"/>
        </w:rPr>
      </w:pPr>
    </w:p>
    <w:p>
      <w:pPr>
        <w:ind w:left="860" w:hanging="399"/>
        <w:spacing w:after="0"/>
        <w:tabs>
          <w:tab w:leader="none" w:pos="8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 share would increase or decrease, as applicable, each of our cash, cash equivalents and investments, working capital, total assets and total</w:t>
      </w:r>
    </w:p>
    <w:p>
      <w:pPr>
        <w:spacing w:after="0" w:line="1" w:lineRule="exact"/>
        <w:rPr>
          <w:rFonts w:ascii="Arial" w:cs="Arial" w:eastAsia="Arial" w:hAnsi="Arial"/>
          <w:sz w:val="14"/>
          <w:szCs w:val="14"/>
          <w:color w:val="auto"/>
        </w:rPr>
      </w:pPr>
    </w:p>
    <w:p>
      <w:pPr>
        <w:ind w:left="460" w:right="20"/>
        <w:spacing w:after="0" w:line="241" w:lineRule="auto"/>
        <w:rPr>
          <w:rFonts w:ascii="Arial" w:cs="Arial" w:eastAsia="Arial" w:hAnsi="Arial"/>
          <w:sz w:val="14"/>
          <w:szCs w:val="14"/>
          <w:color w:val="auto"/>
        </w:rPr>
      </w:pPr>
      <w:r>
        <w:rPr>
          <w:rFonts w:ascii="Arial" w:cs="Arial" w:eastAsia="Arial" w:hAnsi="Arial"/>
          <w:sz w:val="14"/>
          <w:szCs w:val="14"/>
          <w:color w:val="auto"/>
        </w:rPr>
        <w:t>stockholders’ equity by $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in the number of shares offered by us would increase or decrease, as applicable, each of our cash, cash</w:t>
      </w:r>
    </w:p>
    <w:p>
      <w:pPr>
        <w:spacing w:after="0" w:line="1" w:lineRule="exact"/>
        <w:rPr>
          <w:sz w:val="20"/>
          <w:szCs w:val="20"/>
          <w:color w:val="auto"/>
        </w:rPr>
      </w:pPr>
    </w:p>
    <w:p>
      <w:pPr>
        <w:ind w:left="460" w:right="80"/>
        <w:spacing w:after="0" w:line="249" w:lineRule="auto"/>
        <w:rPr>
          <w:sz w:val="20"/>
          <w:szCs w:val="20"/>
          <w:color w:val="auto"/>
        </w:rPr>
      </w:pPr>
      <w:r>
        <w:rPr>
          <w:rFonts w:ascii="Arial" w:cs="Arial" w:eastAsia="Arial" w:hAnsi="Arial"/>
          <w:sz w:val="14"/>
          <w:szCs w:val="14"/>
          <w:color w:val="auto"/>
        </w:rPr>
        <w:t>equivalents and investments, working capital, total assets and total stockholders’ equity by $ million, assuming that the assumed public offering price remains the same, and after deducting the underwriting discounts and commissions and estimated offering expenses payable by us. The as adjusted information discussed above is illustrative only and will adjust based on the actual public offering price and other terms of this offering determined at pricing.</w:t>
      </w:r>
    </w:p>
    <w:p>
      <w:pPr>
        <w:spacing w:after="0" w:line="11" w:lineRule="exact"/>
        <w:rPr>
          <w:sz w:val="20"/>
          <w:szCs w:val="20"/>
          <w:color w:val="auto"/>
        </w:rPr>
      </w:pPr>
    </w:p>
    <w:p>
      <w:pPr>
        <w:ind w:left="460" w:right="260" w:hanging="458"/>
        <w:spacing w:after="0" w:line="191" w:lineRule="auto"/>
        <w:tabs>
          <w:tab w:leader="none" w:pos="46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323" w:right="539" w:bottom="1440" w:gutter="0" w:footer="0" w:header="0"/>
        </w:sectPr>
      </w:pPr>
    </w:p>
    <w:bookmarkStart w:id="18" w:name="page19"/>
    <w:bookmarkEnd w:id="18"/>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859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6859905"/>
                    </a:xfrm>
                    <a:prstGeom prst="rect">
                      <a:avLst/>
                    </a:prstGeom>
                    <a:noFill/>
                  </pic:spPr>
                </pic:pic>
              </a:graphicData>
            </a:graphic>
          </wp:anchor>
        </w:drawing>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40" w:firstLine="553"/>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74" w:lineRule="exact"/>
        <w:rPr>
          <w:sz w:val="20"/>
          <w:szCs w:val="20"/>
          <w:color w:val="auto"/>
        </w:rPr>
      </w:pPr>
    </w:p>
    <w:p>
      <w:pPr>
        <w:ind w:right="140" w:firstLine="547"/>
        <w:spacing w:after="0" w:line="236"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06" w:lineRule="exact"/>
        <w:rPr>
          <w:sz w:val="20"/>
          <w:szCs w:val="20"/>
          <w:color w:val="auto"/>
        </w:rPr>
      </w:pPr>
    </w:p>
    <w:p>
      <w:pPr>
        <w:ind w:firstLine="553"/>
        <w:spacing w:after="0" w:line="236"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93" w:lineRule="exact"/>
        <w:rPr>
          <w:sz w:val="20"/>
          <w:szCs w:val="20"/>
          <w:color w:val="auto"/>
        </w:rPr>
      </w:pPr>
    </w:p>
    <w:p>
      <w:pPr>
        <w:ind w:right="420" w:firstLine="547"/>
        <w:spacing w:after="0" w:line="27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203" w:lineRule="exact"/>
        <w:rPr>
          <w:sz w:val="20"/>
          <w:szCs w:val="20"/>
          <w:color w:val="auto"/>
        </w:rPr>
      </w:pPr>
    </w:p>
    <w:p>
      <w:pPr>
        <w:ind w:right="160" w:firstLine="547"/>
        <w:spacing w:after="0" w:line="238"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94" w:lineRule="exact"/>
        <w:rPr>
          <w:sz w:val="20"/>
          <w:szCs w:val="20"/>
          <w:color w:val="auto"/>
        </w:rPr>
      </w:pPr>
    </w:p>
    <w:p>
      <w:pPr>
        <w:ind w:left="1240" w:right="540" w:hanging="415"/>
        <w:spacing w:after="0" w:line="246"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323" w:right="5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7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spacing w:after="0" w:line="246" w:lineRule="auto"/>
        <w:rPr>
          <w:sz w:val="20"/>
          <w:szCs w:val="20"/>
          <w:color w:val="auto"/>
        </w:rPr>
      </w:pPr>
      <w:r>
        <w:rPr>
          <w:rFonts w:ascii="Arial" w:cs="Arial" w:eastAsia="Arial" w:hAnsi="Arial"/>
          <w:sz w:val="18"/>
          <w:szCs w:val="18"/>
          <w:color w:val="auto"/>
        </w:rPr>
        <w:t>unforeseen costs we may incur as a result of nonclinical study or clinical trial delays due to the novel coronavirus disease, or COVID-19, pandemic or other causes;</w:t>
      </w:r>
    </w:p>
    <w:p>
      <w:pPr>
        <w:spacing w:after="0" w:line="89" w:lineRule="exact"/>
        <w:rPr>
          <w:sz w:val="20"/>
          <w:szCs w:val="20"/>
          <w:color w:val="auto"/>
        </w:rPr>
      </w:pPr>
    </w:p>
    <w:p>
      <w:pPr>
        <w:ind w:left="1300" w:right="260" w:hanging="442"/>
        <w:spacing w:after="0" w:line="274"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66" w:lineRule="exact"/>
        <w:rPr>
          <w:rFonts w:ascii="Arial" w:cs="Arial" w:eastAsia="Arial" w:hAnsi="Arial"/>
          <w:sz w:val="17"/>
          <w:szCs w:val="17"/>
          <w:color w:val="auto"/>
        </w:rPr>
      </w:pPr>
    </w:p>
    <w:p>
      <w:pPr>
        <w:ind w:left="1300" w:right="74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7"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88" w:lineRule="exact"/>
        <w:rPr>
          <w:rFonts w:ascii="Arial" w:cs="Arial" w:eastAsia="Arial" w:hAnsi="Arial"/>
          <w:sz w:val="18"/>
          <w:szCs w:val="18"/>
          <w:color w:val="auto"/>
        </w:rPr>
      </w:pPr>
    </w:p>
    <w:p>
      <w:pPr>
        <w:jc w:val="both"/>
        <w:ind w:left="1300" w:right="14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4"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117"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300" w:right="44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88"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05"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development, and could require additional clinical trials, including bridging studies, to demonstrate consistent and continued safety and efficacy.</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development of ATH-</w:t>
      </w:r>
      <w:r>
        <w:rPr>
          <w:rFonts w:ascii="Arial" w:cs="Arial" w:eastAsia="Arial" w:hAnsi="Arial"/>
          <w:sz w:val="18"/>
          <w:szCs w:val="18"/>
          <w:color w:val="auto"/>
        </w:rPr>
        <w:t>1017</w:t>
      </w:r>
      <w:r>
        <w:rPr>
          <w:rFonts w:ascii="Arial" w:cs="Arial" w:eastAsia="Arial" w:hAnsi="Arial"/>
          <w:sz w:val="18"/>
          <w:szCs w:val="18"/>
          <w:b w:val="1"/>
          <w:bCs w:val="1"/>
          <w:i w:val="1"/>
          <w:iCs w:val="1"/>
          <w:color w:val="auto"/>
        </w:rPr>
        <w:t xml:space="preserve"> may never lead to a marketable product.</w:t>
      </w:r>
    </w:p>
    <w:p>
      <w:pPr>
        <w:spacing w:after="0" w:line="274" w:lineRule="exact"/>
        <w:rPr>
          <w:sz w:val="20"/>
          <w:szCs w:val="20"/>
          <w:color w:val="auto"/>
        </w:rPr>
      </w:pPr>
    </w:p>
    <w:p>
      <w:pPr>
        <w:ind w:right="200" w:firstLine="569"/>
        <w:spacing w:after="0" w:line="23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marketing approval;</w:t>
      </w:r>
    </w:p>
    <w:p>
      <w:pPr>
        <w:spacing w:after="0" w:line="117" w:lineRule="exact"/>
        <w:rPr>
          <w:rFonts w:ascii="Arial" w:cs="Arial" w:eastAsia="Arial" w:hAnsi="Arial"/>
          <w:sz w:val="18"/>
          <w:szCs w:val="18"/>
          <w:color w:val="auto"/>
        </w:rPr>
      </w:pPr>
    </w:p>
    <w:p>
      <w:pPr>
        <w:ind w:left="1300" w:right="26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311" w:lineRule="exact"/>
        <w:rPr>
          <w:sz w:val="20"/>
          <w:szCs w:val="20"/>
          <w:color w:val="auto"/>
        </w:rPr>
      </w:pPr>
    </w:p>
    <w:p>
      <w:pPr>
        <w:ind w:right="220" w:firstLine="569"/>
        <w:spacing w:after="0" w:line="244"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90"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Alzheimer’s disease, or AD, and other central nervous system, or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1" w:name="page22"/>
    <w:bookmarkEnd w:id="21"/>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a single clinical site and we cannot be certain that future trials involving a larger number of subjects and clinical sites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99" w:lineRule="exact"/>
        <w:rPr>
          <w:sz w:val="20"/>
          <w:szCs w:val="20"/>
          <w:color w:val="auto"/>
        </w:rPr>
      </w:pPr>
    </w:p>
    <w:p>
      <w:pPr>
        <w:ind w:right="920" w:firstLine="576"/>
        <w:spacing w:after="0" w:line="271"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91" w:lineRule="exact"/>
        <w:rPr>
          <w:sz w:val="20"/>
          <w:szCs w:val="20"/>
          <w:color w:val="auto"/>
        </w:rPr>
      </w:pPr>
    </w:p>
    <w:p>
      <w:pPr>
        <w:jc w:val="both"/>
        <w:ind w:right="280" w:firstLine="576"/>
        <w:spacing w:after="0" w:line="24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88"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Our lead product candidate, ATH-1017, is in clinical development for the potential treatment of AD and Parkinson’s disease dementia, or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20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12"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208"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7" w:lineRule="exact"/>
        <w:rPr>
          <w:sz w:val="20"/>
          <w:szCs w:val="20"/>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our ability to commence a clinical trial;</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IRB approval at each clinical trial site;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a benefit from using a product candidate;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1300" w:right="740" w:hanging="442"/>
        <w:spacing w:after="0" w:line="24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197"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5" w:lineRule="exact"/>
        <w:rPr>
          <w:sz w:val="20"/>
          <w:szCs w:val="20"/>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17" w:lineRule="exact"/>
        <w:rPr>
          <w:rFonts w:ascii="Arial" w:cs="Arial" w:eastAsia="Arial" w:hAnsi="Arial"/>
          <w:sz w:val="18"/>
          <w:szCs w:val="18"/>
          <w:color w:val="auto"/>
        </w:rPr>
      </w:pPr>
    </w:p>
    <w:p>
      <w:pPr>
        <w:ind w:left="1300" w:right="800" w:hanging="442"/>
        <w:spacing w:after="0" w:line="24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88"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311" w:lineRule="exact"/>
        <w:rPr>
          <w:sz w:val="20"/>
          <w:szCs w:val="20"/>
          <w:color w:val="auto"/>
        </w:rPr>
      </w:pPr>
    </w:p>
    <w:p>
      <w:pPr>
        <w:ind w:right="140" w:firstLine="576"/>
        <w:spacing w:after="0" w:line="253"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0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5" w:name="page26"/>
    <w:bookmarkEnd w:id="2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comprehensive and full review of the data may result in different conclusions, which could have a negative impact on our decisions regarding any additional trials for ATH-1017.</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4" w:lineRule="exact"/>
        <w:rPr>
          <w:sz w:val="20"/>
          <w:szCs w:val="20"/>
          <w:color w:val="auto"/>
        </w:rPr>
      </w:pPr>
    </w:p>
    <w:p>
      <w:pPr>
        <w:ind w:right="940" w:firstLine="576"/>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68"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03" w:lineRule="exact"/>
        <w:rPr>
          <w:sz w:val="20"/>
          <w:szCs w:val="20"/>
          <w:color w:val="auto"/>
        </w:rPr>
      </w:pPr>
    </w:p>
    <w:p>
      <w:pPr>
        <w:ind w:right="180" w:firstLine="576"/>
        <w:spacing w:after="0" w:line="237"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203"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jc w:val="both"/>
        <w:ind w:right="140" w:firstLine="576"/>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8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94" w:lineRule="exact"/>
        <w:rPr>
          <w:sz w:val="20"/>
          <w:szCs w:val="20"/>
          <w:color w:val="auto"/>
        </w:rPr>
      </w:pPr>
    </w:p>
    <w:p>
      <w:pPr>
        <w:ind w:right="20" w:firstLine="576"/>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7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94" w:lineRule="exact"/>
        <w:rPr>
          <w:sz w:val="20"/>
          <w:szCs w:val="20"/>
          <w:color w:val="auto"/>
        </w:rPr>
      </w:pPr>
    </w:p>
    <w:p>
      <w:pPr>
        <w:ind w:right="80" w:firstLine="576"/>
        <w:spacing w:after="0" w:line="271"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68"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25"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91" w:lineRule="exact"/>
        <w:rPr>
          <w:sz w:val="20"/>
          <w:szCs w:val="20"/>
          <w:color w:val="auto"/>
        </w:rPr>
      </w:pPr>
    </w:p>
    <w:p>
      <w:pPr>
        <w:ind w:right="200" w:firstLine="576"/>
        <w:spacing w:after="0" w:line="253"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8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34" w:right="41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104" w:lineRule="exact"/>
        <w:rPr>
          <w:sz w:val="20"/>
          <w:szCs w:val="20"/>
          <w:color w:val="auto"/>
        </w:rPr>
      </w:pPr>
    </w:p>
    <w:p>
      <w:pPr>
        <w:ind w:right="240" w:firstLine="576"/>
        <w:spacing w:after="0" w:line="271"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68"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In addition, we have a number of clinical trial sites in the state of California which, due to state and local shelter-in-place orders, are not able to enroll patients at this time. If these restrictions are not lifted in the near-term, it could impact the overall enrollment rate for our ongoing trials.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205"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89" w:lineRule="exact"/>
        <w:rPr>
          <w:sz w:val="20"/>
          <w:szCs w:val="20"/>
          <w:color w:val="auto"/>
        </w:rPr>
      </w:pPr>
    </w:p>
    <w:p>
      <w:pPr>
        <w:jc w:val="both"/>
        <w:ind w:left="1300" w:right="26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94"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ind w:left="1300" w:right="20" w:hanging="442"/>
        <w:spacing w:after="0" w:line="238"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6"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8"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jc w:val="both"/>
        <w:ind w:left="1300" w:right="38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94"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0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05" w:lineRule="exact"/>
        <w:rPr>
          <w:sz w:val="20"/>
          <w:szCs w:val="20"/>
          <w:color w:val="auto"/>
        </w:rPr>
      </w:pPr>
    </w:p>
    <w:p>
      <w:pPr>
        <w:jc w:val="both"/>
        <w:ind w:right="60" w:firstLine="576"/>
        <w:spacing w:after="0" w:line="238"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104" w:lineRule="exact"/>
        <w:rPr>
          <w:sz w:val="20"/>
          <w:szCs w:val="20"/>
          <w:color w:val="auto"/>
        </w:rPr>
      </w:pPr>
    </w:p>
    <w:p>
      <w:pPr>
        <w:ind w:right="260" w:firstLine="576"/>
        <w:spacing w:after="0" w:line="271"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68"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$5.2 million and $ 12.3 million for the year ended December 31, 2019 and the nine months ended September 30, 2020, respectively, and an accumulated deficit of $33.3 million as of September 30, 2020.</w:t>
      </w:r>
    </w:p>
    <w:p>
      <w:pPr>
        <w:spacing w:after="0" w:line="203" w:lineRule="exact"/>
        <w:rPr>
          <w:sz w:val="20"/>
          <w:szCs w:val="20"/>
          <w:color w:val="auto"/>
        </w:rPr>
      </w:pPr>
    </w:p>
    <w:p>
      <w:pPr>
        <w:ind w:right="320" w:firstLine="576"/>
        <w:spacing w:after="0"/>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common stock, convertible preferred stock and convertible notes, and to a lesser extent from grant income and stock option exercises.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88"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or other agreements;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91" w:lineRule="exact"/>
        <w:rPr>
          <w:sz w:val="20"/>
          <w:szCs w:val="20"/>
          <w:color w:val="auto"/>
        </w:rPr>
      </w:pPr>
    </w:p>
    <w:p>
      <w:pPr>
        <w:ind w:right="180" w:firstLine="576"/>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8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03"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September 30, 2020, we had cash, cash equivalents, and investments of $259.9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5" w:lineRule="exact"/>
        <w:rPr>
          <w:sz w:val="20"/>
          <w:szCs w:val="20"/>
          <w:color w:val="auto"/>
        </w:rPr>
      </w:pPr>
    </w:p>
    <w:p>
      <w:pPr>
        <w:ind w:right="600" w:firstLine="576"/>
        <w:spacing w:after="0" w:line="24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89" w:lineRule="exact"/>
        <w:rPr>
          <w:sz w:val="20"/>
          <w:szCs w:val="20"/>
          <w:color w:val="auto"/>
        </w:rPr>
      </w:pPr>
    </w:p>
    <w:p>
      <w:pPr>
        <w:ind w:left="1300" w:right="620" w:hanging="442"/>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7"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2" w:name="page33"/>
    <w:bookmarkEnd w:id="3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spacing w:after="0" w:line="246" w:lineRule="auto"/>
        <w:rPr>
          <w:sz w:val="20"/>
          <w:szCs w:val="20"/>
          <w:color w:val="auto"/>
        </w:rPr>
      </w:pPr>
      <w:r>
        <w:rPr>
          <w:rFonts w:ascii="Arial" w:cs="Arial" w:eastAsia="Arial" w:hAnsi="Arial"/>
          <w:sz w:val="18"/>
          <w:szCs w:val="18"/>
          <w:color w:val="auto"/>
        </w:rPr>
        <w:t>may receive, in connection with the licensing, filing, prosecution, defense and enforcement of any patents or other intellectual property rights;</w:t>
      </w:r>
    </w:p>
    <w:p>
      <w:pPr>
        <w:spacing w:after="0" w:line="89" w:lineRule="exact"/>
        <w:rPr>
          <w:sz w:val="20"/>
          <w:szCs w:val="20"/>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7"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97"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4" w:lineRule="exact"/>
        <w:rPr>
          <w:sz w:val="20"/>
          <w:szCs w:val="20"/>
          <w:color w:val="auto"/>
        </w:rPr>
      </w:pPr>
    </w:p>
    <w:p>
      <w:pPr>
        <w:ind w:right="480" w:firstLine="576"/>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8"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28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88" w:lineRule="exact"/>
        <w:rPr>
          <w:rFonts w:ascii="Arial" w:cs="Arial" w:eastAsia="Arial" w:hAnsi="Arial"/>
          <w:sz w:val="18"/>
          <w:szCs w:val="18"/>
          <w:color w:val="auto"/>
        </w:rPr>
      </w:pPr>
    </w:p>
    <w:p>
      <w:pPr>
        <w:ind w:left="1300" w:right="460" w:hanging="44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94"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1300" w:right="46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88"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88" w:lineRule="exact"/>
        <w:rPr>
          <w:rFonts w:ascii="Arial" w:cs="Arial" w:eastAsia="Arial" w:hAnsi="Arial"/>
          <w:sz w:val="18"/>
          <w:szCs w:val="18"/>
          <w:color w:val="auto"/>
        </w:rPr>
      </w:pPr>
    </w:p>
    <w:p>
      <w:pPr>
        <w:ind w:left="1300" w:hanging="442"/>
        <w:spacing w:after="0" w:line="274"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66" w:lineRule="exact"/>
        <w:rPr>
          <w:rFonts w:ascii="Arial" w:cs="Arial" w:eastAsia="Arial" w:hAnsi="Arial"/>
          <w:sz w:val="17"/>
          <w:szCs w:val="17"/>
          <w:color w:val="auto"/>
        </w:rPr>
      </w:pPr>
    </w:p>
    <w:p>
      <w:pPr>
        <w:ind w:left="1300" w:right="40" w:hanging="442"/>
        <w:spacing w:after="0" w:line="24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97" w:lineRule="exact"/>
        <w:rPr>
          <w:sz w:val="20"/>
          <w:szCs w:val="20"/>
          <w:color w:val="auto"/>
        </w:rPr>
      </w:pPr>
    </w:p>
    <w:p>
      <w:pPr>
        <w:ind w:right="240" w:firstLine="576"/>
        <w:spacing w:after="0" w:line="23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91" w:lineRule="exact"/>
        <w:rPr>
          <w:sz w:val="20"/>
          <w:szCs w:val="20"/>
          <w:color w:val="auto"/>
        </w:rPr>
      </w:pPr>
    </w:p>
    <w:p>
      <w:pPr>
        <w:ind w:right="140" w:firstLine="576"/>
        <w:spacing w:after="0" w:line="247"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88"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0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03" w:lineRule="exact"/>
        <w:rPr>
          <w:sz w:val="20"/>
          <w:szCs w:val="20"/>
          <w:color w:val="auto"/>
        </w:rPr>
      </w:pPr>
    </w:p>
    <w:p>
      <w:pPr>
        <w:ind w:right="80" w:firstLine="576"/>
        <w:spacing w:after="0" w:line="235"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13"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89" w:lineRule="exact"/>
        <w:rPr>
          <w:sz w:val="20"/>
          <w:szCs w:val="20"/>
          <w:color w:val="auto"/>
        </w:rPr>
      </w:pPr>
    </w:p>
    <w:p>
      <w:pPr>
        <w:ind w:right="160" w:firstLine="576"/>
        <w:spacing w:after="0" w:line="27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0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140" w:firstLine="576"/>
        <w:spacing w:after="0" w:line="253"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8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97" w:lineRule="exact"/>
        <w:rPr>
          <w:sz w:val="20"/>
          <w:szCs w:val="20"/>
          <w:color w:val="auto"/>
        </w:rPr>
      </w:pPr>
    </w:p>
    <w:p>
      <w:pPr>
        <w:ind w:left="1300" w:right="520" w:hanging="442"/>
        <w:spacing w:after="0" w:line="24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8"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88" w:lineRule="exact"/>
        <w:rPr>
          <w:rFonts w:ascii="Arial" w:cs="Arial" w:eastAsia="Arial" w:hAnsi="Arial"/>
          <w:sz w:val="18"/>
          <w:szCs w:val="18"/>
          <w:color w:val="auto"/>
        </w:rPr>
      </w:pPr>
    </w:p>
    <w:p>
      <w:pPr>
        <w:ind w:left="1300" w:right="320" w:hanging="442"/>
        <w:spacing w:after="0" w:line="24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40" w:firstLine="57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generate revenue and could require us to expend significant time and resources in response and could generate negative publicity.</w:t>
      </w:r>
    </w:p>
    <w:p>
      <w:pPr>
        <w:spacing w:after="0" w:line="21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0" w:lineRule="exact"/>
        <w:rPr>
          <w:sz w:val="20"/>
          <w:szCs w:val="20"/>
          <w:color w:val="auto"/>
        </w:rPr>
      </w:pPr>
    </w:p>
    <w:p>
      <w:pPr>
        <w:ind w:right="60" w:firstLine="576"/>
        <w:spacing w:after="0" w:line="244"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38" w:name="page39"/>
    <w:bookmarkEnd w:id="38"/>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260" w:firstLine="576"/>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3"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0" w:lineRule="exact"/>
        <w:rPr>
          <w:sz w:val="20"/>
          <w:szCs w:val="20"/>
          <w:color w:val="auto"/>
        </w:rPr>
      </w:pPr>
    </w:p>
    <w:p>
      <w:pPr>
        <w:ind w:firstLine="576"/>
        <w:spacing w:after="0" w:line="271"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68" w:lineRule="exact"/>
        <w:rPr>
          <w:sz w:val="20"/>
          <w:szCs w:val="20"/>
          <w:color w:val="auto"/>
        </w:rPr>
      </w:pPr>
    </w:p>
    <w:p>
      <w:pPr>
        <w:ind w:right="460" w:firstLine="576"/>
        <w:spacing w:after="0" w:line="23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7" w:lineRule="exact"/>
        <w:rPr>
          <w:sz w:val="20"/>
          <w:szCs w:val="20"/>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our manufacturing arrangements;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modifications to product labeling;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9" w:name="page40"/>
    <w:bookmarkEnd w:id="3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recall or discontinuation of our products; or</w:t>
      </w:r>
    </w:p>
    <w:p>
      <w:pPr>
        <w:spacing w:after="0" w:line="117"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97"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w:t>
      </w:r>
    </w:p>
    <w:p>
      <w:pPr>
        <w:spacing w:after="0" w:line="213"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held oral arguments in November 2020, although it is uncertain when a decision will be made or how the United States Supreme Court will rule. It is unclear how such litigation and other efforts to repeal and replace the ACA will be affected by the results of the U.S. general election in November 2020 and how such efforts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213"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0" w:name="page41"/>
    <w:bookmarkEnd w:id="40"/>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247" w:lineRule="exact"/>
        <w:rPr>
          <w:sz w:val="20"/>
          <w:szCs w:val="20"/>
          <w:color w:val="auto"/>
        </w:rPr>
      </w:pPr>
    </w:p>
    <w:p>
      <w:pPr>
        <w:ind w:right="40" w:firstLine="589"/>
        <w:spacing w:after="0" w:line="235"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w:t>
      </w:r>
    </w:p>
    <w:p>
      <w:pPr>
        <w:spacing w:after="0" w:line="240" w:lineRule="exact"/>
        <w:rPr>
          <w:sz w:val="20"/>
          <w:szCs w:val="20"/>
          <w:color w:val="auto"/>
        </w:rPr>
      </w:pPr>
    </w:p>
    <w:p>
      <w:pPr>
        <w:ind w:right="40" w:firstLine="589"/>
        <w:spacing w:after="0" w:line="235"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Further, in November 2020, HHS finalized a regulation removing safe harbor protection for price reductions from pharmaceutical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It is unclear to what extent the results of the U.S. general election in November 2020 and these new regulations will affect these policies and what the effects will be on our business.</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7"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94" w:lineRule="exact"/>
        <w:rPr>
          <w:sz w:val="20"/>
          <w:szCs w:val="20"/>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380" w:firstLine="576"/>
        <w:spacing w:after="0" w:line="24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affected by the results of the U.S. general election in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42" w:name="page43"/>
    <w:bookmarkEnd w:id="4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November 2020,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1" w:lineRule="exact"/>
        <w:rPr>
          <w:sz w:val="20"/>
          <w:szCs w:val="20"/>
          <w:color w:val="auto"/>
        </w:rPr>
      </w:pPr>
    </w:p>
    <w:p>
      <w:pPr>
        <w:ind w:right="180" w:firstLine="576"/>
        <w:spacing w:after="0" w:line="244"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90"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300" w:right="40" w:hanging="442"/>
        <w:spacing w:after="0" w:line="23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95" w:lineRule="exact"/>
        <w:rPr>
          <w:rFonts w:ascii="Arial" w:cs="Arial" w:eastAsia="Arial" w:hAnsi="Arial"/>
          <w:sz w:val="18"/>
          <w:szCs w:val="18"/>
          <w:color w:val="auto"/>
        </w:rPr>
      </w:pPr>
    </w:p>
    <w:p>
      <w:pPr>
        <w:ind w:left="1300" w:right="60" w:hanging="442"/>
        <w:spacing w:after="0" w:line="23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right="60"/>
        <w:spacing w:after="0" w:line="237" w:lineRule="auto"/>
        <w:rPr>
          <w:sz w:val="20"/>
          <w:szCs w:val="20"/>
          <w:color w:val="auto"/>
        </w:rPr>
      </w:pPr>
      <w:r>
        <w:rPr>
          <w:rFonts w:ascii="Arial" w:cs="Arial" w:eastAsia="Arial" w:hAnsi="Arial"/>
          <w:sz w:val="18"/>
          <w:szCs w:val="18"/>
          <w:color w:val="auto"/>
        </w:rPr>
        <w:t>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95" w:lineRule="exact"/>
        <w:rPr>
          <w:sz w:val="20"/>
          <w:szCs w:val="20"/>
          <w:color w:val="auto"/>
        </w:rPr>
      </w:pPr>
    </w:p>
    <w:p>
      <w:pPr>
        <w:ind w:left="1300" w:hanging="442"/>
        <w:spacing w:after="0" w:line="23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9" w:lineRule="exact"/>
        <w:rPr>
          <w:rFonts w:ascii="Arial" w:cs="Arial" w:eastAsia="Arial" w:hAnsi="Arial"/>
          <w:sz w:val="18"/>
          <w:szCs w:val="18"/>
          <w:color w:val="auto"/>
        </w:rPr>
      </w:pPr>
    </w:p>
    <w:p>
      <w:pPr>
        <w:ind w:left="1300" w:hanging="442"/>
        <w:spacing w:after="0" w:line="23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during the previous year to certain non-physician providers such as physician assistants and nurse practitioners.</w:t>
      </w:r>
    </w:p>
    <w:p>
      <w:pPr>
        <w:spacing w:after="0" w:line="94" w:lineRule="exact"/>
        <w:rPr>
          <w:rFonts w:ascii="Arial" w:cs="Arial" w:eastAsia="Arial" w:hAnsi="Arial"/>
          <w:sz w:val="18"/>
          <w:szCs w:val="18"/>
          <w:color w:val="auto"/>
        </w:rPr>
      </w:pPr>
    </w:p>
    <w:p>
      <w:pPr>
        <w:ind w:left="1300" w:right="360" w:hanging="4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ind w:left="1300" w:hanging="442"/>
        <w:spacing w:after="0" w:line="23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4" w:name="page45"/>
    <w:bookmarkEnd w:id="4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8" w:lineRule="exact"/>
        <w:rPr>
          <w:sz w:val="20"/>
          <w:szCs w:val="20"/>
          <w:color w:val="auto"/>
        </w:rPr>
      </w:pPr>
    </w:p>
    <w:p>
      <w:pPr>
        <w:ind w:right="220" w:firstLine="576"/>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83" w:lineRule="exact"/>
        <w:rPr>
          <w:sz w:val="20"/>
          <w:szCs w:val="20"/>
          <w:color w:val="auto"/>
        </w:rPr>
      </w:pPr>
    </w:p>
    <w:p>
      <w:pPr>
        <w:ind w:right="40" w:firstLine="576"/>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9" w:lineRule="exact"/>
        <w:rPr>
          <w:sz w:val="20"/>
          <w:szCs w:val="20"/>
          <w:color w:val="auto"/>
        </w:rPr>
      </w:pPr>
    </w:p>
    <w:p>
      <w:pPr>
        <w:ind w:right="760" w:firstLine="576"/>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8" w:lineRule="exact"/>
        <w:rPr>
          <w:sz w:val="20"/>
          <w:szCs w:val="20"/>
          <w:color w:val="auto"/>
        </w:rPr>
      </w:pPr>
    </w:p>
    <w:p>
      <w:pPr>
        <w:jc w:val="both"/>
        <w:ind w:right="80" w:firstLine="576"/>
        <w:spacing w:after="0" w:line="23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3" w:lineRule="exact"/>
        <w:rPr>
          <w:sz w:val="20"/>
          <w:szCs w:val="20"/>
          <w:color w:val="auto"/>
        </w:rPr>
      </w:pPr>
    </w:p>
    <w:p>
      <w:pPr>
        <w:ind w:right="520" w:firstLine="576"/>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5" w:name="page46"/>
    <w:bookmarkEnd w:id="4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80" w:firstLine="576"/>
        <w:spacing w:after="0" w:line="27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4" w:lineRule="exact"/>
        <w:rPr>
          <w:sz w:val="20"/>
          <w:szCs w:val="20"/>
          <w:color w:val="auto"/>
        </w:rPr>
      </w:pPr>
    </w:p>
    <w:p>
      <w:pPr>
        <w:ind w:firstLine="576"/>
        <w:spacing w:after="0" w:line="253"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83" w:lineRule="exact"/>
        <w:rPr>
          <w:sz w:val="20"/>
          <w:szCs w:val="20"/>
          <w:color w:val="auto"/>
        </w:rPr>
      </w:pPr>
    </w:p>
    <w:p>
      <w:pPr>
        <w:ind w:right="420" w:firstLine="576"/>
        <w:spacing w:after="0" w:line="24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97" w:lineRule="exact"/>
        <w:rPr>
          <w:sz w:val="20"/>
          <w:szCs w:val="20"/>
          <w:color w:val="auto"/>
        </w:rPr>
      </w:pPr>
    </w:p>
    <w:p>
      <w:pPr>
        <w:ind w:right="40" w:firstLine="576"/>
        <w:spacing w:after="0" w:line="235"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13" w:lineRule="exact"/>
        <w:rPr>
          <w:sz w:val="20"/>
          <w:szCs w:val="20"/>
          <w:color w:val="auto"/>
        </w:rPr>
      </w:pPr>
    </w:p>
    <w:p>
      <w:pPr>
        <w:ind w:right="20" w:firstLine="576"/>
        <w:spacing w:after="0" w:line="261" w:lineRule="auto"/>
        <w:rPr>
          <w:sz w:val="20"/>
          <w:szCs w:val="20"/>
          <w:color w:val="auto"/>
        </w:rPr>
      </w:pPr>
      <w:r>
        <w:rPr>
          <w:rFonts w:ascii="Arial" w:cs="Arial" w:eastAsia="Arial" w:hAnsi="Arial"/>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03"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89" w:lineRule="exact"/>
        <w:rPr>
          <w:sz w:val="20"/>
          <w:szCs w:val="20"/>
          <w:color w:val="auto"/>
        </w:rPr>
      </w:pPr>
    </w:p>
    <w:p>
      <w:pPr>
        <w:ind w:right="40" w:firstLine="576"/>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8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6" w:lineRule="exact"/>
        <w:rPr>
          <w:sz w:val="20"/>
          <w:szCs w:val="20"/>
          <w:color w:val="auto"/>
        </w:rPr>
      </w:pPr>
    </w:p>
    <w:p>
      <w:pPr>
        <w:ind w:left="1300" w:right="14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300" w:right="640" w:hanging="442"/>
        <w:spacing w:after="0" w:line="246"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right="20" w:hanging="442"/>
        <w:spacing w:after="0" w:line="24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5"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99" w:lineRule="exact"/>
        <w:rPr>
          <w:sz w:val="20"/>
          <w:szCs w:val="20"/>
          <w:color w:val="auto"/>
        </w:rPr>
      </w:pPr>
    </w:p>
    <w:p>
      <w:pPr>
        <w:jc w:val="both"/>
        <w:ind w:right="80" w:firstLine="576"/>
        <w:spacing w:after="0" w:line="25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83"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0" w:lineRule="exact"/>
        <w:rPr>
          <w:sz w:val="20"/>
          <w:szCs w:val="20"/>
          <w:color w:val="auto"/>
        </w:rPr>
      </w:pPr>
    </w:p>
    <w:p>
      <w:pPr>
        <w:ind w:right="160" w:firstLine="576"/>
        <w:spacing w:after="0" w:line="271"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68"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48" w:name="page49"/>
    <w:bookmarkEnd w:id="4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94" w:lineRule="exact"/>
        <w:rPr>
          <w:sz w:val="20"/>
          <w:szCs w:val="20"/>
          <w:color w:val="auto"/>
        </w:rPr>
      </w:pPr>
    </w:p>
    <w:p>
      <w:pPr>
        <w:ind w:right="160" w:firstLine="576"/>
        <w:spacing w:after="0" w:line="253"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8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89" w:lineRule="exact"/>
        <w:rPr>
          <w:sz w:val="20"/>
          <w:szCs w:val="20"/>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ind w:left="1300" w:right="140" w:hanging="442"/>
        <w:spacing w:after="0" w:line="238"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6" w:lineRule="exact"/>
        <w:rPr>
          <w:rFonts w:ascii="Arial" w:cs="Arial" w:eastAsia="Arial" w:hAnsi="Arial"/>
          <w:sz w:val="18"/>
          <w:szCs w:val="18"/>
          <w:color w:val="auto"/>
        </w:rPr>
      </w:pPr>
    </w:p>
    <w:p>
      <w:pPr>
        <w:ind w:left="1300" w:right="320" w:hanging="442"/>
        <w:spacing w:after="0" w:line="274"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6" w:lineRule="exact"/>
        <w:rPr>
          <w:rFonts w:ascii="Arial" w:cs="Arial" w:eastAsia="Arial" w:hAnsi="Arial"/>
          <w:sz w:val="17"/>
          <w:szCs w:val="17"/>
          <w:color w:val="auto"/>
        </w:rPr>
      </w:pPr>
    </w:p>
    <w:p>
      <w:pPr>
        <w:ind w:left="1300" w:right="120" w:hanging="442"/>
        <w:spacing w:after="0" w:line="246"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right="400" w:hanging="442"/>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88" w:lineRule="exact"/>
        <w:rPr>
          <w:rFonts w:ascii="Arial" w:cs="Arial" w:eastAsia="Arial" w:hAnsi="Arial"/>
          <w:sz w:val="18"/>
          <w:szCs w:val="18"/>
          <w:color w:val="auto"/>
        </w:rPr>
      </w:pPr>
    </w:p>
    <w:p>
      <w:pPr>
        <w:ind w:left="1300" w:right="48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4" w:lineRule="exact"/>
        <w:rPr>
          <w:rFonts w:ascii="Arial" w:cs="Arial" w:eastAsia="Arial" w:hAnsi="Arial"/>
          <w:sz w:val="18"/>
          <w:szCs w:val="18"/>
          <w:color w:val="auto"/>
        </w:rPr>
      </w:pPr>
    </w:p>
    <w:p>
      <w:pPr>
        <w:ind w:left="1300" w:right="6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8"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9" w:lineRule="exact"/>
        <w:rPr>
          <w:sz w:val="20"/>
          <w:szCs w:val="20"/>
          <w:color w:val="auto"/>
        </w:rPr>
      </w:pPr>
    </w:p>
    <w:p>
      <w:pPr>
        <w:ind w:right="840" w:firstLine="576"/>
        <w:spacing w:after="0" w:line="271"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8"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95" w:lineRule="exact"/>
        <w:rPr>
          <w:sz w:val="20"/>
          <w:szCs w:val="20"/>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88"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88"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104" w:lineRule="exact"/>
        <w:rPr>
          <w:sz w:val="20"/>
          <w:szCs w:val="20"/>
          <w:color w:val="auto"/>
        </w:rPr>
      </w:pPr>
    </w:p>
    <w:p>
      <w:pPr>
        <w:ind w:right="620" w:firstLine="589"/>
        <w:spacing w:after="0" w:line="271"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68" w:lineRule="exact"/>
        <w:rPr>
          <w:sz w:val="20"/>
          <w:szCs w:val="20"/>
          <w:color w:val="auto"/>
        </w:rPr>
      </w:pPr>
    </w:p>
    <w:p>
      <w:pPr>
        <w:ind w:right="520" w:firstLine="576"/>
        <w:spacing w:after="0"/>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5" w:lineRule="exact"/>
        <w:rPr>
          <w:sz w:val="20"/>
          <w:szCs w:val="20"/>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pricing and the availability of coverage and adequate reimbursement by third-party payors, including government authorities;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25"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89" w:lineRule="exact"/>
        <w:rPr>
          <w:sz w:val="20"/>
          <w:szCs w:val="20"/>
          <w:color w:val="auto"/>
        </w:rPr>
      </w:pPr>
    </w:p>
    <w:p>
      <w:pPr>
        <w:ind w:right="60" w:firstLine="576"/>
        <w:spacing w:after="0" w:line="271"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68"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94" w:lineRule="exact"/>
        <w:rPr>
          <w:sz w:val="20"/>
          <w:szCs w:val="20"/>
          <w:color w:val="auto"/>
        </w:rPr>
      </w:pPr>
    </w:p>
    <w:p>
      <w:pPr>
        <w:ind w:right="800" w:firstLine="576"/>
        <w:spacing w:after="0" w:line="271"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1" w:lineRule="exact"/>
        <w:rPr>
          <w:sz w:val="20"/>
          <w:szCs w:val="20"/>
          <w:color w:val="auto"/>
        </w:rPr>
      </w:pPr>
    </w:p>
    <w:p>
      <w:pPr>
        <w:ind w:right="880" w:firstLine="576"/>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clinical trial participants or patients;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44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9" w:lineRule="exact"/>
        <w:rPr>
          <w:sz w:val="20"/>
          <w:szCs w:val="20"/>
          <w:color w:val="auto"/>
        </w:rPr>
      </w:pPr>
    </w:p>
    <w:p>
      <w:pPr>
        <w:ind w:right="40" w:firstLine="576"/>
        <w:spacing w:after="0" w:line="247"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88"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7"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3" w:name="page54"/>
    <w:bookmarkEnd w:id="5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payor may depend upon a number of factors, including, but not limited to, the third-party payor’s determination that use of a product is:</w:t>
      </w:r>
    </w:p>
    <w:p>
      <w:pPr>
        <w:spacing w:after="0" w:line="104" w:lineRule="exact"/>
        <w:rPr>
          <w:sz w:val="20"/>
          <w:szCs w:val="20"/>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03"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21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jc w:val="both"/>
        <w:ind w:right="120" w:firstLine="576"/>
        <w:spacing w:after="0"/>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4" w:name="page55"/>
    <w:bookmarkEnd w:id="5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9" w:lineRule="exact"/>
        <w:rPr>
          <w:sz w:val="20"/>
          <w:szCs w:val="20"/>
          <w:color w:val="auto"/>
        </w:rPr>
      </w:pPr>
    </w:p>
    <w:p>
      <w:pPr>
        <w:ind w:right="520" w:firstLine="576"/>
        <w:spacing w:after="0" w:line="271"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68"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89" w:lineRule="exact"/>
        <w:rPr>
          <w:sz w:val="20"/>
          <w:szCs w:val="20"/>
          <w:color w:val="auto"/>
        </w:rPr>
      </w:pPr>
    </w:p>
    <w:p>
      <w:pPr>
        <w:ind w:left="1300" w:right="8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88"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88"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5" w:name="page56"/>
    <w:bookmarkEnd w:id="55"/>
    <w:p>
      <w:pPr>
        <w:jc w:val="center"/>
        <w:ind w:right="-15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hanging="44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560" w:firstLine="576"/>
        <w:spacing w:after="0" w:line="24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28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patent portfolio consists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05"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5" w:lineRule="exact"/>
        <w:rPr>
          <w:sz w:val="20"/>
          <w:szCs w:val="20"/>
          <w:color w:val="auto"/>
        </w:rPr>
      </w:pPr>
    </w:p>
    <w:p>
      <w:pPr>
        <w:ind w:left="1300" w:right="380" w:hanging="442"/>
        <w:spacing w:after="0" w:line="238"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6" w:lineRule="exact"/>
        <w:rPr>
          <w:rFonts w:ascii="Arial" w:cs="Arial" w:eastAsia="Arial" w:hAnsi="Arial"/>
          <w:sz w:val="18"/>
          <w:szCs w:val="18"/>
          <w:color w:val="auto"/>
        </w:rPr>
      </w:pPr>
    </w:p>
    <w:p>
      <w:pPr>
        <w:ind w:left="1300" w:hanging="442"/>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7"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134" w:right="53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right="18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4"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20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05"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89" w:lineRule="exact"/>
        <w:rPr>
          <w:sz w:val="20"/>
          <w:szCs w:val="20"/>
          <w:color w:val="auto"/>
        </w:rPr>
      </w:pPr>
    </w:p>
    <w:p>
      <w:pPr>
        <w:ind w:right="40" w:firstLine="576"/>
        <w:spacing w:after="0" w:line="27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8" w:lineRule="exact"/>
        <w:rPr>
          <w:sz w:val="20"/>
          <w:szCs w:val="20"/>
          <w:color w:val="auto"/>
        </w:rPr>
      </w:pPr>
    </w:p>
    <w:p>
      <w:pPr>
        <w:ind w:right="120" w:firstLine="576"/>
        <w:spacing w:after="0" w:line="257"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89"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208"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or the patents of any future licensors may be challenged in the courts or patent offices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right="540" w:firstLine="576"/>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300" w:right="20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88"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88"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88"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1300" w:right="90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88" w:lineRule="exact"/>
        <w:rPr>
          <w:rFonts w:ascii="Arial" w:cs="Arial" w:eastAsia="Arial" w:hAnsi="Arial"/>
          <w:sz w:val="18"/>
          <w:szCs w:val="18"/>
          <w:color w:val="auto"/>
        </w:rPr>
      </w:pPr>
    </w:p>
    <w:p>
      <w:pPr>
        <w:ind w:left="1300" w:hanging="442"/>
        <w:spacing w:after="0" w:line="274"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6" w:lineRule="exact"/>
        <w:rPr>
          <w:rFonts w:ascii="Arial" w:cs="Arial" w:eastAsia="Arial" w:hAnsi="Arial"/>
          <w:sz w:val="17"/>
          <w:szCs w:val="17"/>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300" w:right="1060" w:hanging="442"/>
        <w:spacing w:after="0" w:line="246"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58" w:name="page59"/>
    <w:bookmarkEnd w:id="5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jc w:val="both"/>
        <w:ind w:right="60" w:firstLine="576"/>
        <w:spacing w:after="0" w:line="25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83"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6" w:lineRule="exact"/>
        <w:rPr>
          <w:sz w:val="20"/>
          <w:szCs w:val="20"/>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97" w:lineRule="exact"/>
        <w:rPr>
          <w:sz w:val="20"/>
          <w:szCs w:val="20"/>
          <w:color w:val="auto"/>
        </w:rPr>
      </w:pPr>
    </w:p>
    <w:p>
      <w:pPr>
        <w:ind w:right="480" w:firstLine="576"/>
        <w:spacing w:after="0" w:line="238"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0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91" w:lineRule="exact"/>
        <w:rPr>
          <w:sz w:val="20"/>
          <w:szCs w:val="20"/>
          <w:color w:val="auto"/>
        </w:rPr>
      </w:pPr>
    </w:p>
    <w:p>
      <w:pPr>
        <w:ind w:right="460" w:firstLine="576"/>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68" w:lineRule="exact"/>
        <w:rPr>
          <w:sz w:val="20"/>
          <w:szCs w:val="20"/>
          <w:color w:val="auto"/>
        </w:rPr>
      </w:pPr>
    </w:p>
    <w:p>
      <w:pPr>
        <w:ind w:right="360" w:firstLine="576"/>
        <w:spacing w:after="0" w:line="248"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20" w:firstLine="576"/>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Grounds for an unenforceability assertion could include an allegation that someone connected with prosecution of the patent withheld relevant information from the USPTO or made a misleading statement during prosecution.</w:t>
      </w:r>
    </w:p>
    <w:p>
      <w:pPr>
        <w:spacing w:after="0" w:line="19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0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2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0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2" w:lineRule="exact"/>
        <w:rPr>
          <w:sz w:val="20"/>
          <w:szCs w:val="20"/>
          <w:color w:val="auto"/>
        </w:rPr>
      </w:pPr>
    </w:p>
    <w:p>
      <w:pPr>
        <w:ind w:right="400" w:firstLine="576"/>
        <w:spacing w:after="0" w:line="24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61" w:name="page62"/>
    <w:bookmarkEnd w:id="61"/>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300" w:firstLine="576"/>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8"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8" w:lineRule="exact"/>
        <w:rPr>
          <w:sz w:val="20"/>
          <w:szCs w:val="20"/>
          <w:color w:val="auto"/>
        </w:rPr>
      </w:pPr>
    </w:p>
    <w:p>
      <w:pPr>
        <w:ind w:right="200" w:firstLine="576"/>
        <w:spacing w:after="0" w:line="27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8"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94" w:lineRule="exact"/>
        <w:rPr>
          <w:sz w:val="20"/>
          <w:szCs w:val="20"/>
          <w:color w:val="auto"/>
        </w:rPr>
      </w:pPr>
    </w:p>
    <w:p>
      <w:pPr>
        <w:jc w:val="center"/>
        <w:spacing w:after="0" w:line="27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68"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20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2"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91" w:lineRule="exact"/>
        <w:rPr>
          <w:sz w:val="20"/>
          <w:szCs w:val="20"/>
          <w:color w:val="auto"/>
        </w:rPr>
      </w:pPr>
    </w:p>
    <w:p>
      <w:pPr>
        <w:ind w:right="100" w:firstLine="576"/>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3"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104"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63" w:name="page64"/>
    <w:bookmarkEnd w:id="6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26" w:lineRule="exact"/>
        <w:rPr>
          <w:sz w:val="20"/>
          <w:szCs w:val="20"/>
          <w:color w:val="auto"/>
        </w:rPr>
      </w:pPr>
    </w:p>
    <w:p>
      <w:pPr>
        <w:ind w:right="100" w:firstLine="576"/>
        <w:spacing w:after="0" w:line="235"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own or in-license eight U.S. issued patents and own two U.S. pending patent applications, as well as 13 in-licensed patents issued in jurisdictions outside of the United States, one in-licensed pending patent application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ind w:right="300" w:firstLine="576"/>
        <w:spacing w:after="0" w:line="246"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4" w:name="page65"/>
    <w:bookmarkEnd w:id="6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72" w:lineRule="exact"/>
        <w:rPr>
          <w:sz w:val="20"/>
          <w:szCs w:val="20"/>
          <w:color w:val="auto"/>
        </w:rPr>
      </w:pPr>
    </w:p>
    <w:p>
      <w:pPr>
        <w:ind w:right="240" w:firstLine="576"/>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3" w:lineRule="exact"/>
        <w:rPr>
          <w:sz w:val="20"/>
          <w:szCs w:val="20"/>
          <w:color w:val="auto"/>
        </w:rPr>
      </w:pPr>
    </w:p>
    <w:p>
      <w:pPr>
        <w:ind w:right="220" w:firstLine="576"/>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8"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ind w:right="260" w:firstLine="576"/>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5" w:name="page66"/>
    <w:bookmarkEnd w:id="6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1" w:lineRule="exact"/>
        <w:rPr>
          <w:sz w:val="20"/>
          <w:szCs w:val="20"/>
          <w:color w:val="auto"/>
        </w:rPr>
      </w:pPr>
    </w:p>
    <w:p>
      <w:pPr>
        <w:ind w:right="220" w:firstLine="576"/>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0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8" w:lineRule="exact"/>
        <w:rPr>
          <w:sz w:val="20"/>
          <w:szCs w:val="20"/>
          <w:color w:val="auto"/>
        </w:rPr>
      </w:pPr>
    </w:p>
    <w:p>
      <w:pPr>
        <w:ind w:firstLine="576"/>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8"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4" w:lineRule="exact"/>
        <w:rPr>
          <w:sz w:val="20"/>
          <w:szCs w:val="20"/>
          <w:color w:val="auto"/>
        </w:rPr>
      </w:pPr>
    </w:p>
    <w:p>
      <w:pPr>
        <w:ind w:right="240" w:firstLine="576"/>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68"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6" w:name="page67"/>
    <w:bookmarkEnd w:id="66"/>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and technology in all relevant fields of use and in all territories in which we may wish to develop or commercialize our technology and products in the future.</w:t>
      </w:r>
    </w:p>
    <w:p>
      <w:pPr>
        <w:spacing w:after="0" w:line="197"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203"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0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93" w:lineRule="exact"/>
        <w:rPr>
          <w:sz w:val="20"/>
          <w:szCs w:val="20"/>
          <w:color w:val="auto"/>
        </w:rPr>
      </w:pPr>
    </w:p>
    <w:p>
      <w:pPr>
        <w:ind w:right="160" w:firstLine="576"/>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83"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89" w:lineRule="exact"/>
        <w:rPr>
          <w:sz w:val="20"/>
          <w:szCs w:val="20"/>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300" w:right="460" w:hanging="442"/>
        <w:spacing w:after="0" w:line="246"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 to transfer or assign the license;</w:t>
      </w:r>
    </w:p>
    <w:p>
      <w:pPr>
        <w:spacing w:after="0" w:line="117"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7" w:name="page68"/>
    <w:bookmarkEnd w:id="67"/>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08"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26"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as “march-in” rights, certain reporting requirements and a preference for U.S.-based companies. Compliance with such regulations may limit our exclusive rights and limit our ability to contract with non-U.S. manufacturers.</w:t>
      </w:r>
    </w:p>
    <w:p>
      <w:pPr>
        <w:spacing w:after="0" w:line="89"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8" w:name="page69"/>
    <w:bookmarkEnd w:id="68"/>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Cybersecurity</w:t>
      </w:r>
    </w:p>
    <w:p>
      <w:pPr>
        <w:spacing w:after="0" w:line="104" w:lineRule="exact"/>
        <w:rPr>
          <w:sz w:val="20"/>
          <w:szCs w:val="20"/>
          <w:color w:val="auto"/>
        </w:rPr>
      </w:pPr>
    </w:p>
    <w:p>
      <w:pPr>
        <w:ind w:right="120" w:firstLine="576"/>
        <w:spacing w:after="0" w:line="247"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88" w:lineRule="exact"/>
        <w:rPr>
          <w:sz w:val="20"/>
          <w:szCs w:val="20"/>
          <w:color w:val="auto"/>
        </w:rPr>
      </w:pPr>
    </w:p>
    <w:p>
      <w:pPr>
        <w:ind w:right="20" w:firstLine="576"/>
        <w:spacing w:after="0" w:line="23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1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9" w:name="page70"/>
    <w:bookmarkEnd w:id="6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89" w:lineRule="exact"/>
        <w:rPr>
          <w:sz w:val="20"/>
          <w:szCs w:val="20"/>
          <w:color w:val="auto"/>
        </w:rPr>
      </w:pPr>
    </w:p>
    <w:p>
      <w:pPr>
        <w:ind w:right="200" w:firstLine="576"/>
        <w:spacing w:after="0" w:line="271"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6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recent decision by the Court of Justice for the European Union that invalidated the EU-U.S. Privacy Shield. This may increase the complexity of transferring personal data across borders.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13"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Further, the vote in the United Kingdom, or UK, in favor of exiting the EU, referred to as Brexit, has created uncertainty with regard to data protection regulation in the UK. Specifically, while the Data Protection Act of 2018, that “implements” and complements the GDPR achieved Royal Assent on May 23, 2018 and is now effective in the UK, aspects of data protection in the UK, such as the transfer of data from the EEA to the UK, remain uncertain. In particular, with the expiry of the transition period on December 31, 2020, companies must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including, for example, around how data can lawfully be transferred between each jurisdiction, which exposes us to further compliance risk. We may, however, incur liabilities, expenses, costs, and other operational losses under GDPR and applicable EU Member States and the United Kingdom privacy laws in connection with any measures we take to comply with them.</w:t>
      </w:r>
    </w:p>
    <w:p>
      <w:pPr>
        <w:spacing w:after="0" w:line="246" w:lineRule="exact"/>
        <w:rPr>
          <w:sz w:val="20"/>
          <w:szCs w:val="20"/>
          <w:color w:val="auto"/>
        </w:rPr>
      </w:pPr>
    </w:p>
    <w:p>
      <w:pPr>
        <w:ind w:right="100" w:firstLine="589"/>
        <w:spacing w:after="0"/>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The CCPA and the CPRA, may impact our business activities and exemplifies the vulnerability of our business to the evolving regulatory environment related to personal data and protected health information.</w:t>
      </w:r>
    </w:p>
    <w:p>
      <w:pPr>
        <w:spacing w:after="0" w:line="208"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9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04" w:lineRule="exact"/>
        <w:rPr>
          <w:sz w:val="20"/>
          <w:szCs w:val="20"/>
          <w:color w:val="auto"/>
        </w:rPr>
      </w:pPr>
    </w:p>
    <w:p>
      <w:pPr>
        <w:ind w:right="40" w:firstLine="576"/>
        <w:spacing w:after="0" w:line="271"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68"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91" w:lineRule="exact"/>
        <w:rPr>
          <w:sz w:val="20"/>
          <w:szCs w:val="20"/>
          <w:color w:val="auto"/>
        </w:rPr>
      </w:pPr>
    </w:p>
    <w:p>
      <w:pPr>
        <w:ind w:right="320" w:firstLine="576"/>
        <w:spacing w:after="0" w:line="271"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68" w:lineRule="exact"/>
        <w:rPr>
          <w:sz w:val="20"/>
          <w:szCs w:val="20"/>
          <w:color w:val="auto"/>
        </w:rPr>
      </w:pPr>
    </w:p>
    <w:p>
      <w:pPr>
        <w:ind w:right="260" w:firstLine="576"/>
        <w:spacing w:after="0" w:line="246"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89" w:lineRule="exact"/>
        <w:rPr>
          <w:sz w:val="20"/>
          <w:szCs w:val="20"/>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1300" w:right="460" w:hanging="442"/>
        <w:spacing w:after="0" w:line="24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71" w:name="page72"/>
    <w:bookmarkEnd w:id="71"/>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124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88"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ind w:right="220" w:firstLine="576"/>
        <w:spacing w:after="0" w:line="253"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83" w:lineRule="exact"/>
        <w:rPr>
          <w:sz w:val="20"/>
          <w:szCs w:val="20"/>
          <w:color w:val="auto"/>
        </w:rPr>
      </w:pPr>
    </w:p>
    <w:p>
      <w:pPr>
        <w:jc w:val="both"/>
        <w:ind w:right="360" w:firstLine="576"/>
        <w:spacing w:after="0" w:line="24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w:t>
      </w: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line="204" w:lineRule="exact"/>
              <w:rPr>
                <w:sz w:val="20"/>
                <w:szCs w:val="20"/>
                <w:color w:val="auto"/>
              </w:rPr>
            </w:pPr>
            <w:r>
              <w:rPr>
                <w:rFonts w:ascii="Arial" w:cs="Arial" w:eastAsia="Arial" w:hAnsi="Arial"/>
                <w:sz w:val="18"/>
                <w:szCs w:val="18"/>
                <w:color w:val="auto"/>
              </w:rPr>
              <w:t>offering,</w:t>
            </w:r>
          </w:p>
        </w:tc>
        <w:tc>
          <w:tcPr>
            <w:tcW w:w="4900" w:type="dxa"/>
            <w:vAlign w:val="bottom"/>
          </w:tcPr>
          <w:p>
            <w:pPr>
              <w:jc w:val="right"/>
              <w:ind w:right="530"/>
              <w:spacing w:after="0" w:line="204" w:lineRule="exact"/>
              <w:rPr>
                <w:sz w:val="20"/>
                <w:szCs w:val="20"/>
                <w:color w:val="auto"/>
              </w:rPr>
            </w:pPr>
            <w:r>
              <w:rPr>
                <w:rFonts w:ascii="Arial" w:cs="Arial" w:eastAsia="Arial" w:hAnsi="Arial"/>
                <w:sz w:val="18"/>
                <w:szCs w:val="18"/>
                <w:color w:val="auto"/>
              </w:rPr>
              <w:t>shares of our common stock will be outstanding, or</w:t>
            </w:r>
          </w:p>
        </w:tc>
        <w:tc>
          <w:tcPr>
            <w:tcW w:w="5140" w:type="dxa"/>
            <w:vAlign w:val="bottom"/>
            <w:gridSpan w:val="2"/>
          </w:tcPr>
          <w:p>
            <w:pPr>
              <w:ind w:left="340"/>
              <w:spacing w:after="0" w:line="204" w:lineRule="exact"/>
              <w:rPr>
                <w:sz w:val="20"/>
                <w:szCs w:val="20"/>
                <w:color w:val="auto"/>
              </w:rPr>
            </w:pPr>
            <w:r>
              <w:rPr>
                <w:rFonts w:ascii="Arial" w:cs="Arial" w:eastAsia="Arial" w:hAnsi="Arial"/>
                <w:sz w:val="18"/>
                <w:szCs w:val="18"/>
                <w:color w:val="auto"/>
              </w:rPr>
              <w:t>shares if the underwriters’ exercise their option to purchase</w:t>
            </w:r>
          </w:p>
        </w:tc>
      </w:tr>
      <w:tr>
        <w:trPr>
          <w:trHeight w:val="203"/>
        </w:trPr>
        <w:tc>
          <w:tcPr>
            <w:tcW w:w="8820" w:type="dxa"/>
            <w:vAlign w:val="bottom"/>
            <w:gridSpan w:val="3"/>
          </w:tcPr>
          <w:p>
            <w:pPr>
              <w:spacing w:after="0" w:line="202" w:lineRule="exact"/>
              <w:rPr>
                <w:sz w:val="20"/>
                <w:szCs w:val="20"/>
                <w:color w:val="auto"/>
              </w:rPr>
            </w:pPr>
            <w:r>
              <w:rPr>
                <w:rFonts w:ascii="Arial" w:cs="Arial" w:eastAsia="Arial" w:hAnsi="Arial"/>
                <w:sz w:val="18"/>
                <w:szCs w:val="18"/>
                <w:color w:val="auto"/>
              </w:rPr>
              <w:t>additional shares in full, based on our shares outstanding as of September 30, 2020. Of these shares, the</w:t>
            </w:r>
          </w:p>
        </w:tc>
        <w:tc>
          <w:tcPr>
            <w:tcW w:w="2440" w:type="dxa"/>
            <w:vAlign w:val="bottom"/>
          </w:tcPr>
          <w:p>
            <w:pPr>
              <w:ind w:left="420"/>
              <w:spacing w:after="0" w:line="202" w:lineRule="exact"/>
              <w:rPr>
                <w:sz w:val="20"/>
                <w:szCs w:val="20"/>
                <w:color w:val="auto"/>
              </w:rPr>
            </w:pPr>
            <w:r>
              <w:rPr>
                <w:rFonts w:ascii="Arial" w:cs="Arial" w:eastAsia="Arial" w:hAnsi="Arial"/>
                <w:sz w:val="18"/>
                <w:szCs w:val="18"/>
                <w:color w:val="auto"/>
              </w:rPr>
              <w:t>shares we are selling in</w:t>
            </w:r>
          </w:p>
        </w:tc>
      </w:tr>
      <w:tr>
        <w:trPr>
          <w:trHeight w:val="217"/>
        </w:trPr>
        <w:tc>
          <w:tcPr>
            <w:tcW w:w="1220" w:type="dxa"/>
            <w:vAlign w:val="bottom"/>
          </w:tcPr>
          <w:p>
            <w:pPr>
              <w:spacing w:after="0"/>
              <w:rPr>
                <w:sz w:val="20"/>
                <w:szCs w:val="20"/>
                <w:color w:val="auto"/>
              </w:rPr>
            </w:pPr>
            <w:r>
              <w:rPr>
                <w:rFonts w:ascii="Arial" w:cs="Arial" w:eastAsia="Arial" w:hAnsi="Arial"/>
                <w:sz w:val="18"/>
                <w:szCs w:val="18"/>
                <w:color w:val="auto"/>
              </w:rPr>
              <w:t>this offering,</w:t>
            </w:r>
          </w:p>
        </w:tc>
        <w:tc>
          <w:tcPr>
            <w:tcW w:w="4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18"/>
        </w:trPr>
        <w:tc>
          <w:tcPr>
            <w:tcW w:w="1220" w:type="dxa"/>
            <w:vAlign w:val="bottom"/>
          </w:tcPr>
          <w:p>
            <w:pPr>
              <w:spacing w:after="0"/>
              <w:rPr>
                <w:sz w:val="24"/>
                <w:szCs w:val="24"/>
                <w:color w:val="auto"/>
              </w:rPr>
            </w:pPr>
          </w:p>
        </w:tc>
        <w:tc>
          <w:tcPr>
            <w:tcW w:w="4900" w:type="dxa"/>
            <w:vAlign w:val="bottom"/>
          </w:tcPr>
          <w:p>
            <w:pPr>
              <w:jc w:val="right"/>
              <w:ind w:right="250"/>
              <w:spacing w:after="0"/>
              <w:rPr>
                <w:sz w:val="20"/>
                <w:szCs w:val="20"/>
                <w:color w:val="auto"/>
              </w:rPr>
            </w:pPr>
            <w:r>
              <w:rPr>
                <w:rFonts w:ascii="Arial" w:cs="Arial" w:eastAsia="Arial" w:hAnsi="Arial"/>
                <w:sz w:val="18"/>
                <w:szCs w:val="18"/>
                <w:color w:val="auto"/>
              </w:rPr>
              <w:t>-69-</w:t>
            </w:r>
          </w:p>
        </w:tc>
        <w:tc>
          <w:tcPr>
            <w:tcW w:w="27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2"/>
        </w:trPr>
        <w:tc>
          <w:tcPr>
            <w:tcW w:w="122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72" w:name="page73"/>
    <w:bookmarkEnd w:id="7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or shares if the underwriters exercise their option to purchase additional shares in full, may be resold in the public market immediately. The remaining shares, or % of our outstanding shares after this offering, or % of our outstanding shares</w:t>
      </w:r>
    </w:p>
    <w:p>
      <w:pPr>
        <w:spacing w:after="0" w:line="1" w:lineRule="exact"/>
        <w:rPr>
          <w:sz w:val="20"/>
          <w:szCs w:val="20"/>
          <w:color w:val="auto"/>
        </w:rPr>
      </w:pPr>
    </w:p>
    <w:p>
      <w:pPr>
        <w:ind w:right="100"/>
        <w:spacing w:after="0" w:line="187" w:lineRule="auto"/>
        <w:rPr>
          <w:sz w:val="20"/>
          <w:szCs w:val="20"/>
          <w:color w:val="auto"/>
        </w:rPr>
      </w:pPr>
      <w:r>
        <w:rPr>
          <w:rFonts w:ascii="Arial" w:cs="Arial" w:eastAsia="Arial" w:hAnsi="Arial"/>
          <w:sz w:val="15"/>
          <w:szCs w:val="15"/>
          <w:color w:val="auto"/>
        </w:rPr>
        <w:t>after this offering if the underwriters exercise their option to purchase additional shares in full,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remain unvested, of these shares will be able to be sold in the public market beginning March 17, 2021 in connection with the expiration of the lock-up and market stand-off restrictions relating to our initial public offering. In addition, of these shares will be able to</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 sold in the public market beginning 90 days after the date of the final prospectus related to this offering in connection with the expiration of the lock-up restrictions applicable to our directors and executive officers.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203"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Moreover, upon completion of this offering, the holders of approximately 18,104,343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89" w:lineRule="exact"/>
        <w:rPr>
          <w:sz w:val="20"/>
          <w:szCs w:val="20"/>
          <w:color w:val="auto"/>
        </w:rPr>
      </w:pPr>
    </w:p>
    <w:p>
      <w:pPr>
        <w:ind w:right="460" w:firstLine="576"/>
        <w:spacing w:after="0" w:line="271"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68"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 affiliates will beneficially own shares representing approximately % of our outstanding common stock, or % of our common stock if the underwriters exercise their option to purchase additional shares in full.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91" w:lineRule="exact"/>
        <w:rPr>
          <w:sz w:val="20"/>
          <w:szCs w:val="20"/>
          <w:color w:val="auto"/>
        </w:rPr>
      </w:pPr>
    </w:p>
    <w:p>
      <w:pPr>
        <w:ind w:firstLine="576"/>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3" w:name="page74"/>
    <w:bookmarkEnd w:id="7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91" w:lineRule="exact"/>
        <w:rPr>
          <w:sz w:val="20"/>
          <w:szCs w:val="20"/>
          <w:color w:val="auto"/>
        </w:rPr>
      </w:pPr>
    </w:p>
    <w:p>
      <w:pPr>
        <w:ind w:right="500" w:firstLine="576"/>
        <w:spacing w:after="0" w:line="271"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68"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We have never been required to test our internal controls within a specified period and, as a result, we may experience difficulty in meeting these reporting requirements in a timely manner.</w:t>
      </w:r>
    </w:p>
    <w:p>
      <w:pPr>
        <w:spacing w:after="0" w:line="20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91" w:lineRule="exact"/>
        <w:rPr>
          <w:sz w:val="20"/>
          <w:szCs w:val="20"/>
          <w:color w:val="auto"/>
        </w:rPr>
      </w:pPr>
    </w:p>
    <w:p>
      <w:pPr>
        <w:ind w:right="340" w:firstLine="576"/>
        <w:spacing w:after="0" w:line="271"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this offering and may not use them effectively.</w:t>
      </w:r>
    </w:p>
    <w:p>
      <w:pPr>
        <w:spacing w:after="0" w:line="68"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have broad discretion in the application of the net proceeds received in our initial public offering and will have broad discretion in the application of the net proceeds received in this offering, including for any of the purposes described in the section of this prospectus titled “Use of Proceeds.” We may spend a portion or all of the net proceeds from our initial public offering and this offering in ways that our stockholders may not desire or that may not yield a favorable return. Any failure by us to apply these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funds effectively could harm our business, financial condition, results of operations and prospects. Pending their use, we may invest the net proceeds from our initial public offering and this offering in a manner that does not produce income or that loses value.</w:t>
      </w:r>
    </w:p>
    <w:p>
      <w:pPr>
        <w:spacing w:after="0" w:line="283" w:lineRule="exact"/>
        <w:rPr>
          <w:sz w:val="20"/>
          <w:szCs w:val="20"/>
          <w:color w:val="auto"/>
        </w:rPr>
      </w:pPr>
    </w:p>
    <w:p>
      <w:pPr>
        <w:ind w:right="120" w:firstLine="576"/>
        <w:spacing w:after="0" w:line="27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68"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97" w:lineRule="exact"/>
        <w:rPr>
          <w:sz w:val="20"/>
          <w:szCs w:val="20"/>
          <w:color w:val="auto"/>
        </w:rPr>
      </w:pPr>
    </w:p>
    <w:p>
      <w:pPr>
        <w:ind w:left="130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7" w:lineRule="exact"/>
        <w:rPr>
          <w:rFonts w:ascii="Arial" w:cs="Arial" w:eastAsia="Arial" w:hAnsi="Arial"/>
          <w:sz w:val="18"/>
          <w:szCs w:val="18"/>
          <w:color w:val="auto"/>
        </w:rPr>
      </w:pPr>
    </w:p>
    <w:p>
      <w:pPr>
        <w:ind w:left="1300" w:right="68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88" w:lineRule="exact"/>
        <w:rPr>
          <w:rFonts w:ascii="Arial" w:cs="Arial" w:eastAsia="Arial" w:hAnsi="Arial"/>
          <w:sz w:val="18"/>
          <w:szCs w:val="18"/>
          <w:color w:val="auto"/>
        </w:rPr>
      </w:pPr>
    </w:p>
    <w:p>
      <w:pPr>
        <w:ind w:left="1300" w:right="54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4"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88" w:lineRule="exact"/>
        <w:rPr>
          <w:rFonts w:ascii="Arial" w:cs="Arial" w:eastAsia="Arial" w:hAnsi="Arial"/>
          <w:sz w:val="18"/>
          <w:szCs w:val="18"/>
          <w:color w:val="auto"/>
        </w:rPr>
      </w:pPr>
    </w:p>
    <w:p>
      <w:pPr>
        <w:jc w:val="both"/>
        <w:ind w:left="1300" w:right="6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0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75" w:name="page76"/>
    <w:bookmarkEnd w:id="7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40" w:firstLine="576"/>
        <w:spacing w:after="0" w:line="25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8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0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ind w:right="200" w:firstLine="576"/>
        <w:spacing w:after="0" w:line="271" w:lineRule="auto"/>
        <w:rPr>
          <w:sz w:val="20"/>
          <w:szCs w:val="20"/>
          <w:color w:val="auto"/>
        </w:rPr>
      </w:pPr>
      <w:r>
        <w:rPr>
          <w:rFonts w:ascii="Arial" w:cs="Arial" w:eastAsia="Arial" w:hAnsi="Arial"/>
          <w:sz w:val="18"/>
          <w:szCs w:val="18"/>
          <w:b w:val="1"/>
          <w:bCs w:val="1"/>
          <w:i w:val="1"/>
          <w:iCs w:val="1"/>
          <w:color w:val="auto"/>
        </w:rPr>
        <w:t>Our advisors and consultants are classified as independent contractors, and we can face consequences if it is determined that they are misclassified as such.</w:t>
      </w:r>
    </w:p>
    <w:p>
      <w:pPr>
        <w:spacing w:after="0" w:line="6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6" w:name="page77"/>
    <w:bookmarkEnd w:id="76"/>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260" w:firstLine="576"/>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8"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8" w:lineRule="exact"/>
        <w:rPr>
          <w:sz w:val="20"/>
          <w:szCs w:val="20"/>
          <w:color w:val="auto"/>
        </w:rPr>
      </w:pPr>
    </w:p>
    <w:p>
      <w:pPr>
        <w:ind w:right="720" w:firstLine="576"/>
        <w:spacing w:after="0" w:line="271"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8"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9" w:lineRule="exact"/>
        <w:rPr>
          <w:sz w:val="20"/>
          <w:szCs w:val="20"/>
          <w:color w:val="auto"/>
        </w:rPr>
      </w:pPr>
    </w:p>
    <w:p>
      <w:pPr>
        <w:ind w:right="240" w:firstLine="576"/>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68" w:lineRule="exact"/>
        <w:rPr>
          <w:sz w:val="20"/>
          <w:szCs w:val="20"/>
          <w:color w:val="auto"/>
        </w:rPr>
      </w:pPr>
    </w:p>
    <w:p>
      <w:pPr>
        <w:jc w:val="both"/>
        <w:ind w:right="180" w:firstLine="576"/>
        <w:spacing w:after="0"/>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02"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This prospectus contains forward-looking statements within the meaning of the Private Securities Litigation Reform Act of 1995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203"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94" w:lineRule="exact"/>
        <w:rPr>
          <w:sz w:val="20"/>
          <w:szCs w:val="20"/>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1300" w:right="44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196"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25"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78" w:name="page79"/>
    <w:bookmarkEnd w:id="78"/>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beneficial characteristics, safety and efficacy of our product candidates;</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w:t>
      </w:r>
    </w:p>
    <w:p>
      <w:pPr>
        <w:spacing w:after="0" w:line="225"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5"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96"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96"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impact of the novel coronavirus disease, or COVID-19, pandemic on our business;</w:t>
      </w:r>
    </w:p>
    <w:p>
      <w:pPr>
        <w:spacing w:after="0" w:line="225"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96"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anticipated use of the proceeds from this offering;</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333"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While we believe such information included in this prospectus is generally reliable, we have not independently verified any third-party information.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jc w:val="both"/>
        <w:ind w:right="40" w:firstLine="576"/>
        <w:spacing w:after="0" w:line="234" w:lineRule="auto"/>
        <w:rPr>
          <w:sz w:val="20"/>
          <w:szCs w:val="20"/>
          <w:color w:val="auto"/>
        </w:rPr>
      </w:pPr>
      <w:r>
        <w:rPr>
          <w:rFonts w:ascii="Arial" w:cs="Arial" w:eastAsia="Arial" w:hAnsi="Arial"/>
          <w:sz w:val="18"/>
          <w:szCs w:val="18"/>
          <w:color w:val="auto"/>
        </w:rPr>
        <w:t>We estimate that the net proceeds from this offering will be approximately $ million (or $ million if the underwriters exercise their option to purchase additional shares in full), assuming a public offering price of $ per share, which was the last reported sale price</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of our common stock on the Nasdaq Global Select Market on January , 2021, and after deducting underwriting discounts and commissions and offering expenses payable by us.</w:t>
      </w:r>
    </w:p>
    <w:p>
      <w:pPr>
        <w:spacing w:after="0" w:line="197" w:lineRule="exact"/>
        <w:rPr>
          <w:sz w:val="20"/>
          <w:szCs w:val="20"/>
          <w:color w:val="auto"/>
        </w:rPr>
      </w:pPr>
    </w:p>
    <w:p>
      <w:pPr>
        <w:ind w:right="80" w:firstLine="576"/>
        <w:spacing w:after="0" w:line="234" w:lineRule="auto"/>
        <w:rPr>
          <w:sz w:val="20"/>
          <w:szCs w:val="20"/>
          <w:color w:val="auto"/>
        </w:rPr>
      </w:pPr>
      <w:r>
        <w:rPr>
          <w:rFonts w:ascii="Arial" w:cs="Arial" w:eastAsia="Arial" w:hAnsi="Arial"/>
          <w:sz w:val="18"/>
          <w:szCs w:val="18"/>
          <w:color w:val="auto"/>
        </w:rPr>
        <w:t>Each $1.00 increase or decrease in the assumed public offering price of $ per share would increase or decrease, as applicable, the net proceeds to us from this offering by $ million, assuming the number of shares offered by us, as set forth on the cover page of</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this prospectus, remains the same and after deducting the underwriting discounts and commissions and estimated offering expenses payable by us. We may also increase or decrease the number of shares we are offering. Each increase or decrease of 1.0 million shares in</w:t>
      </w:r>
    </w:p>
    <w:p>
      <w:pPr>
        <w:spacing w:after="0" w:line="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number of shares offered by us would increase or decrease, as applicable, the net proceeds to us from this offering by $ million, assuming that the assumed public offering price remains the same and after deducting underwriting discounts and commissions and estimated offering expenses payable by us. We do not expect that a change in the public offering price or the number of shares by these amounts would have a material effect on our uses of the proceeds from this offering, although it may accelerate the time when we need to seek additional capital.</w:t>
      </w:r>
    </w:p>
    <w:p>
      <w:pPr>
        <w:spacing w:after="0" w:line="202"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obtain additional capital to support our operations. We currently intend to use the net proceeds from this offering for the following purposes:</w:t>
      </w:r>
    </w:p>
    <w:p>
      <w:pPr>
        <w:spacing w:after="0" w:line="210" w:lineRule="exact"/>
        <w:rPr>
          <w:sz w:val="20"/>
          <w:szCs w:val="20"/>
          <w:color w:val="auto"/>
        </w:rPr>
      </w:pPr>
    </w:p>
    <w:p>
      <w:pPr>
        <w:ind w:left="1300" w:hanging="442"/>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 million to fund the continued clinical development of ATH-1017, including for our planned Phase 2 trial of ATH-1017 for the treatment of Parkinson’s disease dementia and for clinical pharmacology and safety studies to support the development of ATH-1017 for both mild-to-moderate Alzheimer’s disease and Parkinson’s disease dementia;</w:t>
      </w:r>
    </w:p>
    <w:p>
      <w:pPr>
        <w:spacing w:after="0" w:line="216" w:lineRule="exact"/>
        <w:rPr>
          <w:rFonts w:ascii="Arial" w:cs="Arial" w:eastAsia="Arial" w:hAnsi="Arial"/>
          <w:sz w:val="18"/>
          <w:szCs w:val="18"/>
          <w:color w:val="auto"/>
        </w:rPr>
      </w:pPr>
    </w:p>
    <w:p>
      <w:pPr>
        <w:ind w:left="1300" w:right="260" w:hanging="442"/>
        <w:spacing w:after="0" w:line="246"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 million to fund our IND-enabling studies and early-stage clinical development of ATH-1019 or ATH-1020 for the treatment of neuropsychiatric indications; and</w:t>
      </w:r>
    </w:p>
    <w:p>
      <w:pPr>
        <w:spacing w:after="0" w:line="196"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197" w:lineRule="exact"/>
        <w:rPr>
          <w:sz w:val="20"/>
          <w:szCs w:val="20"/>
          <w:color w:val="auto"/>
        </w:rPr>
      </w:pPr>
    </w:p>
    <w:p>
      <w:pPr>
        <w:jc w:val="both"/>
        <w:ind w:right="20" w:firstLine="576"/>
        <w:spacing w:after="0"/>
        <w:rPr>
          <w:sz w:val="20"/>
          <w:szCs w:val="20"/>
          <w:color w:val="auto"/>
        </w:rPr>
      </w:pPr>
      <w:r>
        <w:rPr>
          <w:rFonts w:ascii="Arial" w:cs="Arial" w:eastAsia="Arial" w:hAnsi="Arial"/>
          <w:sz w:val="18"/>
          <w:szCs w:val="18"/>
          <w:color w:val="auto"/>
        </w:rPr>
        <w:t>We currently intend to use our existing cash, cash equivalents and investments to fund the ongoing clinical development of ATH-1017 for the treatment of mild-to-moderate Alzheimer’s disease, including our ongoing LIFT-AD and ACT-AD clinical trials, and for working capital and other general corporate purposes.</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207"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Based upon our current operating plan, we estimate that our existing cash, cash equivalents and investments and the anticipated net proceeds from this offering, will be sufficient to fund our operating expenses and capital expenditure requirements at least through 2022. In particular, we expect that the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81" w:name="page82"/>
    <w:bookmarkEnd w:id="81"/>
    <w:p>
      <w:pPr>
        <w:jc w:val="center"/>
        <w:ind w:right="-9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04" w:lineRule="exact"/>
        <w:rPr>
          <w:sz w:val="20"/>
          <w:szCs w:val="20"/>
          <w:color w:val="auto"/>
        </w:rPr>
      </w:pPr>
      <w:r>
        <w:rPr>
          <w:rFonts w:ascii="Arial" w:cs="Arial" w:eastAsia="Arial" w:hAnsi="Arial"/>
          <w:sz w:val="18"/>
          <w:szCs w:val="18"/>
          <w:color w:val="auto"/>
        </w:rPr>
        <w:t>net proceeds from this offering and our existing cash, cash equivalents and investments will fund us through receipt of topline data readouts for our LIFT-AD and ACT-AD trials of ATH-1017, each for the treatment of mild-to-moderate AD, through receipt of topline data for our planned Phase 2 trial of ATH-1017 for the treatment of Parkinson’s disease dementia, as well as IND-enabling studies and early-stage clinical development for ATH-1019 or ATH</w:t>
      </w:r>
      <w:r>
        <w:rPr>
          <w:rFonts w:ascii="MS PGothic" w:cs="MS PGothic" w:eastAsia="MS PGothic" w:hAnsi="MS PGothic"/>
          <w:sz w:val="18"/>
          <w:szCs w:val="18"/>
          <w:color w:val="auto"/>
        </w:rPr>
        <w:t>‑</w:t>
      </w:r>
      <w:r>
        <w:rPr>
          <w:rFonts w:ascii="Arial" w:cs="Arial" w:eastAsia="Arial" w:hAnsi="Arial"/>
          <w:sz w:val="18"/>
          <w:szCs w:val="18"/>
          <w:color w:val="auto"/>
        </w:rPr>
        <w:t>1020 for the treatment of neuropsychiatric indications. However, our existing cash, cash equivalents and investments and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 capital requirements, including factors that could cause actual costs to vary from the estimates set forth above, see the section of this prospectus titled “Risk Factors.”</w:t>
      </w:r>
    </w:p>
    <w:p>
      <w:pPr>
        <w:spacing w:after="0" w:line="207"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34" w:right="47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cash equivalents and investments and unaudited capitalization as of September 30, 2020:</w:t>
      </w:r>
    </w:p>
    <w:p>
      <w:pPr>
        <w:spacing w:after="0" w:line="90" w:lineRule="exact"/>
        <w:rPr>
          <w:sz w:val="20"/>
          <w:szCs w:val="20"/>
          <w:color w:val="auto"/>
        </w:rPr>
      </w:pPr>
    </w:p>
    <w:p>
      <w:pPr>
        <w:ind w:left="580"/>
        <w:spacing w:after="0"/>
        <w:tabs>
          <w:tab w:leader="none" w:pos="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an actual basis;</w:t>
      </w:r>
    </w:p>
    <w:p>
      <w:pPr>
        <w:spacing w:after="0" w:line="117" w:lineRule="exact"/>
        <w:rPr>
          <w:sz w:val="20"/>
          <w:szCs w:val="20"/>
          <w:color w:val="auto"/>
        </w:rPr>
      </w:pPr>
    </w:p>
    <w:p>
      <w:pPr>
        <w:ind w:left="800" w:right="540" w:hanging="219"/>
        <w:spacing w:after="0" w:line="238" w:lineRule="auto"/>
        <w:tabs>
          <w:tab w:leader="none" w:pos="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an as adjusted basis to reflect the sale and issuance by us of shares of common stock in this offering at the assumed public offering price of $ per share, which was the last reported sale price of our common stock on the Nasdaq Global Select Market on January , 2021, after deducting underwriting discounts and commissions and estimated offering expenses payable by us.</w:t>
      </w:r>
    </w:p>
    <w:p>
      <w:pPr>
        <w:spacing w:after="0" w:line="218" w:lineRule="exact"/>
        <w:rPr>
          <w:sz w:val="20"/>
          <w:szCs w:val="20"/>
          <w:color w:val="auto"/>
        </w:rPr>
      </w:pPr>
    </w:p>
    <w:p>
      <w:pPr>
        <w:jc w:val="both"/>
        <w:ind w:right="580" w:firstLine="576"/>
        <w:spacing w:after="0"/>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3"/>
          </w:tcPr>
          <w:p>
            <w:pPr>
              <w:jc w:val="center"/>
              <w:ind w:right="38"/>
              <w:spacing w:after="0"/>
              <w:rPr>
                <w:sz w:val="20"/>
                <w:szCs w:val="20"/>
                <w:color w:val="auto"/>
              </w:rPr>
            </w:pPr>
            <w:r>
              <w:rPr>
                <w:rFonts w:ascii="Arial" w:cs="Arial" w:eastAsia="Arial" w:hAnsi="Arial"/>
                <w:sz w:val="14"/>
                <w:szCs w:val="14"/>
                <w:b w:val="1"/>
                <w:bCs w:val="1"/>
                <w:color w:val="auto"/>
              </w:rPr>
              <w:t>As of September 30, 2020</w:t>
            </w:r>
          </w:p>
        </w:tc>
      </w:tr>
      <w:tr>
        <w:trPr>
          <w:trHeight w:val="169"/>
        </w:trPr>
        <w:tc>
          <w:tcPr>
            <w:tcW w:w="3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Actual</w:t>
            </w:r>
          </w:p>
        </w:tc>
        <w:tc>
          <w:tcPr>
            <w:tcW w:w="1680" w:type="dxa"/>
            <w:vAlign w:val="bottom"/>
            <w:tcBorders>
              <w:bottom w:val="single" w:sz="8" w:color="auto"/>
            </w:tcBorders>
          </w:tcPr>
          <w:p>
            <w:pPr>
              <w:jc w:val="right"/>
              <w:ind w:right="258"/>
              <w:spacing w:after="0" w:line="16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19"/>
                <w:szCs w:val="19"/>
                <w:b w:val="1"/>
                <w:bCs w:val="1"/>
                <w:color w:val="auto"/>
                <w:vertAlign w:val="superscript"/>
              </w:rPr>
              <w:t>(1)</w:t>
            </w:r>
          </w:p>
        </w:tc>
      </w:tr>
      <w:tr>
        <w:trPr>
          <w:trHeight w:val="156"/>
        </w:trPr>
        <w:tc>
          <w:tcPr>
            <w:tcW w:w="38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3"/>
          </w:tcPr>
          <w:p>
            <w:pPr>
              <w:jc w:val="center"/>
              <w:ind w:right="38"/>
              <w:spacing w:after="0" w:line="156" w:lineRule="exact"/>
              <w:rPr>
                <w:sz w:val="20"/>
                <w:szCs w:val="20"/>
                <w:color w:val="auto"/>
              </w:rPr>
            </w:pPr>
            <w:r>
              <w:rPr>
                <w:rFonts w:ascii="Arial" w:cs="Arial" w:eastAsia="Arial" w:hAnsi="Arial"/>
                <w:sz w:val="14"/>
                <w:szCs w:val="14"/>
                <w:b w:val="1"/>
                <w:bCs w:val="1"/>
                <w:color w:val="auto"/>
              </w:rPr>
              <w:t>(unaudited)</w:t>
            </w:r>
          </w:p>
        </w:tc>
      </w:tr>
      <w:tr>
        <w:trPr>
          <w:trHeight w:val="175"/>
        </w:trPr>
        <w:tc>
          <w:tcPr>
            <w:tcW w:w="38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3"/>
          </w:tcPr>
          <w:p>
            <w:pPr>
              <w:jc w:val="center"/>
              <w:ind w:right="38"/>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investments</w:t>
            </w:r>
          </w:p>
        </w:tc>
        <w:tc>
          <w:tcPr>
            <w:tcW w:w="3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259,928</w:t>
            </w: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498"/>
              <w:spacing w:after="0"/>
              <w:rPr>
                <w:sz w:val="20"/>
                <w:szCs w:val="20"/>
                <w:color w:val="auto"/>
              </w:rPr>
            </w:pPr>
            <w:r>
              <w:rPr>
                <w:rFonts w:ascii="Arial" w:cs="Arial" w:eastAsia="Arial" w:hAnsi="Arial"/>
                <w:sz w:val="18"/>
                <w:szCs w:val="18"/>
                <w:color w:val="auto"/>
                <w:w w:val="79"/>
              </w:rPr>
              <w:t>$</w:t>
            </w: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3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840" w:type="dxa"/>
            <w:vAlign w:val="bottom"/>
          </w:tcPr>
          <w:p>
            <w:pPr>
              <w:spacing w:after="0" w:line="196" w:lineRule="exact"/>
              <w:rPr>
                <w:sz w:val="20"/>
                <w:szCs w:val="20"/>
                <w:color w:val="auto"/>
              </w:rPr>
            </w:pPr>
            <w:r>
              <w:rPr>
                <w:rFonts w:ascii="Arial" w:cs="Arial" w:eastAsia="Arial" w:hAnsi="Arial"/>
                <w:sz w:val="18"/>
                <w:szCs w:val="18"/>
                <w:color w:val="auto"/>
              </w:rPr>
              <w:t>Grant liability</w:t>
            </w:r>
          </w:p>
        </w:tc>
        <w:tc>
          <w:tcPr>
            <w:tcW w:w="3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1,500</w:t>
            </w:r>
          </w:p>
        </w:tc>
        <w:tc>
          <w:tcPr>
            <w:tcW w:w="280" w:type="dxa"/>
            <w:vAlign w:val="bottom"/>
          </w:tcPr>
          <w:p>
            <w:pPr>
              <w:spacing w:after="0"/>
              <w:rPr>
                <w:sz w:val="17"/>
                <w:szCs w:val="17"/>
                <w:color w:val="auto"/>
              </w:rPr>
            </w:pPr>
          </w:p>
        </w:tc>
        <w:tc>
          <w:tcPr>
            <w:tcW w:w="1680" w:type="dxa"/>
            <w:vAlign w:val="bottom"/>
          </w:tcPr>
          <w:p>
            <w:pPr>
              <w:jc w:val="right"/>
              <w:ind w:right="1498"/>
              <w:spacing w:after="0" w:line="196" w:lineRule="exact"/>
              <w:rPr>
                <w:sz w:val="20"/>
                <w:szCs w:val="20"/>
                <w:color w:val="auto"/>
              </w:rPr>
            </w:pPr>
            <w:r>
              <w:rPr>
                <w:rFonts w:ascii="Arial" w:cs="Arial" w:eastAsia="Arial" w:hAnsi="Arial"/>
                <w:sz w:val="18"/>
                <w:szCs w:val="18"/>
                <w:color w:val="auto"/>
                <w:w w:val="79"/>
              </w:rPr>
              <w:t>$</w:t>
            </w:r>
          </w:p>
        </w:tc>
      </w:tr>
      <w:tr>
        <w:trPr>
          <w:trHeight w:val="21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5"/>
        </w:trPr>
        <w:tc>
          <w:tcPr>
            <w:tcW w:w="7820" w:type="dxa"/>
            <w:vAlign w:val="bottom"/>
            <w:gridSpan w:val="3"/>
          </w:tcPr>
          <w:p>
            <w:pPr>
              <w:ind w:left="260"/>
              <w:spacing w:after="0"/>
              <w:rPr>
                <w:sz w:val="20"/>
                <w:szCs w:val="20"/>
                <w:color w:val="auto"/>
              </w:rPr>
            </w:pPr>
            <w:r>
              <w:rPr>
                <w:rFonts w:ascii="Arial" w:cs="Arial" w:eastAsia="Arial" w:hAnsi="Arial"/>
                <w:sz w:val="18"/>
                <w:szCs w:val="18"/>
                <w:color w:val="auto"/>
              </w:rPr>
              <w:t>Preferred stock, $0.0001 par value per share, 100,000,000</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78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shares authorized and no shares issued and outstanding,</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3840" w:type="dxa"/>
            <w:vAlign w:val="bottom"/>
          </w:tcPr>
          <w:p>
            <w:pPr>
              <w:ind w:left="400"/>
              <w:spacing w:after="0" w:line="203" w:lineRule="exact"/>
              <w:rPr>
                <w:sz w:val="20"/>
                <w:szCs w:val="20"/>
                <w:color w:val="auto"/>
              </w:rPr>
            </w:pPr>
            <w:r>
              <w:rPr>
                <w:rFonts w:ascii="Arial" w:cs="Arial" w:eastAsia="Arial" w:hAnsi="Arial"/>
                <w:sz w:val="18"/>
                <w:szCs w:val="18"/>
                <w:color w:val="auto"/>
              </w:rPr>
              <w:t>actual and as adjusted</w:t>
            </w: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215"/>
        </w:trPr>
        <w:tc>
          <w:tcPr>
            <w:tcW w:w="7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Common stock, $0.0001 par value per share, 900,000,000</w:t>
            </w: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03"/>
        </w:trPr>
        <w:tc>
          <w:tcPr>
            <w:tcW w:w="7820" w:type="dxa"/>
            <w:vAlign w:val="bottom"/>
            <w:gridSpan w:val="3"/>
            <w:shd w:val="clear" w:color="auto" w:fill="CFF0FC"/>
          </w:tcPr>
          <w:p>
            <w:pPr>
              <w:ind w:left="400"/>
              <w:spacing w:after="0" w:line="202" w:lineRule="exact"/>
              <w:rPr>
                <w:sz w:val="20"/>
                <w:szCs w:val="20"/>
                <w:color w:val="auto"/>
              </w:rPr>
            </w:pPr>
            <w:r>
              <w:rPr>
                <w:rFonts w:ascii="Arial" w:cs="Arial" w:eastAsia="Arial" w:hAnsi="Arial"/>
                <w:sz w:val="18"/>
                <w:szCs w:val="18"/>
                <w:color w:val="auto"/>
              </w:rPr>
              <w:t>shares authorized, 31,087,395 shares issued and outstanding,</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03"/>
        </w:trPr>
        <w:tc>
          <w:tcPr>
            <w:tcW w:w="384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actual; 900,000,000 shares authorized,</w:t>
            </w:r>
          </w:p>
        </w:tc>
        <w:tc>
          <w:tcPr>
            <w:tcW w:w="3980" w:type="dxa"/>
            <w:vAlign w:val="bottom"/>
            <w:gridSpan w:val="2"/>
            <w:shd w:val="clear" w:color="auto" w:fill="CFF0FC"/>
          </w:tcPr>
          <w:p>
            <w:pPr>
              <w:jc w:val="right"/>
              <w:ind w:right="2700"/>
              <w:spacing w:after="0" w:line="202" w:lineRule="exact"/>
              <w:rPr>
                <w:sz w:val="20"/>
                <w:szCs w:val="20"/>
                <w:color w:val="auto"/>
              </w:rPr>
            </w:pPr>
            <w:r>
              <w:rPr>
                <w:rFonts w:ascii="Arial" w:cs="Arial" w:eastAsia="Arial" w:hAnsi="Arial"/>
                <w:sz w:val="18"/>
                <w:szCs w:val="18"/>
                <w:color w:val="auto"/>
              </w:rPr>
              <w:t>shares issued</w:t>
            </w: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03"/>
        </w:trPr>
        <w:tc>
          <w:tcPr>
            <w:tcW w:w="38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and outstanding, as adjusted</w:t>
            </w:r>
          </w:p>
        </w:tc>
        <w:tc>
          <w:tcPr>
            <w:tcW w:w="3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292,800</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38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(33,340)</w:t>
            </w:r>
          </w:p>
        </w:tc>
        <w:tc>
          <w:tcPr>
            <w:tcW w:w="1680" w:type="dxa"/>
            <w:vAlign w:val="bottom"/>
          </w:tcPr>
          <w:p>
            <w:pPr>
              <w:spacing w:after="0"/>
              <w:rPr>
                <w:sz w:val="18"/>
                <w:szCs w:val="18"/>
                <w:color w:val="auto"/>
              </w:rPr>
            </w:pPr>
          </w:p>
        </w:tc>
      </w:tr>
      <w:tr>
        <w:trPr>
          <w:trHeight w:val="209"/>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259,470</w:t>
            </w:r>
          </w:p>
        </w:tc>
        <w:tc>
          <w:tcPr>
            <w:tcW w:w="28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bottom w:val="single" w:sz="8" w:color="auto"/>
            </w:tcBorders>
            <w:shd w:val="clear" w:color="auto" w:fill="CFF0FC"/>
          </w:tcPr>
          <w:p>
            <w:pPr>
              <w:spacing w:after="0"/>
              <w:rPr>
                <w:sz w:val="18"/>
                <w:szCs w:val="18"/>
                <w:color w:val="auto"/>
              </w:rPr>
            </w:pPr>
          </w:p>
        </w:tc>
      </w:tr>
      <w:tr>
        <w:trPr>
          <w:trHeight w:val="210"/>
        </w:trPr>
        <w:tc>
          <w:tcPr>
            <w:tcW w:w="3840" w:type="dxa"/>
            <w:vAlign w:val="bottom"/>
          </w:tcPr>
          <w:p>
            <w:pPr>
              <w:ind w:left="260"/>
              <w:spacing w:after="0"/>
              <w:rPr>
                <w:sz w:val="20"/>
                <w:szCs w:val="20"/>
                <w:color w:val="auto"/>
              </w:rPr>
            </w:pPr>
            <w:r>
              <w:rPr>
                <w:rFonts w:ascii="Arial" w:cs="Arial" w:eastAsia="Arial" w:hAnsi="Arial"/>
                <w:sz w:val="18"/>
                <w:szCs w:val="18"/>
                <w:color w:val="auto"/>
              </w:rPr>
              <w:t>Total capitalization</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260,970</w:t>
            </w:r>
          </w:p>
        </w:tc>
        <w:tc>
          <w:tcPr>
            <w:tcW w:w="280" w:type="dxa"/>
            <w:vAlign w:val="bottom"/>
          </w:tcPr>
          <w:p>
            <w:pPr>
              <w:spacing w:after="0"/>
              <w:rPr>
                <w:sz w:val="18"/>
                <w:szCs w:val="18"/>
                <w:color w:val="auto"/>
              </w:rPr>
            </w:pPr>
          </w:p>
        </w:tc>
        <w:tc>
          <w:tcPr>
            <w:tcW w:w="1680" w:type="dxa"/>
            <w:vAlign w:val="bottom"/>
          </w:tcPr>
          <w:p>
            <w:pPr>
              <w:jc w:val="right"/>
              <w:ind w:right="1498"/>
              <w:spacing w:after="0"/>
              <w:rPr>
                <w:sz w:val="20"/>
                <w:szCs w:val="20"/>
                <w:color w:val="auto"/>
              </w:rPr>
            </w:pPr>
            <w:r>
              <w:rPr>
                <w:rFonts w:ascii="Arial" w:cs="Arial" w:eastAsia="Arial" w:hAnsi="Arial"/>
                <w:sz w:val="18"/>
                <w:szCs w:val="18"/>
                <w:color w:val="auto"/>
                <w:w w:val="79"/>
              </w:rPr>
              <w:t>$</w:t>
            </w:r>
          </w:p>
        </w:tc>
      </w:tr>
      <w:tr>
        <w:trPr>
          <w:trHeight w:val="20"/>
        </w:trPr>
        <w:tc>
          <w:tcPr>
            <w:tcW w:w="3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24"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Each $1.00 increase or decrease in the assumed public offering price of $per share, the last reported sale of our common stock on the Nasdaq Global Select</w:t>
      </w:r>
    </w:p>
    <w:p>
      <w:pPr>
        <w:spacing w:after="0" w:line="3" w:lineRule="exact"/>
        <w:rPr>
          <w:sz w:val="20"/>
          <w:szCs w:val="20"/>
          <w:color w:val="auto"/>
        </w:rPr>
      </w:pPr>
    </w:p>
    <w:p>
      <w:pPr>
        <w:ind w:left="480"/>
        <w:spacing w:after="0"/>
        <w:tabs>
          <w:tab w:leader="none" w:pos="1820" w:val="left"/>
        </w:tabs>
        <w:rPr>
          <w:sz w:val="20"/>
          <w:szCs w:val="20"/>
          <w:color w:val="auto"/>
        </w:rPr>
      </w:pPr>
      <w:r>
        <w:rPr>
          <w:rFonts w:ascii="Arial" w:cs="Arial" w:eastAsia="Arial" w:hAnsi="Arial"/>
          <w:sz w:val="14"/>
          <w:szCs w:val="14"/>
          <w:color w:val="auto"/>
        </w:rPr>
        <w:t>Market on January</w:t>
        <w:tab/>
        <w:t>, 2021, would increase or decrease, as applicable, each of our cash, cash equivalents and investments, additional paid-in capital, total stockholders’</w:t>
      </w:r>
    </w:p>
    <w:p>
      <w:pPr>
        <w:spacing w:after="0" w:line="28" w:lineRule="exact"/>
        <w:rPr>
          <w:sz w:val="20"/>
          <w:szCs w:val="20"/>
          <w:color w:val="auto"/>
        </w:rPr>
      </w:pPr>
    </w:p>
    <w:p>
      <w:pPr>
        <w:ind w:left="480" w:right="40"/>
        <w:spacing w:after="0" w:line="259" w:lineRule="auto"/>
        <w:rPr>
          <w:sz w:val="20"/>
          <w:szCs w:val="20"/>
          <w:color w:val="auto"/>
        </w:rPr>
      </w:pPr>
      <w:r>
        <w:rPr>
          <w:rFonts w:ascii="Arial" w:cs="Arial" w:eastAsia="Arial" w:hAnsi="Arial"/>
          <w:sz w:val="14"/>
          <w:szCs w:val="14"/>
          <w:color w:val="auto"/>
        </w:rPr>
        <w:t>equity and total capitalization by $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each of our cash, cash</w:t>
      </w:r>
    </w:p>
    <w:p>
      <w:pPr>
        <w:spacing w:after="0" w:line="5" w:lineRule="exact"/>
        <w:rPr>
          <w:sz w:val="20"/>
          <w:szCs w:val="20"/>
          <w:color w:val="auto"/>
        </w:rPr>
      </w:pPr>
    </w:p>
    <w:p>
      <w:pPr>
        <w:ind w:left="480" w:right="260"/>
        <w:spacing w:after="0" w:line="259" w:lineRule="auto"/>
        <w:rPr>
          <w:sz w:val="20"/>
          <w:szCs w:val="20"/>
          <w:color w:val="auto"/>
        </w:rPr>
      </w:pPr>
      <w:r>
        <w:rPr>
          <w:rFonts w:ascii="Arial" w:cs="Arial" w:eastAsia="Arial" w:hAnsi="Arial"/>
          <w:sz w:val="14"/>
          <w:szCs w:val="14"/>
          <w:color w:val="auto"/>
        </w:rPr>
        <w:t>equivalents and investments, additional paid-in capital, total stockholders’ equity and total capitalization by $ million, assuming that the assumed public offering price remains the same, and after deducting underwriting discounts and commissions and estimated offering expenses payable by us. The as adjusted information discussed above is illustrative only and will change based on the actual public offering price and other terms of this offering determined at pricing.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The number of shares of our common stock issued and outstanding as adjusted in the table above is based on 31,087,395 shares of common stock outstanding as of September 30, 2020, and excludes:</w:t>
      </w:r>
    </w:p>
    <w:p>
      <w:pPr>
        <w:spacing w:after="0" w:line="89" w:lineRule="exact"/>
        <w:rPr>
          <w:sz w:val="20"/>
          <w:szCs w:val="20"/>
          <w:color w:val="auto"/>
        </w:rPr>
      </w:pPr>
    </w:p>
    <w:p>
      <w:pPr>
        <w:ind w:left="1300" w:right="500" w:hanging="442"/>
        <w:spacing w:after="0" w:line="24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w:t>
      </w:r>
    </w:p>
    <w:p>
      <w:pPr>
        <w:spacing w:after="0" w:line="88"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88"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If you invest in our common stock you will experience immediate and substantial dilution in the net tangible book value of your shares of common stock. Dilution in net tangible book value represents the difference between the public offering price per share of our common stock and the as adjusted net tangible book value per share of our common stock.</w:t>
      </w:r>
    </w:p>
    <w:p>
      <w:pPr>
        <w:spacing w:after="0" w:line="203"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Historical net tangible book value represents our total tangible assets (total assets less deferred offering costs) less total liabilities. As of September 30, 2020, our historical net tangible book value was $259.5 million and our historical net tangible book value per share was $8.35.</w:t>
      </w:r>
    </w:p>
    <w:p>
      <w:pPr>
        <w:sectPr>
          <w:pgSz w:w="11900" w:h="16838" w:orient="portrait"/>
          <w:cols w:equalWidth="0" w:num="1">
            <w:col w:w="11240"/>
          </w:cols>
          <w:pgMar w:left="320" w:top="134" w:right="339" w:bottom="1440" w:gutter="0" w:footer="0" w:header="0"/>
        </w:sectPr>
      </w:pPr>
    </w:p>
    <w:p>
      <w:pPr>
        <w:spacing w:after="0" w:line="20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After giving effect to the sale and issuance of</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in this offering at the assumed public offering price</w:t>
      </w:r>
    </w:p>
    <w:p>
      <w:pPr>
        <w:spacing w:after="0" w:line="21" w:lineRule="exact"/>
        <w:rPr>
          <w:sz w:val="20"/>
          <w:szCs w:val="20"/>
          <w:color w:val="auto"/>
        </w:rPr>
      </w:pPr>
    </w:p>
    <w:p>
      <w:pPr>
        <w:sectPr>
          <w:pgSz w:w="11900" w:h="16838" w:orient="portrait"/>
          <w:cols w:equalWidth="0" w:num="2">
            <w:col w:w="4160" w:space="700"/>
            <w:col w:w="6380"/>
          </w:cols>
          <w:pgMar w:left="320" w:top="134" w:right="339" w:bottom="1440" w:gutter="0" w:footer="0" w:header="0"/>
          <w:type w:val="continuous"/>
        </w:sectPr>
      </w:pPr>
    </w:p>
    <w:p>
      <w:pPr>
        <w:spacing w:after="0"/>
        <w:tabs>
          <w:tab w:leader="none" w:pos="720" w:val="left"/>
          <w:tab w:leader="none" w:pos="1038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8"/>
          <w:szCs w:val="18"/>
          <w:color w:val="auto"/>
        </w:rPr>
        <w:t>per share, which was the last reported sale price of our common stock on the Nasdaq Global Select Market on January</w:t>
        <w:tab/>
        <w:t>, 2021,</w:t>
      </w:r>
    </w:p>
    <w:p>
      <w:pPr>
        <w:sectPr>
          <w:pgSz w:w="11900" w:h="16838" w:orient="portrait"/>
          <w:cols w:equalWidth="0" w:num="1">
            <w:col w:w="11240"/>
          </w:cols>
          <w:pgMar w:left="320" w:top="134" w:right="3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after deducting underwriting discounts and commissions and estimated offering expenses payable by us, our as adjusted net tangible book</w:t>
      </w:r>
    </w:p>
    <w:p>
      <w:pPr>
        <w:sectPr>
          <w:pgSz w:w="11900" w:h="16838" w:orient="portrait"/>
          <w:cols w:equalWidth="0" w:num="1">
            <w:col w:w="11240"/>
          </w:cols>
          <w:pgMar w:left="320" w:top="134" w:right="339" w:bottom="1440" w:gutter="0" w:footer="0" w:header="0"/>
          <w:type w:val="continuous"/>
        </w:sectPr>
      </w:pPr>
    </w:p>
    <w:p>
      <w:pPr>
        <w:spacing w:after="0"/>
        <w:rPr>
          <w:sz w:val="20"/>
          <w:szCs w:val="20"/>
          <w:color w:val="auto"/>
        </w:rPr>
      </w:pPr>
      <w:r>
        <w:rPr>
          <w:rFonts w:ascii="Arial" w:cs="Arial" w:eastAsia="Arial" w:hAnsi="Arial"/>
          <w:sz w:val="18"/>
          <w:szCs w:val="18"/>
          <w:color w:val="auto"/>
        </w:rPr>
        <w:t>value as of September 30, 2020 would have been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million, or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per share. This represents an immediate increase in net tangible</w:t>
      </w:r>
    </w:p>
    <w:p>
      <w:pPr>
        <w:spacing w:after="0" w:line="9" w:lineRule="exact"/>
        <w:rPr>
          <w:sz w:val="20"/>
          <w:szCs w:val="20"/>
          <w:color w:val="auto"/>
        </w:rPr>
      </w:pPr>
    </w:p>
    <w:p>
      <w:pPr>
        <w:sectPr>
          <w:pgSz w:w="11900" w:h="16838" w:orient="portrait"/>
          <w:cols w:equalWidth="0" w:num="3">
            <w:col w:w="4120" w:space="420"/>
            <w:col w:w="920" w:space="420"/>
            <w:col w:w="5360"/>
          </w:cols>
          <w:pgMar w:left="320" w:top="134" w:right="339" w:bottom="1440" w:gutter="0" w:footer="0" w:header="0"/>
          <w:type w:val="continuous"/>
        </w:sectPr>
      </w:pPr>
    </w:p>
    <w:p>
      <w:pPr>
        <w:spacing w:after="0" w:line="245" w:lineRule="auto"/>
        <w:rPr>
          <w:sz w:val="20"/>
          <w:szCs w:val="20"/>
          <w:color w:val="auto"/>
        </w:rPr>
      </w:pPr>
      <w:r>
        <w:rPr>
          <w:rFonts w:ascii="Arial" w:cs="Arial" w:eastAsia="Arial" w:hAnsi="Arial"/>
          <w:sz w:val="18"/>
          <w:szCs w:val="18"/>
          <w:color w:val="auto"/>
        </w:rPr>
        <w:t>book value of $ per share to existing stockholders and an immediate dilution of the net tangible book value of $ investors purchasing common stock in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per share to new</w:t>
      </w:r>
    </w:p>
    <w:p>
      <w:pPr>
        <w:spacing w:after="0" w:line="425" w:lineRule="exact"/>
        <w:rPr>
          <w:sz w:val="20"/>
          <w:szCs w:val="20"/>
          <w:color w:val="auto"/>
        </w:rPr>
      </w:pPr>
    </w:p>
    <w:p>
      <w:pPr>
        <w:sectPr>
          <w:pgSz w:w="11900" w:h="16838" w:orient="portrait"/>
          <w:cols w:equalWidth="0" w:num="2">
            <w:col w:w="8820" w:space="420"/>
            <w:col w:w="2000"/>
          </w:cols>
          <w:pgMar w:left="320" w:top="134" w:right="339" w:bottom="1440" w:gutter="0" w:footer="0" w:header="0"/>
          <w:type w:val="continuous"/>
        </w:sectPr>
      </w:pPr>
    </w:p>
    <w:p>
      <w:pPr>
        <w:ind w:left="58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Assumed public offering price per share</w:t>
            </w:r>
          </w:p>
        </w:tc>
        <w:tc>
          <w:tcPr>
            <w:tcW w:w="15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80" w:type="dxa"/>
            <w:vAlign w:val="bottom"/>
            <w:gridSpan w:val="3"/>
            <w:shd w:val="clear" w:color="auto" w:fill="CFF0FC"/>
          </w:tcPr>
          <w:p>
            <w:pPr>
              <w:jc w:val="right"/>
              <w:ind w:right="1490"/>
              <w:spacing w:after="0"/>
              <w:rPr>
                <w:sz w:val="20"/>
                <w:szCs w:val="20"/>
                <w:color w:val="auto"/>
              </w:rPr>
            </w:pPr>
            <w:r>
              <w:rPr>
                <w:rFonts w:ascii="Arial" w:cs="Arial" w:eastAsia="Arial" w:hAnsi="Arial"/>
                <w:sz w:val="18"/>
                <w:szCs w:val="18"/>
                <w:color w:val="auto"/>
              </w:rPr>
              <w:t>$</w:t>
            </w:r>
          </w:p>
        </w:tc>
      </w:tr>
      <w:tr>
        <w:trPr>
          <w:trHeight w:val="215"/>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Historical net tangible book value per share as of</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3740" w:type="dxa"/>
            <w:vAlign w:val="bottom"/>
          </w:tcPr>
          <w:p>
            <w:pPr>
              <w:ind w:left="280"/>
              <w:spacing w:after="0" w:line="203" w:lineRule="exact"/>
              <w:rPr>
                <w:sz w:val="20"/>
                <w:szCs w:val="20"/>
                <w:color w:val="auto"/>
              </w:rPr>
            </w:pPr>
            <w:r>
              <w:rPr>
                <w:rFonts w:ascii="Arial" w:cs="Arial" w:eastAsia="Arial" w:hAnsi="Arial"/>
                <w:sz w:val="18"/>
                <w:szCs w:val="18"/>
                <w:color w:val="auto"/>
              </w:rPr>
              <w:t>September 30, 2020</w:t>
            </w: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8.35</w:t>
            </w:r>
          </w:p>
        </w:tc>
        <w:tc>
          <w:tcPr>
            <w:tcW w:w="2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5"/>
        </w:trPr>
        <w:tc>
          <w:tcPr>
            <w:tcW w:w="5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Increase in net tangible book value per share attributable to new</w:t>
            </w:r>
          </w:p>
        </w:tc>
        <w:tc>
          <w:tcPr>
            <w:tcW w:w="1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03"/>
        </w:trPr>
        <w:tc>
          <w:tcPr>
            <w:tcW w:w="374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investors participating in the offering</w:t>
            </w:r>
          </w:p>
        </w:tc>
        <w:tc>
          <w:tcPr>
            <w:tcW w:w="15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09"/>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3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10"/>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3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gridSpan w:val="2"/>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1490"/>
              <w:spacing w:after="0"/>
              <w:rPr>
                <w:sz w:val="20"/>
                <w:szCs w:val="20"/>
                <w:color w:val="auto"/>
              </w:rPr>
            </w:pPr>
            <w:r>
              <w:rPr>
                <w:rFonts w:ascii="Arial" w:cs="Arial" w:eastAsia="Arial" w:hAnsi="Arial"/>
                <w:sz w:val="18"/>
                <w:szCs w:val="18"/>
                <w:color w:val="auto"/>
                <w:w w:val="79"/>
              </w:rPr>
              <w:t>$</w:t>
            </w:r>
          </w:p>
        </w:tc>
      </w:tr>
      <w:tr>
        <w:trPr>
          <w:trHeight w:val="20"/>
        </w:trPr>
        <w:tc>
          <w:tcPr>
            <w:tcW w:w="66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66"/>
        </w:trPr>
        <w:tc>
          <w:tcPr>
            <w:tcW w:w="6660" w:type="dxa"/>
            <w:vAlign w:val="bottom"/>
            <w:gridSpan w:val="3"/>
          </w:tcPr>
          <w:p>
            <w:pPr>
              <w:ind w:left="580"/>
              <w:spacing w:after="0"/>
              <w:rPr>
                <w:sz w:val="20"/>
                <w:szCs w:val="20"/>
                <w:color w:val="auto"/>
              </w:rPr>
            </w:pPr>
            <w:r>
              <w:rPr>
                <w:rFonts w:ascii="Arial" w:cs="Arial" w:eastAsia="Arial" w:hAnsi="Arial"/>
                <w:sz w:val="18"/>
                <w:szCs w:val="18"/>
                <w:color w:val="auto"/>
              </w:rPr>
              <w:t>Each $1.00 increase or decrease in the assumed public offering price of $</w:t>
            </w:r>
          </w:p>
        </w:tc>
        <w:tc>
          <w:tcPr>
            <w:tcW w:w="4580" w:type="dxa"/>
            <w:vAlign w:val="bottom"/>
            <w:gridSpan w:val="5"/>
          </w:tcPr>
          <w:p>
            <w:pPr>
              <w:jc w:val="right"/>
              <w:ind w:right="50"/>
              <w:spacing w:after="0"/>
              <w:rPr>
                <w:sz w:val="20"/>
                <w:szCs w:val="20"/>
                <w:color w:val="auto"/>
              </w:rPr>
            </w:pPr>
            <w:r>
              <w:rPr>
                <w:rFonts w:ascii="Arial" w:cs="Arial" w:eastAsia="Arial" w:hAnsi="Arial"/>
                <w:sz w:val="18"/>
                <w:szCs w:val="18"/>
                <w:color w:val="auto"/>
              </w:rPr>
              <w:t>per share would increase or decrease, as applicable,</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our as adjusted net tangible book value by $</w:t>
            </w:r>
          </w:p>
        </w:tc>
        <w:tc>
          <w:tcPr>
            <w:tcW w:w="1540" w:type="dxa"/>
            <w:vAlign w:val="bottom"/>
          </w:tcPr>
          <w:p>
            <w:pPr>
              <w:ind w:left="220"/>
              <w:spacing w:after="0"/>
              <w:rPr>
                <w:sz w:val="20"/>
                <w:szCs w:val="20"/>
                <w:color w:val="auto"/>
              </w:rPr>
            </w:pPr>
            <w:r>
              <w:rPr>
                <w:rFonts w:ascii="Arial" w:cs="Arial" w:eastAsia="Arial" w:hAnsi="Arial"/>
                <w:sz w:val="18"/>
                <w:szCs w:val="18"/>
                <w:color w:val="auto"/>
              </w:rPr>
              <w:t>million, or $</w:t>
            </w:r>
          </w:p>
        </w:tc>
        <w:tc>
          <w:tcPr>
            <w:tcW w:w="5960" w:type="dxa"/>
            <w:vAlign w:val="bottom"/>
            <w:gridSpan w:val="6"/>
          </w:tcPr>
          <w:p>
            <w:pPr>
              <w:jc w:val="right"/>
              <w:ind w:right="10"/>
              <w:spacing w:after="0"/>
              <w:rPr>
                <w:sz w:val="20"/>
                <w:szCs w:val="20"/>
                <w:color w:val="auto"/>
              </w:rPr>
            </w:pPr>
            <w:r>
              <w:rPr>
                <w:rFonts w:ascii="Arial" w:cs="Arial" w:eastAsia="Arial" w:hAnsi="Arial"/>
                <w:sz w:val="18"/>
                <w:szCs w:val="18"/>
                <w:color w:val="auto"/>
              </w:rPr>
              <w:t>per share, and increase or decrease, as applicable, the dilution per share</w:t>
            </w:r>
          </w:p>
        </w:tc>
      </w:tr>
    </w:tbl>
    <w:p>
      <w:pPr>
        <w:jc w:val="both"/>
        <w:spacing w:after="0"/>
        <w:rPr>
          <w:sz w:val="20"/>
          <w:szCs w:val="20"/>
          <w:color w:val="auto"/>
        </w:rPr>
      </w:pPr>
      <w:r>
        <w:rPr>
          <w:rFonts w:ascii="Arial" w:cs="Arial" w:eastAsia="Arial" w:hAnsi="Arial"/>
          <w:sz w:val="18"/>
          <w:szCs w:val="18"/>
          <w:color w:val="auto"/>
        </w:rPr>
        <w:t>to investors participating in this offering by $ per share,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of 1.0 million in the number of shares offered</w:t>
      </w:r>
    </w:p>
    <w:p>
      <w:pPr>
        <w:spacing w:after="0"/>
        <w:tabs>
          <w:tab w:leader="none" w:pos="5680" w:val="left"/>
          <w:tab w:leader="none" w:pos="7020" w:val="left"/>
        </w:tabs>
        <w:rPr>
          <w:sz w:val="20"/>
          <w:szCs w:val="20"/>
          <w:color w:val="auto"/>
        </w:rPr>
      </w:pPr>
      <w:r>
        <w:rPr>
          <w:rFonts w:ascii="Arial" w:cs="Arial" w:eastAsia="Arial" w:hAnsi="Arial"/>
          <w:sz w:val="18"/>
          <w:szCs w:val="18"/>
          <w:color w:val="auto"/>
        </w:rPr>
        <w:t>by us would increase our as adjusted net tangible book value by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per share, and the dilution per share to investors</w:t>
      </w:r>
    </w:p>
    <w:p>
      <w:pPr>
        <w:spacing w:after="0" w:line="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participating in this offering would be $ per share, assuming that the assumed public offering price remains the same, and after deducting underwriting discounts and commissions and estimated offering expenses payable by us. Similarly, each decrease of 1.0 million</w:t>
      </w:r>
    </w:p>
    <w:p>
      <w:pPr>
        <w:sectPr>
          <w:pgSz w:w="11900" w:h="16838" w:orient="portrait"/>
          <w:cols w:equalWidth="0" w:num="1">
            <w:col w:w="11240"/>
          </w:cols>
          <w:pgMar w:left="320" w:top="134" w:right="339" w:bottom="1440" w:gutter="0" w:footer="0" w:header="0"/>
          <w:type w:val="continuous"/>
        </w:sectPr>
      </w:pPr>
    </w:p>
    <w:p>
      <w:pPr>
        <w:spacing w:after="0"/>
        <w:rPr>
          <w:sz w:val="20"/>
          <w:szCs w:val="20"/>
          <w:color w:val="auto"/>
        </w:rPr>
      </w:pPr>
      <w:r>
        <w:rPr>
          <w:rFonts w:ascii="Arial" w:cs="Arial" w:eastAsia="Arial" w:hAnsi="Arial"/>
          <w:sz w:val="18"/>
          <w:szCs w:val="18"/>
          <w:color w:val="auto"/>
        </w:rPr>
        <w:t>shares in the number of shares offered by us would decrease our as adjusted net tangible book value by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million, or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per share,</w:t>
      </w:r>
    </w:p>
    <w:p>
      <w:pPr>
        <w:spacing w:after="0" w:line="9" w:lineRule="exact"/>
        <w:rPr>
          <w:sz w:val="20"/>
          <w:szCs w:val="20"/>
          <w:color w:val="auto"/>
        </w:rPr>
      </w:pPr>
    </w:p>
    <w:p>
      <w:pPr>
        <w:sectPr>
          <w:pgSz w:w="11900" w:h="16838" w:orient="portrait"/>
          <w:cols w:equalWidth="0" w:num="3">
            <w:col w:w="8460" w:space="440"/>
            <w:col w:w="920" w:space="420"/>
            <w:col w:w="1000"/>
          </w:cols>
          <w:pgMar w:left="320" w:top="134" w:right="339" w:bottom="1440" w:gutter="0" w:footer="0" w:header="0"/>
          <w:type w:val="continuous"/>
        </w:sectPr>
      </w:pPr>
    </w:p>
    <w:p>
      <w:pPr>
        <w:spacing w:after="0"/>
        <w:tabs>
          <w:tab w:leader="none" w:pos="6540" w:val="left"/>
        </w:tabs>
        <w:rPr>
          <w:sz w:val="20"/>
          <w:szCs w:val="20"/>
          <w:color w:val="auto"/>
        </w:rPr>
      </w:pPr>
      <w:r>
        <w:rPr>
          <w:rFonts w:ascii="Arial" w:cs="Arial" w:eastAsia="Arial" w:hAnsi="Arial"/>
          <w:sz w:val="18"/>
          <w:szCs w:val="18"/>
          <w:color w:val="auto"/>
        </w:rPr>
        <w:t>and the dilution per share to investors participating in this offering would be $</w:t>
      </w:r>
      <w:r>
        <w:rPr>
          <w:sz w:val="20"/>
          <w:szCs w:val="20"/>
          <w:color w:val="auto"/>
        </w:rPr>
        <w:tab/>
      </w:r>
      <w:r>
        <w:rPr>
          <w:rFonts w:ascii="Arial" w:cs="Arial" w:eastAsia="Arial" w:hAnsi="Arial"/>
          <w:sz w:val="17"/>
          <w:szCs w:val="17"/>
          <w:color w:val="auto"/>
        </w:rPr>
        <w:t>per share, assuming that the assumed public offering price</w:t>
      </w:r>
    </w:p>
    <w:p>
      <w:pPr>
        <w:sectPr>
          <w:pgSz w:w="11900" w:h="16838" w:orient="portrait"/>
          <w:cols w:equalWidth="0" w:num="1">
            <w:col w:w="11240"/>
          </w:cols>
          <w:pgMar w:left="320" w:top="134" w:right="339" w:bottom="1440" w:gutter="0" w:footer="0" w:header="0"/>
          <w:type w:val="continuous"/>
        </w:sectPr>
      </w:pPr>
    </w:p>
    <w:p>
      <w:pPr>
        <w:spacing w:after="0" w:line="9" w:lineRule="exact"/>
        <w:rPr>
          <w:sz w:val="20"/>
          <w:szCs w:val="20"/>
          <w:color w:val="auto"/>
        </w:rPr>
      </w:pPr>
    </w:p>
    <w:p>
      <w:pPr>
        <w:jc w:val="both"/>
        <w:ind w:right="420"/>
        <w:spacing w:after="0" w:line="234" w:lineRule="auto"/>
        <w:rPr>
          <w:sz w:val="20"/>
          <w:szCs w:val="20"/>
          <w:color w:val="auto"/>
        </w:rPr>
      </w:pPr>
      <w:r>
        <w:rPr>
          <w:rFonts w:ascii="Arial" w:cs="Arial" w:eastAsia="Arial" w:hAnsi="Arial"/>
          <w:sz w:val="18"/>
          <w:szCs w:val="18"/>
          <w:color w:val="auto"/>
        </w:rPr>
        <w:t>remains the same, and after deducting underwriting discounts and commissions and estimated offering expenses payable by us. The as adjusted information discussed above is illustrative only and will change based on the actual public offering price and other terms of this offering determined at pricing.</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exercise their option in full to purchase additional shares of common stock in this offering, the as adjusted net</w:t>
      </w:r>
    </w:p>
    <w:p>
      <w:pPr>
        <w:spacing w:after="0" w:line="9"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tangible book value per share after the offering would be $</w:t>
      </w:r>
      <w:r>
        <w:rPr>
          <w:sz w:val="20"/>
          <w:szCs w:val="20"/>
          <w:color w:val="auto"/>
        </w:rPr>
        <w:tab/>
      </w:r>
      <w:r>
        <w:rPr>
          <w:rFonts w:ascii="Arial" w:cs="Arial" w:eastAsia="Arial" w:hAnsi="Arial"/>
          <w:sz w:val="17"/>
          <w:szCs w:val="17"/>
          <w:color w:val="auto"/>
        </w:rPr>
        <w:t>per share, the increase in the net tangible book value per share to existing</w:t>
      </w:r>
    </w:p>
    <w:p>
      <w:pPr>
        <w:spacing w:after="0" w:line="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stockholders would be $</w:t>
      </w:r>
      <w:r>
        <w:rPr>
          <w:sz w:val="20"/>
          <w:szCs w:val="20"/>
          <w:color w:val="auto"/>
        </w:rPr>
        <w:tab/>
      </w:r>
      <w:r>
        <w:rPr>
          <w:rFonts w:ascii="Arial" w:cs="Arial" w:eastAsia="Arial" w:hAnsi="Arial"/>
          <w:sz w:val="17"/>
          <w:szCs w:val="17"/>
          <w:color w:val="auto"/>
        </w:rPr>
        <w:t>per share, and the as adjusted dilution to new investors purchasing common stock in this offering would be</w:t>
      </w:r>
    </w:p>
    <w:p>
      <w:pPr>
        <w:spacing w:after="0" w:line="9"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86" w:name="page87"/>
    <w:bookmarkEnd w:id="8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jc w:val="both"/>
        <w:ind w:right="100" w:firstLine="576"/>
        <w:spacing w:after="0" w:line="242" w:lineRule="auto"/>
        <w:rPr>
          <w:sz w:val="20"/>
          <w:szCs w:val="20"/>
          <w:color w:val="auto"/>
        </w:rPr>
      </w:pPr>
      <w:r>
        <w:rPr>
          <w:rFonts w:ascii="Arial" w:cs="Arial" w:eastAsia="Arial" w:hAnsi="Arial"/>
          <w:sz w:val="18"/>
          <w:szCs w:val="18"/>
          <w:color w:val="auto"/>
        </w:rPr>
        <w:t>The following table summarizes, on an as adjusted basis as described above as of September 30, 2020, the differences between the number of shares of common stock purchased from us, the total consideration and the weighted-average price per share paid by existing</w:t>
      </w:r>
    </w:p>
    <w:tbl>
      <w:tblPr>
        <w:tblLayout w:type="fixed"/>
        <w:tblInd w:w="0" w:type="dxa"/>
        <w:tblCellMar>
          <w:top w:w="0" w:type="dxa"/>
          <w:left w:w="0" w:type="dxa"/>
          <w:bottom w:w="0" w:type="dxa"/>
          <w:right w:w="0" w:type="dxa"/>
        </w:tblCellMar>
      </w:tblPr>
      <w:tr>
        <w:trPr>
          <w:trHeight w:val="204"/>
        </w:trPr>
        <w:tc>
          <w:tcPr>
            <w:tcW w:w="7360" w:type="dxa"/>
            <w:vAlign w:val="bottom"/>
            <w:gridSpan w:val="5"/>
          </w:tcPr>
          <w:p>
            <w:pPr>
              <w:spacing w:after="0" w:line="204" w:lineRule="exact"/>
              <w:rPr>
                <w:sz w:val="20"/>
                <w:szCs w:val="20"/>
                <w:color w:val="auto"/>
              </w:rPr>
            </w:pPr>
            <w:r>
              <w:rPr>
                <w:rFonts w:ascii="Arial" w:cs="Arial" w:eastAsia="Arial" w:hAnsi="Arial"/>
                <w:sz w:val="18"/>
                <w:szCs w:val="18"/>
                <w:color w:val="auto"/>
              </w:rPr>
              <w:t>stockholders and by investors participating in this offering at the public offering price of $</w:t>
            </w:r>
          </w:p>
        </w:tc>
        <w:tc>
          <w:tcPr>
            <w:tcW w:w="3880" w:type="dxa"/>
            <w:vAlign w:val="bottom"/>
            <w:gridSpan w:val="7"/>
          </w:tcPr>
          <w:p>
            <w:pPr>
              <w:jc w:val="right"/>
              <w:ind w:right="482"/>
              <w:spacing w:after="0" w:line="204" w:lineRule="exact"/>
              <w:rPr>
                <w:sz w:val="20"/>
                <w:szCs w:val="20"/>
                <w:color w:val="auto"/>
              </w:rPr>
            </w:pPr>
            <w:r>
              <w:rPr>
                <w:rFonts w:ascii="Arial" w:cs="Arial" w:eastAsia="Arial" w:hAnsi="Arial"/>
                <w:sz w:val="18"/>
                <w:szCs w:val="18"/>
                <w:color w:val="auto"/>
              </w:rPr>
              <w:t>per share, before deducting underwriting</w:t>
            </w:r>
          </w:p>
        </w:tc>
      </w:tr>
      <w:tr>
        <w:trPr>
          <w:trHeight w:val="217"/>
        </w:trPr>
        <w:tc>
          <w:tcPr>
            <w:tcW w:w="6520" w:type="dxa"/>
            <w:vAlign w:val="bottom"/>
            <w:gridSpan w:val="4"/>
          </w:tcPr>
          <w:p>
            <w:pPr>
              <w:spacing w:after="0"/>
              <w:rPr>
                <w:sz w:val="20"/>
                <w:szCs w:val="20"/>
                <w:color w:val="auto"/>
              </w:rPr>
            </w:pPr>
            <w:r>
              <w:rPr>
                <w:rFonts w:ascii="Arial" w:cs="Arial" w:eastAsia="Arial" w:hAnsi="Arial"/>
                <w:sz w:val="18"/>
                <w:szCs w:val="18"/>
                <w:color w:val="auto"/>
              </w:rPr>
              <w:t>discounts and commissions and estimated offering expenses payable by us: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65"/>
        </w:trPr>
        <w:tc>
          <w:tcPr>
            <w:tcW w:w="5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140" w:type="dxa"/>
            <w:vAlign w:val="bottom"/>
          </w:tcPr>
          <w:p>
            <w:pPr>
              <w:spacing w:after="0"/>
              <w:rPr>
                <w:sz w:val="15"/>
                <w:szCs w:val="15"/>
                <w:color w:val="auto"/>
              </w:rPr>
            </w:pPr>
          </w:p>
        </w:tc>
        <w:tc>
          <w:tcPr>
            <w:tcW w:w="222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Total Consideration</w:t>
            </w:r>
          </w:p>
        </w:tc>
        <w:tc>
          <w:tcPr>
            <w:tcW w:w="3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r>
      <w:tr>
        <w:trPr>
          <w:trHeight w:val="169"/>
        </w:trPr>
        <w:tc>
          <w:tcPr>
            <w:tcW w:w="514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209"/>
        </w:trPr>
        <w:tc>
          <w:tcPr>
            <w:tcW w:w="65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ind w:right="922"/>
              <w:spacing w:after="0"/>
              <w:rPr>
                <w:sz w:val="20"/>
                <w:szCs w:val="20"/>
                <w:color w:val="auto"/>
              </w:rPr>
            </w:pPr>
            <w:r>
              <w:rPr>
                <w:rFonts w:ascii="Arial" w:cs="Arial" w:eastAsia="Arial" w:hAnsi="Arial"/>
                <w:sz w:val="18"/>
                <w:szCs w:val="18"/>
                <w:color w:val="auto"/>
                <w:w w:val="79"/>
              </w:rPr>
              <w:t>$</w:t>
            </w:r>
          </w:p>
        </w:tc>
      </w:tr>
      <w:tr>
        <w:trPr>
          <w:trHeight w:val="21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  $</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FF0FC"/>
            </w:tcBorders>
            <w:gridSpan w:val="2"/>
          </w:tcPr>
          <w:p>
            <w:pPr>
              <w:spacing w:after="0" w:line="20" w:lineRule="exact"/>
              <w:rPr>
                <w:sz w:val="1"/>
                <w:szCs w:val="1"/>
                <w:color w:val="auto"/>
              </w:rPr>
            </w:pPr>
          </w:p>
        </w:tc>
      </w:tr>
      <w:tr>
        <w:trPr>
          <w:trHeight w:val="425"/>
        </w:trPr>
        <w:tc>
          <w:tcPr>
            <w:tcW w:w="6520" w:type="dxa"/>
            <w:vAlign w:val="bottom"/>
            <w:gridSpan w:val="4"/>
          </w:tcPr>
          <w:p>
            <w:pPr>
              <w:ind w:left="580"/>
              <w:spacing w:after="0"/>
              <w:rPr>
                <w:sz w:val="20"/>
                <w:szCs w:val="20"/>
                <w:color w:val="auto"/>
              </w:rPr>
            </w:pPr>
            <w:r>
              <w:rPr>
                <w:rFonts w:ascii="Arial" w:cs="Arial" w:eastAsia="Arial" w:hAnsi="Arial"/>
                <w:sz w:val="18"/>
                <w:szCs w:val="18"/>
                <w:color w:val="auto"/>
              </w:rPr>
              <w:t>Each $1.00 increase or decrease in the assumed public offering price of $</w:t>
            </w:r>
          </w:p>
        </w:tc>
        <w:tc>
          <w:tcPr>
            <w:tcW w:w="4720" w:type="dxa"/>
            <w:vAlign w:val="bottom"/>
            <w:gridSpan w:val="8"/>
          </w:tcPr>
          <w:p>
            <w:pPr>
              <w:jc w:val="right"/>
              <w:ind w:right="62"/>
              <w:spacing w:after="0"/>
              <w:rPr>
                <w:sz w:val="20"/>
                <w:szCs w:val="20"/>
                <w:color w:val="auto"/>
              </w:rPr>
            </w:pPr>
            <w:r>
              <w:rPr>
                <w:rFonts w:ascii="Arial" w:cs="Arial" w:eastAsia="Arial" w:hAnsi="Arial"/>
                <w:sz w:val="18"/>
                <w:szCs w:val="18"/>
                <w:color w:val="auto"/>
              </w:rPr>
              <w:t>per share would increase or decrease, as applicable,</w:t>
            </w:r>
          </w:p>
        </w:tc>
      </w:tr>
    </w:tbl>
    <w:p>
      <w:pPr>
        <w:jc w:val="both"/>
        <w:ind w:right="120"/>
        <w:spacing w:after="0"/>
        <w:rPr>
          <w:sz w:val="20"/>
          <w:szCs w:val="20"/>
          <w:color w:val="auto"/>
        </w:rPr>
      </w:pPr>
      <w:r>
        <w:rPr>
          <w:rFonts w:ascii="Arial" w:cs="Arial" w:eastAsia="Arial" w:hAnsi="Arial"/>
          <w:sz w:val="18"/>
          <w:szCs w:val="18"/>
          <w:color w:val="auto"/>
        </w:rPr>
        <w:t>total consideration paid by new investors by $ million, assuming that the number of shares offered by us, as set forth on the cover page of this prospectus, remains the same, after deducting underwriting discounts and commissions and estimated offering expenses payable by us. We may also increase or decrease the number of shares we are offering. An increase or decrease of 1.0 million in the number of shares</w:t>
      </w:r>
    </w:p>
    <w:p>
      <w:pPr>
        <w:jc w:val="both"/>
        <w:ind w:right="600"/>
        <w:spacing w:after="0"/>
        <w:rPr>
          <w:sz w:val="20"/>
          <w:szCs w:val="20"/>
          <w:color w:val="auto"/>
        </w:rPr>
      </w:pPr>
      <w:r>
        <w:rPr>
          <w:rFonts w:ascii="Arial" w:cs="Arial" w:eastAsia="Arial" w:hAnsi="Arial"/>
          <w:sz w:val="18"/>
          <w:szCs w:val="18"/>
          <w:color w:val="auto"/>
        </w:rPr>
        <w:t>offered by us would increase or decrease, as applicable, total consideration paid by new investors by $ million, assuming that the assumed public offering price remains the same, and after deducting underwriting discounts and commissions and estimated offering expenses payable by us.</w:t>
      </w:r>
    </w:p>
    <w:p>
      <w:pPr>
        <w:spacing w:after="0" w:line="203" w:lineRule="exact"/>
        <w:rPr>
          <w:sz w:val="20"/>
          <w:szCs w:val="20"/>
          <w:color w:val="auto"/>
        </w:rPr>
      </w:pPr>
    </w:p>
    <w:p>
      <w:pPr>
        <w:ind w:right="480" w:firstLine="576"/>
        <w:spacing w:after="0" w:line="246"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 31,087,395 shares of common stock outstanding as of September 30, 2020, which excludes:</w:t>
      </w:r>
    </w:p>
    <w:p>
      <w:pPr>
        <w:spacing w:after="0" w:line="89" w:lineRule="exact"/>
        <w:rPr>
          <w:sz w:val="20"/>
          <w:szCs w:val="20"/>
          <w:color w:val="auto"/>
        </w:rPr>
      </w:pPr>
    </w:p>
    <w:p>
      <w:pPr>
        <w:ind w:left="1300" w:right="520" w:hanging="442"/>
        <w:spacing w:after="0" w:line="246"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 and</w:t>
      </w:r>
    </w:p>
    <w:p>
      <w:pPr>
        <w:spacing w:after="0" w:line="88"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97"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7" w:name="page88"/>
    <w:bookmarkEnd w:id="87"/>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234" w:lineRule="auto"/>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5"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nine months ended September 30,</w:t>
      </w:r>
    </w:p>
    <w:p>
      <w:pPr>
        <w:spacing w:after="0" w:line="235" w:lineRule="auto"/>
        <w:rPr>
          <w:sz w:val="20"/>
          <w:szCs w:val="20"/>
          <w:color w:val="auto"/>
        </w:rPr>
      </w:pPr>
      <w:r>
        <w:rPr>
          <w:rFonts w:ascii="Arial" w:cs="Arial" w:eastAsia="Arial" w:hAnsi="Arial"/>
          <w:sz w:val="18"/>
          <w:szCs w:val="18"/>
          <w:color w:val="auto"/>
        </w:rPr>
        <w:t>2019 and 2020 and the selected balance sheet data as of September 30, 2020 are derived from our unaudited interim condensed financial</w:t>
      </w:r>
    </w:p>
    <w:p>
      <w:pPr>
        <w:spacing w:after="0" w:line="235" w:lineRule="auto"/>
        <w:rPr>
          <w:sz w:val="20"/>
          <w:szCs w:val="20"/>
          <w:color w:val="auto"/>
        </w:rPr>
      </w:pPr>
      <w:r>
        <w:rPr>
          <w:rFonts w:ascii="Arial" w:cs="Arial" w:eastAsia="Arial" w:hAnsi="Arial"/>
          <w:sz w:val="18"/>
          <w:szCs w:val="18"/>
          <w:color w:val="auto"/>
        </w:rPr>
        <w:t>statements included elsewhere in this prospectus. Our unaudited interim condensed financial statements have been prepared on a basis</w:t>
      </w:r>
    </w:p>
    <w:p>
      <w:pPr>
        <w:spacing w:after="0" w:line="235" w:lineRule="auto"/>
        <w:rPr>
          <w:sz w:val="20"/>
          <w:szCs w:val="20"/>
          <w:color w:val="auto"/>
        </w:rPr>
      </w:pPr>
      <w:r>
        <w:rPr>
          <w:rFonts w:ascii="Arial" w:cs="Arial" w:eastAsia="Arial" w:hAnsi="Arial"/>
          <w:sz w:val="18"/>
          <w:szCs w:val="18"/>
          <w:color w:val="auto"/>
        </w:rPr>
        <w:t>similar to our audited financial statements and, in the opinion of management, reflect all adjustments, consisting solely of normal recurring</w:t>
      </w:r>
    </w:p>
    <w:p>
      <w:pPr>
        <w:spacing w:after="0" w:line="234" w:lineRule="auto"/>
        <w:rPr>
          <w:sz w:val="20"/>
          <w:szCs w:val="20"/>
          <w:color w:val="auto"/>
        </w:rPr>
      </w:pPr>
      <w:r>
        <w:rPr>
          <w:rFonts w:ascii="Arial" w:cs="Arial" w:eastAsia="Arial" w:hAnsi="Arial"/>
          <w:sz w:val="18"/>
          <w:szCs w:val="18"/>
          <w:color w:val="auto"/>
        </w:rPr>
        <w:t>adjustments, necessary for the fair presentation of the financial information in those statements. You should read this selected data together</w:t>
      </w:r>
    </w:p>
    <w:p>
      <w:pPr>
        <w:spacing w:after="0" w:line="235" w:lineRule="auto"/>
        <w:rPr>
          <w:sz w:val="20"/>
          <w:szCs w:val="20"/>
          <w:color w:val="auto"/>
        </w:rPr>
      </w:pPr>
      <w:r>
        <w:rPr>
          <w:rFonts w:ascii="Arial" w:cs="Arial" w:eastAsia="Arial" w:hAnsi="Arial"/>
          <w:sz w:val="18"/>
          <w:szCs w:val="18"/>
          <w:color w:val="auto"/>
        </w:rPr>
        <w:t>with our financial statements and related notes appearing elsewhere in this prospectus and the information in the section of this prospectus</w:t>
      </w:r>
    </w:p>
    <w:p>
      <w:pPr>
        <w:spacing w:after="0" w:line="235" w:lineRule="auto"/>
        <w:rPr>
          <w:sz w:val="20"/>
          <w:szCs w:val="20"/>
          <w:color w:val="auto"/>
        </w:rPr>
      </w:pPr>
      <w:r>
        <w:rPr>
          <w:rFonts w:ascii="Arial" w:cs="Arial" w:eastAsia="Arial" w:hAnsi="Arial"/>
          <w:sz w:val="18"/>
          <w:szCs w:val="18"/>
          <w:color w:val="auto"/>
        </w:rPr>
        <w:t>titled “Management’s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nine months ended September 30, 2020 are not necessarily indicative of</w:t>
      </w:r>
    </w:p>
    <w:p>
      <w:pPr>
        <w:spacing w:after="0" w:line="235" w:lineRule="auto"/>
        <w:rPr>
          <w:sz w:val="20"/>
          <w:szCs w:val="20"/>
          <w:color w:val="auto"/>
        </w:rPr>
      </w:pPr>
      <w:r>
        <w:rPr>
          <w:rFonts w:ascii="Arial" w:cs="Arial" w:eastAsia="Arial" w:hAnsi="Arial"/>
          <w:sz w:val="18"/>
          <w:szCs w:val="18"/>
          <w:color w:val="auto"/>
        </w:rPr>
        <w:t>the 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center"/>
              <w:ind w:left="515"/>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6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(5,449)</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(4,187)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Unrealized gain on available-for-sale</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securities</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Comprehensive loss attributable to common</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60"/>
              <w:spacing w:after="0" w:line="203" w:lineRule="exact"/>
              <w:rPr>
                <w:sz w:val="20"/>
                <w:szCs w:val="20"/>
                <w:color w:val="auto"/>
              </w:rPr>
            </w:pPr>
            <w:r>
              <w:rPr>
                <w:rFonts w:ascii="Arial" w:cs="Arial" w:eastAsia="Arial" w:hAnsi="Arial"/>
                <w:sz w:val="18"/>
                <w:szCs w:val="18"/>
                <w:color w:val="auto"/>
              </w:rPr>
              <w:t>stockholders</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(1,530)</w:t>
            </w: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(8,449)</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(4,187)</w:t>
            </w:r>
          </w:p>
        </w:tc>
        <w:tc>
          <w:tcPr>
            <w:tcW w:w="3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193"/>
        </w:trPr>
        <w:tc>
          <w:tcPr>
            <w:tcW w:w="582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2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200" w:type="dxa"/>
            <w:vAlign w:val="bottom"/>
            <w:shd w:val="clear" w:color="auto" w:fill="CFF0FC"/>
          </w:tcPr>
          <w:p>
            <w:pPr>
              <w:jc w:val="right"/>
              <w:ind w:right="10"/>
              <w:spacing w:after="0" w:line="20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line="206" w:lineRule="exact"/>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FF0FC"/>
          </w:tcPr>
          <w:p>
            <w:pPr>
              <w:jc w:val="right"/>
              <w:ind w:right="120"/>
              <w:spacing w:after="0" w:line="20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line="206" w:lineRule="exact"/>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jc w:val="right"/>
              <w:ind w:right="30"/>
              <w:spacing w:after="0" w:line="20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line="206" w:lineRule="exact"/>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FF0FC"/>
          </w:tcPr>
          <w:p>
            <w:pPr>
              <w:jc w:val="right"/>
              <w:ind w:right="200"/>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line="206"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 used 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tcPr>
          <w:p>
            <w:pPr>
              <w:ind w:left="160"/>
              <w:spacing w:after="0" w:line="200" w:lineRule="exact"/>
              <w:rPr>
                <w:sz w:val="20"/>
                <w:szCs w:val="20"/>
                <w:color w:val="auto"/>
              </w:rPr>
            </w:pPr>
            <w:r>
              <w:rPr>
                <w:rFonts w:ascii="Arial" w:cs="Arial" w:eastAsia="Arial" w:hAnsi="Arial"/>
                <w:sz w:val="18"/>
                <w:szCs w:val="18"/>
                <w:color w:val="auto"/>
              </w:rPr>
              <w:t>computing net loss per share attributable to</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20" w:type="dxa"/>
            <w:vAlign w:val="bottom"/>
          </w:tcPr>
          <w:p>
            <w:pPr>
              <w:ind w:left="160"/>
              <w:spacing w:after="0" w:line="206" w:lineRule="exact"/>
              <w:rPr>
                <w:sz w:val="20"/>
                <w:szCs w:val="20"/>
                <w:color w:val="auto"/>
              </w:rPr>
            </w:pPr>
            <w:r>
              <w:rPr>
                <w:rFonts w:ascii="Arial" w:cs="Arial" w:eastAsia="Arial" w:hAnsi="Arial"/>
                <w:sz w:val="18"/>
                <w:szCs w:val="18"/>
                <w:color w:val="auto"/>
              </w:rPr>
              <w:t>common stockholders,basic and diluted</w:t>
            </w:r>
            <w:r>
              <w:rPr>
                <w:rFonts w:ascii="Arial" w:cs="Arial" w:eastAsia="Arial" w:hAnsi="Arial"/>
                <w:sz w:val="15"/>
                <w:szCs w:val="15"/>
                <w:color w:val="auto"/>
              </w:rPr>
              <w:t>(1)</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3,554,345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7,564,538</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3,551,586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5,155,338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74" w:lineRule="exact"/>
        <w:rPr>
          <w:sz w:val="20"/>
          <w:szCs w:val="20"/>
          <w:color w:val="auto"/>
        </w:rPr>
      </w:pPr>
    </w:p>
    <w:p>
      <w:pPr>
        <w:ind w:left="480" w:right="60" w:hanging="472"/>
        <w:spacing w:after="0" w:line="199" w:lineRule="auto"/>
        <w:tabs>
          <w:tab w:leader="none" w:pos="480" w:val="left"/>
        </w:tabs>
        <w:numPr>
          <w:ilvl w:val="0"/>
          <w:numId w:val="61"/>
        </w:numPr>
        <w:rPr>
          <w:rFonts w:ascii="Arial" w:cs="Arial" w:eastAsia="Arial" w:hAnsi="Arial"/>
          <w:sz w:val="24"/>
          <w:szCs w:val="24"/>
          <w:color w:val="auto"/>
          <w:vertAlign w:val="superscript"/>
        </w:rPr>
      </w:pPr>
      <w:r>
        <w:rPr>
          <w:rFonts w:ascii="Arial" w:cs="Arial" w:eastAsia="Arial" w:hAnsi="Arial"/>
          <w:sz w:val="14"/>
          <w:szCs w:val="14"/>
          <w:color w:val="auto"/>
        </w:rPr>
        <w:t>See Note 15 to our audited financial statements and Note 12 to our unaudited interim condensed financial statements included elsewhere in this prospectus tor the calculation of our basic and diluted net loss per share attributable to common stockholders and the weighted-average number of shares used in computing the per share amounts.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6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267,939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(14,887)</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(19,723)</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480" w:right="200" w:hanging="472"/>
        <w:spacing w:after="0" w:line="191" w:lineRule="auto"/>
        <w:tabs>
          <w:tab w:leader="none" w:pos="48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9" w:name="page90"/>
    <w:bookmarkEnd w:id="8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69"/>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 -to-moderate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80" w:firstLine="569"/>
        <w:spacing w:after="0" w:line="23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267970</wp:posOffset>
            </wp:positionV>
            <wp:extent cx="5297805" cy="3317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9780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20" w:hanging="432"/>
        <w:spacing w:after="0" w:line="249" w:lineRule="auto"/>
        <w:tabs>
          <w:tab w:leader="none" w:pos="4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95" w:lineRule="exact"/>
        <w:rPr>
          <w:sz w:val="20"/>
          <w:szCs w:val="20"/>
          <w:color w:val="auto"/>
        </w:rPr>
      </w:pPr>
    </w:p>
    <w:p>
      <w:pPr>
        <w:ind w:right="860" w:firstLine="569"/>
        <w:spacing w:after="0" w:line="24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97" w:lineRule="exact"/>
        <w:rPr>
          <w:sz w:val="20"/>
          <w:szCs w:val="20"/>
          <w:color w:val="auto"/>
        </w:rPr>
      </w:pPr>
    </w:p>
    <w:p>
      <w:pPr>
        <w:ind w:firstLine="569"/>
        <w:spacing w:after="0" w:line="237"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05" w:lineRule="exact"/>
        <w:rPr>
          <w:sz w:val="20"/>
          <w:szCs w:val="20"/>
          <w:color w:val="auto"/>
        </w:rPr>
      </w:pPr>
    </w:p>
    <w:p>
      <w:pPr>
        <w:ind w:right="140" w:firstLine="569"/>
        <w:spacing w:after="0"/>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91" w:name="page92"/>
    <w:bookmarkEnd w:id="9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08" w:lineRule="exact"/>
        <w:rPr>
          <w:sz w:val="20"/>
          <w:szCs w:val="20"/>
          <w:color w:val="auto"/>
        </w:rPr>
      </w:pPr>
    </w:p>
    <w:p>
      <w:pPr>
        <w:ind w:right="20" w:firstLine="569"/>
        <w:spacing w:after="0" w:line="23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05" w:lineRule="exact"/>
        <w:rPr>
          <w:sz w:val="20"/>
          <w:szCs w:val="20"/>
          <w:color w:val="auto"/>
        </w:rPr>
      </w:pPr>
    </w:p>
    <w:p>
      <w:pPr>
        <w:ind w:right="40" w:firstLine="569"/>
        <w:spacing w:after="0" w:line="237"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common stock warrants, and convertible notes, and to a lesser extent from grant income and stock option exercises. From inception to September 30, 2020, we have raised aggregate net cash proceeds of approximately $288.5 million primarily from the issuance of our common stock, convertible preferred stock, common stock warrants, and convertible notes. We have incurred significant operating losses to date. Our net losses were $ 8.5 million and $1.5 million for the three months ended September 30, 2020 and 2019, respectively, and $12.3 million and $ 4.2 million for the nine months ended September 30, 2020 and 2019, respectively. As of September 30, 2020, we had an accumulated deficit of $33.3 million and cash, cash equivalents and investments of $259.9 million.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300" w:right="160" w:hanging="442"/>
        <w:spacing w:after="0" w:line="246"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Phase 2/3 clinical trial for ATH-1017 for the treatment of mild-to-moderate AD;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expand our pipeline of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grow our discovery organization and invest in the ATH platform;</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ramp up manufacturing activities;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relocate to our new facility and build out lab space;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7" w:lineRule="exact"/>
        <w:rPr>
          <w:rFonts w:ascii="Arial" w:cs="Arial" w:eastAsia="Arial" w:hAnsi="Arial"/>
          <w:sz w:val="18"/>
          <w:szCs w:val="18"/>
          <w:color w:val="auto"/>
        </w:rPr>
      </w:pPr>
    </w:p>
    <w:p>
      <w:pPr>
        <w:ind w:left="1300" w:right="140" w:hanging="442"/>
        <w:spacing w:after="0" w:line="246"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97" w:lineRule="exact"/>
        <w:rPr>
          <w:sz w:val="20"/>
          <w:szCs w:val="20"/>
          <w:color w:val="auto"/>
        </w:rPr>
      </w:pPr>
    </w:p>
    <w:p>
      <w:pPr>
        <w:ind w:right="260" w:firstLine="569"/>
        <w:spacing w:after="0" w:line="24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97" w:lineRule="exact"/>
        <w:rPr>
          <w:sz w:val="20"/>
          <w:szCs w:val="20"/>
          <w:color w:val="auto"/>
        </w:rPr>
      </w:pPr>
    </w:p>
    <w:p>
      <w:pPr>
        <w:ind w:right="180" w:firstLine="569"/>
        <w:spacing w:after="0"/>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including the net proceeds from this offering, will be sufficient to fund our operating expenses and capital expenditure requirements at least through 2022.</w:t>
      </w:r>
    </w:p>
    <w:p>
      <w:pPr>
        <w:spacing w:after="0" w:line="205" w:lineRule="exact"/>
        <w:rPr>
          <w:sz w:val="20"/>
          <w:szCs w:val="20"/>
          <w:color w:val="auto"/>
        </w:rPr>
      </w:pPr>
    </w:p>
    <w:p>
      <w:pPr>
        <w:ind w:right="80" w:firstLine="569"/>
        <w:spacing w:after="0" w:line="236"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8" w:lineRule="exact"/>
        <w:rPr>
          <w:sz w:val="20"/>
          <w:szCs w:val="20"/>
          <w:color w:val="auto"/>
        </w:rPr>
      </w:pPr>
    </w:p>
    <w:p>
      <w:pPr>
        <w:ind w:right="420" w:firstLine="576"/>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17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203" w:lineRule="exact"/>
        <w:rPr>
          <w:sz w:val="20"/>
          <w:szCs w:val="20"/>
          <w:color w:val="auto"/>
        </w:rPr>
      </w:pPr>
    </w:p>
    <w:p>
      <w:pPr>
        <w:ind w:right="300" w:firstLine="576"/>
        <w:spacing w:after="0" w:line="246" w:lineRule="auto"/>
        <w:rPr>
          <w:sz w:val="20"/>
          <w:szCs w:val="20"/>
          <w:color w:val="auto"/>
        </w:rPr>
      </w:pPr>
      <w:r>
        <w:rPr>
          <w:rFonts w:ascii="Arial" w:cs="Arial" w:eastAsia="Arial" w:hAnsi="Arial"/>
          <w:sz w:val="18"/>
          <w:szCs w:val="18"/>
          <w:color w:val="auto"/>
        </w:rPr>
        <w:t>The initiation of our first Phase 2 clinical trial in September 2020 triggered a $50,000 liability to WSU, which was repaid in full as of December 31, 2020.</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93" w:name="page94"/>
    <w:bookmarkEnd w:id="9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Grant Liability</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our initial public offering in September 2020 was a triggering event under the terms of the grant and the liability was remeasured to the pay-off amount of $1.5 million as of September 30, 2020 and repaid in full as of December 31, 2020.</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December 2020, we accepted a grant from the National Institutes of Health, or NIH, to support our ACT-AD Phase 2 clinical trial for ATH-1017. Under the terms of the agreement, we may receive approximately $7.8 million with the potential for an additional $7.4 million up to an aggregate of $ 15.2 million. For additional information regarding this grant, see the section of this prospectus titled “Business—Our Collaboration and Grant Agreements.”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74" w:lineRule="exact"/>
        <w:rPr>
          <w:sz w:val="20"/>
          <w:szCs w:val="20"/>
          <w:color w:val="auto"/>
        </w:rPr>
      </w:pPr>
    </w:p>
    <w:p>
      <w:pPr>
        <w:ind w:firstLine="569"/>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0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05"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particular, we expect our research and development expenses will increase substantially as we initiate and conduct current and planned Phase 2 and Phase 2/3 clinical trials for ATH-1017.</w:t>
      </w:r>
    </w:p>
    <w:p>
      <w:pPr>
        <w:spacing w:after="0" w:line="197"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95" w:lineRule="exact"/>
        <w:rPr>
          <w:sz w:val="20"/>
          <w:szCs w:val="20"/>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and scope of preclinical and IND-enabling studies;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activities;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7" w:lineRule="exact"/>
        <w:rPr>
          <w:rFonts w:ascii="Arial" w:cs="Arial" w:eastAsia="Arial" w:hAnsi="Arial"/>
          <w:sz w:val="18"/>
          <w:szCs w:val="18"/>
          <w:color w:val="auto"/>
        </w:rPr>
      </w:pPr>
    </w:p>
    <w:p>
      <w:pPr>
        <w:ind w:left="1300" w:right="520" w:hanging="442"/>
        <w:spacing w:after="0" w:line="246"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number of subjects that participate in the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drop-out and discontinuation rate of subjects;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duration of subject participation in the trials and follow-up;</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and timing of manufacturing of our product candidates;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receipt of regulatory approvals from applicable regulatory authorities;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hiring and retention of research and development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impact of the COVID-19 pandemic on timelines and clinical operations, which may lead to increased costs; and</w:t>
      </w:r>
    </w:p>
    <w:p>
      <w:pPr>
        <w:spacing w:after="0" w:line="117" w:lineRule="exact"/>
        <w:rPr>
          <w:rFonts w:ascii="Arial" w:cs="Arial" w:eastAsia="Arial" w:hAnsi="Arial"/>
          <w:sz w:val="18"/>
          <w:szCs w:val="18"/>
          <w:color w:val="auto"/>
        </w:rPr>
      </w:pPr>
    </w:p>
    <w:p>
      <w:pPr>
        <w:ind w:left="1300" w:right="320" w:hanging="442"/>
        <w:spacing w:after="0" w:line="246"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237" w:lineRule="exact"/>
        <w:rPr>
          <w:sz w:val="20"/>
          <w:szCs w:val="20"/>
          <w:color w:val="auto"/>
        </w:rPr>
      </w:pPr>
    </w:p>
    <w:p>
      <w:pPr>
        <w:ind w:right="960" w:firstLine="576"/>
        <w:spacing w:after="0" w:line="24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61" w:lineRule="exact"/>
        <w:rPr>
          <w:sz w:val="20"/>
          <w:szCs w:val="20"/>
          <w:color w:val="auto"/>
        </w:rPr>
      </w:pPr>
    </w:p>
    <w:p>
      <w:pPr>
        <w:ind w:firstLine="569"/>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95" w:name="page96"/>
    <w:bookmarkEnd w:id="9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95"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Other income (expense), net consists of interest earned on our cash, cash equivalents, and investments, grant income, periodic mark to market gains and losses on the derivative, grant, and convertible preferred stock warrant liabilities carried at fair value, and interest expense on our convertible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2020</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8,099</w:t>
            </w: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4,964</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8"/>
                <w:szCs w:val="18"/>
                <w:color w:val="auto"/>
              </w:rPr>
            </w:pPr>
          </w:p>
        </w:tc>
      </w:tr>
      <w:tr>
        <w:trPr>
          <w:trHeight w:val="209"/>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2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(4,332)</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(6,584)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(1,482)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(4,187)</w:t>
            </w: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(12,253)</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(8,066)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FF0FC"/>
          </w:tcPr>
          <w:p>
            <w:pPr>
              <w:spacing w:after="0"/>
              <w:rPr>
                <w:sz w:val="18"/>
                <w:szCs w:val="18"/>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70" w:lineRule="exact"/>
        <w:rPr>
          <w:sz w:val="20"/>
          <w:szCs w:val="20"/>
          <w:color w:val="auto"/>
        </w:rPr>
      </w:pPr>
    </w:p>
    <w:p>
      <w:pPr>
        <w:ind w:left="480" w:hanging="472"/>
        <w:spacing w:after="0"/>
        <w:tabs>
          <w:tab w:leader="none" w:pos="48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Not meaningful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r>
      <w:tr>
        <w:trPr>
          <w:trHeight w:val="169"/>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ind w:left="500"/>
              <w:spacing w:after="0"/>
              <w:rPr>
                <w:sz w:val="20"/>
                <w:szCs w:val="20"/>
                <w:color w:val="auto"/>
              </w:rPr>
            </w:pPr>
            <w:r>
              <w:rPr>
                <w:rFonts w:ascii="Arial" w:cs="Arial" w:eastAsia="Arial" w:hAnsi="Arial"/>
                <w:sz w:val="18"/>
                <w:szCs w:val="18"/>
                <w:color w:val="auto"/>
              </w:rPr>
              <w:t>ATH-1017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2,290</w:t>
            </w:r>
          </w:p>
        </w:tc>
        <w:tc>
          <w:tcPr>
            <w:tcW w:w="6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4,544</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r>
      <w:tr>
        <w:trPr>
          <w:trHeight w:val="216"/>
        </w:trPr>
        <w:tc>
          <w:tcPr>
            <w:tcW w:w="4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2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20" w:type="dxa"/>
            <w:vAlign w:val="bottom"/>
          </w:tcPr>
          <w:p>
            <w:pPr>
              <w:ind w:left="500"/>
              <w:spacing w:after="0"/>
              <w:rPr>
                <w:sz w:val="20"/>
                <w:szCs w:val="20"/>
                <w:color w:val="auto"/>
              </w:rPr>
            </w:pPr>
            <w:r>
              <w:rPr>
                <w:rFonts w:ascii="Arial" w:cs="Arial" w:eastAsia="Arial" w:hAnsi="Arial"/>
                <w:sz w:val="18"/>
                <w:szCs w:val="18"/>
                <w:color w:val="auto"/>
              </w:rPr>
              <w:t>Personnel-related costs, including</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4420" w:type="dxa"/>
            <w:vAlign w:val="bottom"/>
          </w:tcPr>
          <w:p>
            <w:pPr>
              <w:ind w:left="660"/>
              <w:spacing w:after="0" w:line="203" w:lineRule="exact"/>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252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140</w:t>
            </w:r>
          </w:p>
        </w:tc>
        <w:tc>
          <w:tcPr>
            <w:tcW w:w="1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3,135</w:t>
            </w:r>
          </w:p>
        </w:tc>
        <w:tc>
          <w:tcPr>
            <w:tcW w:w="6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8,099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442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96" w:name="page97"/>
    <w:bookmarkEnd w:id="9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79"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Research and development expenses increased by $ 5.0 million, from $3.1 million for the nine months ended September 30, 2019 to $8.1 million for the nine months ended September 30, 2020. The increase was driven primarily by an increase in expenses for ATH-1017 of $4.5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General and administrative expenses increased by $1.6 million, from $1.2 million for the nine months ended September 30, 2019 to $2.8 million for the nine months ended September 30, 2020. The increase was primarily due to an increase in corporate legal, accounting, technical and consulting services of $1.1 million, an increase in personnel-related costs of $0.3 million to support our continued growth, and to a lesser extent, by increases in insurance and marketing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 xml:space="preserve">Other income (expense), net, changed from income of $0.1 million for the nine months ended September 30, 2019 to expense of $1.3 million for the nine months ended September 30, 2020. The change was primarily due to a decrease in grant income due to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$0.5 million received in 2019 with no corresponding grant received in 2020, an increase of $0.1 million in interest expense and accretion of discounts related to the convertible notes, and an increase of $1.1 million from increases in liabilities recorded at fair value. This was offset by a gain of $ 0.2 million on the extinguishment of convertible notes in connection with our Series B convertible preferred stock financing in the second quarter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10"/>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(5,009)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(5,449)</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(5,097)</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(5,161)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70" w:lineRule="exact"/>
        <w:rPr>
          <w:sz w:val="20"/>
          <w:szCs w:val="20"/>
          <w:color w:val="auto"/>
        </w:rPr>
      </w:pPr>
    </w:p>
    <w:p>
      <w:pPr>
        <w:ind w:left="480" w:hanging="472"/>
        <w:spacing w:after="0"/>
        <w:tabs>
          <w:tab w:leader="none" w:pos="480" w:val="left"/>
        </w:tabs>
        <w:numPr>
          <w:ilvl w:val="0"/>
          <w:numId w:val="6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7" w:name="page98"/>
    <w:bookmarkEnd w:id="97"/>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09"/>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r>
      <w:tr>
        <w:trPr>
          <w:trHeight w:val="215"/>
        </w:trPr>
        <w:tc>
          <w:tcPr>
            <w:tcW w:w="4540" w:type="dxa"/>
            <w:vAlign w:val="bottom"/>
          </w:tcPr>
          <w:p>
            <w:pPr>
              <w:ind w:left="500"/>
              <w:spacing w:after="0"/>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3"/>
        </w:trPr>
        <w:tc>
          <w:tcPr>
            <w:tcW w:w="4540" w:type="dxa"/>
            <w:vAlign w:val="bottom"/>
          </w:tcPr>
          <w:p>
            <w:pPr>
              <w:ind w:left="660"/>
              <w:spacing w:after="0" w:line="203" w:lineRule="exact"/>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619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791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172</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ind w:right="20"/>
        <w:spacing w:after="0" w:line="237"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2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September 30, 2020, we have raised aggregate net cash proceeds of $288.5 million primarily from the issuance of our common stock, convertible preferred stock, common stock warrants, and convertible notes. We issued 12,000,000 shares of our common stock in our initial public offering at a public offering price of $17.00 per share for net proceeds of $186.4 million, after deducting underwriting discounts and commissions and offering expenses. As of September 30, 2020, we had $259.9 million in cash, cash equivalents and investments and have not generated positive cash flows from operations. In October, 2020, we sold an additional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8" w:name="page99"/>
    <w:bookmarkEnd w:id="98"/>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1,397,712 shares of common stock to the underwriters of the initial public offering upon partial exercise of the underwriters’ option to purchase additional shares at the initial public offering price of $17.00 per share, less underwriting discounts and commissions, resulting in net proceeds to us of approximately $22.1 million.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40" w:firstLine="576"/>
        <w:spacing w:after="0" w:line="235" w:lineRule="auto"/>
        <w:rPr>
          <w:sz w:val="20"/>
          <w:szCs w:val="20"/>
          <w:color w:val="auto"/>
        </w:rPr>
      </w:pPr>
      <w:r>
        <w:rPr>
          <w:rFonts w:ascii="Arial" w:cs="Arial" w:eastAsia="Arial" w:hAnsi="Arial"/>
          <w:sz w:val="18"/>
          <w:szCs w:val="18"/>
          <w:color w:val="auto"/>
        </w:rPr>
        <w:t>Based upon our current operating plan, we estimate that our $259.9 million of cash, cash equivalents, and investments at September 30, 2020 will be sufficient to fund our operating expenses and capital expenditure requirements at least through 2022.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53" w:lineRule="exact"/>
        <w:rPr>
          <w:sz w:val="20"/>
          <w:szCs w:val="20"/>
          <w:color w:val="auto"/>
        </w:rPr>
      </w:pPr>
    </w:p>
    <w:p>
      <w:pPr>
        <w:ind w:right="160" w:firstLine="589"/>
        <w:spacing w:after="0" w:line="23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97" w:lineRule="exact"/>
        <w:rPr>
          <w:sz w:val="20"/>
          <w:szCs w:val="20"/>
          <w:color w:val="auto"/>
        </w:rPr>
      </w:pPr>
    </w:p>
    <w:p>
      <w:pPr>
        <w:ind w:left="1300" w:hanging="442"/>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7" w:lineRule="exact"/>
        <w:rPr>
          <w:rFonts w:ascii="Arial" w:cs="Arial" w:eastAsia="Arial" w:hAnsi="Arial"/>
          <w:sz w:val="18"/>
          <w:szCs w:val="18"/>
          <w:color w:val="auto"/>
        </w:rPr>
      </w:pPr>
    </w:p>
    <w:p>
      <w:pPr>
        <w:ind w:left="1300" w:right="540" w:hanging="442"/>
        <w:spacing w:after="0" w:line="246"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8" w:lineRule="exact"/>
        <w:rPr>
          <w:rFonts w:ascii="Arial" w:cs="Arial" w:eastAsia="Arial" w:hAnsi="Arial"/>
          <w:sz w:val="18"/>
          <w:szCs w:val="18"/>
          <w:color w:val="auto"/>
        </w:rPr>
      </w:pPr>
    </w:p>
    <w:p>
      <w:pPr>
        <w:ind w:left="1300" w:right="620" w:hanging="442"/>
        <w:spacing w:after="0" w:line="246"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88" w:lineRule="exact"/>
        <w:rPr>
          <w:rFonts w:ascii="Arial" w:cs="Arial" w:eastAsia="Arial" w:hAnsi="Arial"/>
          <w:sz w:val="18"/>
          <w:szCs w:val="18"/>
          <w:color w:val="auto"/>
        </w:rPr>
      </w:pPr>
    </w:p>
    <w:p>
      <w:pPr>
        <w:jc w:val="both"/>
        <w:ind w:left="1300" w:right="420" w:hanging="442"/>
        <w:spacing w:after="0" w:line="274" w:lineRule="auto"/>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9" w:name="page100"/>
    <w:bookmarkEnd w:id="9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300" w:right="620" w:hanging="442"/>
        <w:spacing w:after="0" w:line="246"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expenses needed to attract, hire and retain skilled personnel;</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26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(3,713)</w:t>
            </w:r>
          </w:p>
        </w:tc>
        <w:tc>
          <w:tcPr>
            <w:tcW w:w="4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(94,310)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(1,012)</w:t>
            </w:r>
          </w:p>
        </w:tc>
        <w:tc>
          <w:tcPr>
            <w:tcW w:w="3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(1,261)</w:t>
            </w:r>
          </w:p>
        </w:tc>
        <w:tc>
          <w:tcPr>
            <w:tcW w:w="480" w:type="dxa"/>
            <w:vAlign w:val="bottom"/>
            <w:gridSpan w:val="2"/>
            <w:shd w:val="clear" w:color="auto" w:fill="CFF0FC"/>
          </w:tcPr>
          <w:p>
            <w:pPr>
              <w:jc w:val="right"/>
              <w:ind w:right="228"/>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(1,037)</w:t>
            </w:r>
          </w:p>
        </w:tc>
        <w:tc>
          <w:tcPr>
            <w:tcW w:w="4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163,669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During the nine months ended September 30, 2020, net cash used in operating activities was $13.4 million. This consisted primarily of a net loss of $12.3 million, partially offset by non-cash charges of $1.7 million and an increase in our net operating assets of $2.9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 decrease in accounts payable and accrued expenses.</w:t>
      </w:r>
    </w:p>
    <w:p>
      <w:pPr>
        <w:spacing w:after="0" w:line="205" w:lineRule="exact"/>
        <w:rPr>
          <w:sz w:val="20"/>
          <w:szCs w:val="20"/>
          <w:color w:val="auto"/>
        </w:rPr>
      </w:pPr>
    </w:p>
    <w:p>
      <w:pPr>
        <w:jc w:val="both"/>
        <w:ind w:right="100" w:firstLine="576"/>
        <w:spacing w:after="0"/>
        <w:rPr>
          <w:sz w:val="20"/>
          <w:szCs w:val="20"/>
          <w:color w:val="auto"/>
        </w:rPr>
      </w:pPr>
      <w:r>
        <w:rPr>
          <w:rFonts w:ascii="Arial" w:cs="Arial" w:eastAsia="Arial" w:hAnsi="Arial"/>
          <w:sz w:val="18"/>
          <w:szCs w:val="18"/>
          <w:color w:val="auto"/>
        </w:rPr>
        <w:t>During the nine months ended September 30, 2019, net cash used in operating activities was $2.7 million. This consisted primarily of a net loss of $4.2 million, partially offset by non-cash charges of $0.6 million and an increase in our net operating assets of $0.9 million. The non-cash charges primarily consisted of stock-based compensation expense, non-cash interest expense and accretion of discounts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0" w:name="page101"/>
    <w:bookmarkEnd w:id="100"/>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our convertible notes, and changes in the carrying value of liabilities stated at fair value. The increase in our net operating assets was due to an increase in accounts payable and accrued expenses.</w:t>
      </w:r>
    </w:p>
    <w:p>
      <w:pPr>
        <w:spacing w:after="0" w:line="197"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 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right="420" w:firstLine="589"/>
        <w:spacing w:after="0" w:line="246" w:lineRule="auto"/>
        <w:rPr>
          <w:sz w:val="20"/>
          <w:szCs w:val="20"/>
          <w:color w:val="auto"/>
        </w:rPr>
      </w:pPr>
      <w:r>
        <w:rPr>
          <w:rFonts w:ascii="Arial" w:cs="Arial" w:eastAsia="Arial" w:hAnsi="Arial"/>
          <w:sz w:val="18"/>
          <w:szCs w:val="18"/>
          <w:color w:val="auto"/>
        </w:rPr>
        <w:t>During the nine months ended September 30, 2020, net cash used in investing was $94.3 million. This consisted of purchases of available-for-sale securities.</w:t>
      </w:r>
    </w:p>
    <w:p>
      <w:pPr>
        <w:spacing w:after="0" w:line="197" w:lineRule="exact"/>
        <w:rPr>
          <w:sz w:val="20"/>
          <w:szCs w:val="20"/>
          <w:color w:val="auto"/>
        </w:rPr>
      </w:pPr>
    </w:p>
    <w:p>
      <w:pPr>
        <w:ind w:right="240" w:firstLine="589"/>
        <w:spacing w:after="0"/>
        <w:rPr>
          <w:sz w:val="20"/>
          <w:szCs w:val="20"/>
          <w:color w:val="auto"/>
        </w:rPr>
      </w:pPr>
      <w:r>
        <w:rPr>
          <w:rFonts w:ascii="Arial" w:cs="Arial" w:eastAsia="Arial" w:hAnsi="Arial"/>
          <w:sz w:val="18"/>
          <w:szCs w:val="18"/>
          <w:color w:val="auto"/>
        </w:rPr>
        <w:t>During the nine months ended September 30, 2019, net cash provided by investing activities was $0.8 million. This consisted primarily of $1.7 million in proceeds received from short-term investments which matured during the period, partially offset by purchases of short-term investments of $1.0 million.</w:t>
      </w:r>
    </w:p>
    <w:p>
      <w:pPr>
        <w:spacing w:after="0" w:line="203"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203"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During the year ended December 31, 2018, net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jc w:val="both"/>
        <w:ind w:right="400" w:firstLine="589"/>
        <w:spacing w:after="0" w:line="238" w:lineRule="auto"/>
        <w:rPr>
          <w:sz w:val="20"/>
          <w:szCs w:val="20"/>
          <w:color w:val="auto"/>
        </w:rPr>
      </w:pPr>
      <w:r>
        <w:rPr>
          <w:rFonts w:ascii="Arial" w:cs="Arial" w:eastAsia="Arial" w:hAnsi="Arial"/>
          <w:sz w:val="18"/>
          <w:szCs w:val="18"/>
          <w:color w:val="auto"/>
        </w:rPr>
        <w:t>During the nine months ended September 30, 2020, net cash provided by financing activities was $271.4 million. This consisted primarily of net proceeds received from our initial public offering of $187.2 million, net proceeds of $81.9 million from the issuance of our Series B convertible preferred stock and common stock warrants, $1.7 million from the issuance of our convertible notes, and to a lesser extent from exercises of stock options and common stock warrants.</w:t>
      </w:r>
    </w:p>
    <w:p>
      <w:pPr>
        <w:spacing w:after="0" w:line="205" w:lineRule="exact"/>
        <w:rPr>
          <w:sz w:val="20"/>
          <w:szCs w:val="20"/>
          <w:color w:val="auto"/>
        </w:rPr>
      </w:pPr>
    </w:p>
    <w:p>
      <w:pPr>
        <w:jc w:val="both"/>
        <w:ind w:right="680" w:firstLine="589"/>
        <w:spacing w:after="0" w:line="274" w:lineRule="auto"/>
        <w:rPr>
          <w:sz w:val="20"/>
          <w:szCs w:val="20"/>
          <w:color w:val="auto"/>
        </w:rPr>
      </w:pPr>
      <w:r>
        <w:rPr>
          <w:rFonts w:ascii="Arial" w:cs="Arial" w:eastAsia="Arial" w:hAnsi="Arial"/>
          <w:sz w:val="17"/>
          <w:szCs w:val="17"/>
          <w:color w:val="auto"/>
        </w:rPr>
        <w:t>During the nine months ended September 30, 2019, net cash provided by financing activities was $0.9 million. This consisted primarily of proceeds of $0.9 million from the issuance of our convertible notes and to a lesser extent from exercises of stock options.</w:t>
      </w:r>
    </w:p>
    <w:p>
      <w:pPr>
        <w:spacing w:after="0" w:line="175"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During the year ended December 31, 2019, net cash provided in financing activities was $0.9 million. This consisted primarily of net proceeds received from the issuance of our convertible notes of $0.9 million and to a lesser extent from exercises of stock options.</w:t>
      </w:r>
    </w:p>
    <w:p>
      <w:pPr>
        <w:spacing w:after="0" w:line="197"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During the year ended December 31, 2018, net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26"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 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Freestanding warrants to purchase shares of our convertible preferred stock are accounted for as liabilities at fair value, because the shares underlying the warrants contain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We adjusted the liability for the final change in fair value of these warrants immediately preceding their automatic exercise in connection with our initial public offering. Subsequently, the liability was reclassified to additional paid in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audited financial statements and Note 6 to our unaudited interim condensed financial statements included elsewhere in this prospectus,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The consummation of our initial</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public offering in September 2020 was a triggering event under the terms of the grant and the liability was remeasured to the pay-off amount of $1.5 million as of September 30,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8"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 During the nine months ended September 30, 2020, we recognized $22,000 in grant income.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97"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202" w:lineRule="exact"/>
        <w:rPr>
          <w:sz w:val="20"/>
          <w:szCs w:val="20"/>
          <w:color w:val="auto"/>
        </w:rPr>
      </w:pPr>
    </w:p>
    <w:p>
      <w:pPr>
        <w:ind w:right="480" w:firstLine="576"/>
        <w:spacing w:after="0" w:line="24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71" w:lineRule="exact"/>
        <w:rPr>
          <w:sz w:val="20"/>
          <w:szCs w:val="20"/>
          <w:color w:val="auto"/>
        </w:rPr>
      </w:pPr>
    </w:p>
    <w:p>
      <w:pPr>
        <w:ind w:left="800" w:hanging="225"/>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7" w:lineRule="exact"/>
        <w:rPr>
          <w:rFonts w:ascii="Arial" w:cs="Arial" w:eastAsia="Arial" w:hAnsi="Arial"/>
          <w:sz w:val="18"/>
          <w:szCs w:val="18"/>
          <w:color w:val="auto"/>
        </w:rPr>
      </w:pPr>
    </w:p>
    <w:p>
      <w:pPr>
        <w:ind w:left="800" w:right="180" w:hanging="225"/>
        <w:spacing w:after="0" w:line="267"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52" w:lineRule="exact"/>
        <w:rPr>
          <w:rFonts w:ascii="Arial" w:cs="Arial" w:eastAsia="Arial" w:hAnsi="Arial"/>
          <w:sz w:val="18"/>
          <w:szCs w:val="18"/>
          <w:color w:val="auto"/>
        </w:rPr>
      </w:pPr>
    </w:p>
    <w:p>
      <w:pPr>
        <w:jc w:val="both"/>
        <w:ind w:left="800" w:right="80" w:hanging="225"/>
        <w:spacing w:after="0" w:line="272"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Because we have been privately held and do not have any trading history for our common stock,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was estimated based on the average volatility for comparable publicly traded life sciences companies over a period equal to the expected term of the stock option grants. The comparable companies were chosen based on the similar size, stage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03" w:name="page104"/>
    <w:bookmarkEnd w:id="103"/>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800" w:right="220"/>
        <w:spacing w:after="0" w:line="246" w:lineRule="auto"/>
        <w:rPr>
          <w:sz w:val="20"/>
          <w:szCs w:val="20"/>
          <w:color w:val="auto"/>
        </w:rPr>
      </w:pPr>
      <w:r>
        <w:rPr>
          <w:rFonts w:ascii="Arial" w:cs="Arial" w:eastAsia="Arial" w:hAnsi="Arial"/>
          <w:sz w:val="18"/>
          <w:szCs w:val="18"/>
          <w:color w:val="auto"/>
        </w:rPr>
        <w:t>in life cycle or area of specialty. We will continue to apply this process until a sufficient amount of historical information regarding the volatility of our own stock price becomes available.</w:t>
      </w:r>
    </w:p>
    <w:p>
      <w:pPr>
        <w:spacing w:after="0" w:line="71" w:lineRule="exact"/>
        <w:rPr>
          <w:sz w:val="20"/>
          <w:szCs w:val="20"/>
          <w:color w:val="auto"/>
        </w:rPr>
      </w:pPr>
    </w:p>
    <w:p>
      <w:pPr>
        <w:ind w:left="800" w:right="80" w:hanging="225"/>
        <w:spacing w:after="0" w:line="250"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68" w:lineRule="exact"/>
        <w:rPr>
          <w:rFonts w:ascii="Arial" w:cs="Arial" w:eastAsia="Arial" w:hAnsi="Arial"/>
          <w:sz w:val="18"/>
          <w:szCs w:val="18"/>
          <w:color w:val="auto"/>
        </w:rPr>
      </w:pPr>
    </w:p>
    <w:p>
      <w:pPr>
        <w:ind w:left="800" w:hanging="225"/>
        <w:spacing w:after="0" w:line="267"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we used an expected dividend yield of zero.</w:t>
      </w:r>
    </w:p>
    <w:p>
      <w:pPr>
        <w:spacing w:after="0" w:line="178" w:lineRule="exact"/>
        <w:rPr>
          <w:sz w:val="20"/>
          <w:szCs w:val="20"/>
          <w:color w:val="auto"/>
        </w:rPr>
      </w:pPr>
    </w:p>
    <w:p>
      <w:pPr>
        <w:ind w:right="260" w:firstLine="576"/>
        <w:spacing w:after="0" w:line="238" w:lineRule="auto"/>
        <w:rPr>
          <w:sz w:val="20"/>
          <w:szCs w:val="20"/>
          <w:color w:val="auto"/>
        </w:rPr>
      </w:pPr>
      <w:r>
        <w:rPr>
          <w:rFonts w:ascii="Arial" w:cs="Arial" w:eastAsia="Arial" w:hAnsi="Arial"/>
          <w:sz w:val="18"/>
          <w:szCs w:val="18"/>
          <w:color w:val="auto"/>
        </w:rPr>
        <w:t>See Note 12 to our audited financial statements and Note 11 to our unaudited interim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20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We recorded stock-based compensation expense of $0.2 million and $0.3 million for the years ended December 31, 2018 and 2019, respectively, and $0.2 million for each of the nine months ended September 30, 2019 and 2020. As of September 30, 2020, there was $2.9 million of total unrecognized stock-based compensation expense related to unvested stock options which we expect to recognize over a remaining weighted-average period of 1.95 years. We expect to continue to grant stock options and other equity-based awards in the future, and to the extent that we do, our stock-based compensation expense recognized in future periods will likely increase.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 xml:space="preserve">Since our initial public offering in September 2020, we base the fair value of the shares of common stock underlying our share-based awards on the market price of our common stock as reported the Nasdaq Global Select Market. For all periods prior to our initial public offering, there was no public market for our common stock, and, as a result,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99" w:lineRule="exact"/>
        <w:rPr>
          <w:sz w:val="20"/>
          <w:szCs w:val="20"/>
          <w:color w:val="auto"/>
        </w:rPr>
      </w:pPr>
    </w:p>
    <w:p>
      <w:pPr>
        <w:ind w:left="800" w:hanging="225"/>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17" w:lineRule="exact"/>
        <w:rPr>
          <w:rFonts w:ascii="Arial" w:cs="Arial" w:eastAsia="Arial" w:hAnsi="Arial"/>
          <w:sz w:val="18"/>
          <w:szCs w:val="18"/>
          <w:color w:val="auto"/>
        </w:rPr>
      </w:pPr>
    </w:p>
    <w:p>
      <w:pPr>
        <w:ind w:left="800" w:right="220" w:hanging="225"/>
        <w:spacing w:after="0" w:line="246"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9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800" w:hanging="225"/>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2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205"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Following the closing of our initial public offering, our board of directors determines the fair market value of our common stock based on the closing price of our common stock as reported on the date of grant on the Nasdaq Global Select Market.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205" w:lineRule="exact"/>
        <w:rPr>
          <w:sz w:val="20"/>
          <w:szCs w:val="20"/>
          <w:color w:val="auto"/>
        </w:rPr>
      </w:pPr>
    </w:p>
    <w:p>
      <w:pPr>
        <w:ind w:right="100" w:firstLine="576"/>
        <w:spacing w:after="0" w:line="274"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7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205" w:lineRule="exact"/>
        <w:rPr>
          <w:sz w:val="20"/>
          <w:szCs w:val="20"/>
          <w:color w:val="auto"/>
        </w:rPr>
      </w:pPr>
    </w:p>
    <w:p>
      <w:pPr>
        <w:jc w:val="both"/>
        <w:ind w:right="360" w:firstLine="576"/>
        <w:spacing w:after="0"/>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160" w:firstLine="576"/>
        <w:spacing w:after="0" w:line="246" w:lineRule="auto"/>
        <w:rPr>
          <w:sz w:val="20"/>
          <w:szCs w:val="20"/>
          <w:color w:val="auto"/>
        </w:rPr>
      </w:pPr>
      <w:r>
        <w:rPr>
          <w:rFonts w:ascii="Arial" w:cs="Arial" w:eastAsia="Arial" w:hAnsi="Arial"/>
          <w:sz w:val="18"/>
          <w:szCs w:val="18"/>
          <w:color w:val="auto"/>
        </w:rPr>
        <w:t>See Note 2 to our audited financial statements and our unaudited interim condensed financial statements included elsewhere in this prospectus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had cash, cash equivalents and investments of $259.9 million as of September 30, 2020, respectively. Our exposure to interest rate risk is not significant and a hypothetical 10% change in interest rates during any of the periods presented would not have had a material impact on our financial statements included elsewhere in this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6" w:lineRule="exact"/>
        <w:rPr>
          <w:sz w:val="20"/>
          <w:szCs w:val="20"/>
          <w:color w:val="auto"/>
        </w:rPr>
      </w:pPr>
    </w:p>
    <w:p>
      <w:pPr>
        <w:ind w:right="100" w:firstLine="576"/>
        <w:spacing w:after="0" w:line="253" w:lineRule="auto"/>
        <w:rPr>
          <w:sz w:val="20"/>
          <w:szCs w:val="20"/>
          <w:color w:val="auto"/>
        </w:rPr>
      </w:pPr>
      <w:r>
        <w:rPr>
          <w:rFonts w:ascii="Arial" w:cs="Arial" w:eastAsia="Arial" w:hAnsi="Arial"/>
          <w:sz w:val="17"/>
          <w:szCs w:val="17"/>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 quarter of 2020, we established an Australian subsidiary to facilitate the ACT-AD P300 Phase 2 clinical trial. As a result, our exposure to the foreign currencies, particularly the Australian dollar, will increase.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26"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205"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06" w:name="page107"/>
    <w:bookmarkEnd w:id="106"/>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260" w:firstLine="569"/>
        <w:spacing w:after="0"/>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203" w:lineRule="exact"/>
        <w:rPr>
          <w:sz w:val="20"/>
          <w:szCs w:val="20"/>
          <w:color w:val="auto"/>
        </w:rPr>
      </w:pPr>
    </w:p>
    <w:p>
      <w:pPr>
        <w:ind w:firstLine="569"/>
        <w:spacing w:after="0" w:line="235"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In November 2020, we initiated ACT-AD, a P300 Phase 2 clinical trial, in mild-to-moderate AD to better understand the overall effects of ATH-1017 on working memory processing speed and cognitive measures, with topline results expected by early 2022.</w:t>
      </w:r>
    </w:p>
    <w:p>
      <w:pPr>
        <w:spacing w:after="0" w:line="213" w:lineRule="exact"/>
        <w:rPr>
          <w:sz w:val="20"/>
          <w:szCs w:val="20"/>
          <w:color w:val="auto"/>
        </w:rPr>
      </w:pPr>
    </w:p>
    <w:p>
      <w:pPr>
        <w:ind w:right="40" w:firstLine="569"/>
        <w:spacing w:after="0" w:line="236"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204" w:lineRule="exact"/>
        <w:rPr>
          <w:sz w:val="20"/>
          <w:szCs w:val="20"/>
          <w:color w:val="auto"/>
        </w:rPr>
      </w:pPr>
    </w:p>
    <w:p>
      <w:pPr>
        <w:ind w:right="20" w:firstLine="569"/>
        <w:spacing w:after="0" w:line="238"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7" w:name="page108"/>
    <w:bookmarkEnd w:id="107"/>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brain will lead to increased synaptic density, network recovery and information transmission in the brain, which could ultimately result in cognitive improvement and clinical benefit.</w:t>
      </w:r>
    </w:p>
    <w:p>
      <w:pPr>
        <w:spacing w:after="0" w:line="197" w:lineRule="exact"/>
        <w:rPr>
          <w:sz w:val="20"/>
          <w:szCs w:val="20"/>
          <w:color w:val="auto"/>
        </w:rPr>
      </w:pPr>
    </w:p>
    <w:p>
      <w:pPr>
        <w:ind w:right="340" w:firstLine="569"/>
        <w:spacing w:after="0" w:line="23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205" w:lineRule="exact"/>
        <w:rPr>
          <w:sz w:val="20"/>
          <w:szCs w:val="20"/>
          <w:color w:val="auto"/>
        </w:rPr>
      </w:pPr>
    </w:p>
    <w:p>
      <w:pPr>
        <w:ind w:right="80" w:firstLine="569"/>
        <w:spacing w:after="0" w:line="236" w:lineRule="auto"/>
        <w:rPr>
          <w:sz w:val="20"/>
          <w:szCs w:val="20"/>
          <w:color w:val="auto"/>
        </w:rPr>
      </w:pPr>
      <w:r>
        <w:rPr>
          <w:rFonts w:ascii="Arial" w:cs="Arial" w:eastAsia="Arial" w:hAnsi="Arial"/>
          <w:sz w:val="18"/>
          <w:szCs w:val="18"/>
          <w:color w:val="auto"/>
        </w:rPr>
        <w:t>We are pioneering the use of small molecules that are designed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208" w:lineRule="exact"/>
        <w:rPr>
          <w:sz w:val="20"/>
          <w:szCs w:val="20"/>
          <w:color w:val="auto"/>
        </w:rPr>
      </w:pPr>
    </w:p>
    <w:p>
      <w:pPr>
        <w:ind w:firstLine="569"/>
        <w:spacing w:after="0" w:line="204" w:lineRule="exact"/>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repair mechanism of HGF/MET, can potentially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indications such as depression and anxiety. Currently we have several preclinical candidates for non-AD indications, including ATH-1018, which is being developed to address peripheral indications, and ATH-1019 / ATH</w:t>
      </w:r>
      <w:r>
        <w:rPr>
          <w:rFonts w:ascii="MS PGothic" w:cs="MS PGothic" w:eastAsia="MS PGothic" w:hAnsi="MS PGothic"/>
          <w:sz w:val="18"/>
          <w:szCs w:val="18"/>
          <w:color w:val="auto"/>
        </w:rPr>
        <w:t>‑</w:t>
      </w:r>
      <w:r>
        <w:rPr>
          <w:rFonts w:ascii="Arial" w:cs="Arial" w:eastAsia="Arial" w:hAnsi="Arial"/>
          <w:sz w:val="18"/>
          <w:szCs w:val="18"/>
          <w:color w:val="auto"/>
        </w:rPr>
        <w:t>1020 compounds, which are being advanced to address neuropsychiatric indications. ATH</w:t>
      </w:r>
      <w:r>
        <w:rPr>
          <w:rFonts w:ascii="MS PGothic" w:cs="MS PGothic" w:eastAsia="MS PGothic" w:hAnsi="MS PGothic"/>
          <w:sz w:val="18"/>
          <w:szCs w:val="18"/>
          <w:color w:val="auto"/>
        </w:rPr>
        <w:t>‑</w:t>
      </w:r>
      <w:r>
        <w:rPr>
          <w:rFonts w:ascii="Arial" w:cs="Arial" w:eastAsia="Arial" w:hAnsi="Arial"/>
          <w:sz w:val="18"/>
          <w:szCs w:val="18"/>
          <w:color w:val="auto"/>
        </w:rPr>
        <w:t>1020 is a new compound that recently moved from the discovery to the development stage. Similar to ATH</w:t>
      </w:r>
      <w:r>
        <w:rPr>
          <w:rFonts w:ascii="MS PGothic" w:cs="MS PGothic" w:eastAsia="MS PGothic" w:hAnsi="MS PGothic"/>
          <w:sz w:val="18"/>
          <w:szCs w:val="18"/>
          <w:color w:val="auto"/>
        </w:rPr>
        <w:t>‑</w:t>
      </w:r>
      <w:r>
        <w:rPr>
          <w:rFonts w:ascii="Arial" w:cs="Arial" w:eastAsia="Arial" w:hAnsi="Arial"/>
          <w:sz w:val="18"/>
          <w:szCs w:val="18"/>
          <w:color w:val="auto"/>
        </w:rPr>
        <w:t>1019, it is designed to activate HGF/MET and is neuroactive in animal models. Late-stage non-clinical development work and potentially early clinical studies will support decisions on selection of the lead product candidate and indication moving forward. Our ATH platform allows us the flexibility to engineer compounds that are BBB-penetrating or that generate specific activity in the periphery and molecules are suitable for subcutaneous or oral route of administration.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214745" cy="34118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1474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00" w:hanging="432"/>
        <w:spacing w:after="0" w:line="249"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right="680" w:firstLine="576"/>
        <w:spacing w:after="0" w:line="24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71" w:lineRule="exact"/>
        <w:rPr>
          <w:sz w:val="20"/>
          <w:szCs w:val="20"/>
          <w:color w:val="auto"/>
        </w:rPr>
      </w:pPr>
    </w:p>
    <w:p>
      <w:pPr>
        <w:ind w:left="1300" w:hanging="442"/>
        <w:spacing w:after="0" w:line="241"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Advance ATH-1017 through clinical development for AD</w:t>
      </w:r>
      <w:r>
        <w:rPr>
          <w:rFonts w:ascii="Arial" w:cs="Arial" w:eastAsia="Arial" w:hAnsi="Arial"/>
          <w:sz w:val="18"/>
          <w:szCs w:val="18"/>
          <w:color w:val="auto"/>
        </w:rPr>
        <w:t>. We believe ATH-1017 has the potential to rapidly improve 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durably improve the lives of the millions of people suffering from AD who currently have limited therapeutic options. We have initiated one clinical trial for AD in September 2020 and an additional clinical trial for AD in November 2020 to potentially accelerate our development timelines and further inform our development decisions. The first of these clinical trials is LIFT-AD, our Phase 2/3 clinical trial evaluating the holistic impact of ATH-1017, initiated in September 2020 with topline results expected by the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jc w:val="both"/>
        <w:ind w:left="1300" w:right="200"/>
        <w:spacing w:after="0" w:line="207" w:lineRule="exact"/>
        <w:rPr>
          <w:sz w:val="20"/>
          <w:szCs w:val="20"/>
          <w:color w:val="auto"/>
        </w:rPr>
      </w:pPr>
      <w:r>
        <w:rPr>
          <w:rFonts w:ascii="Arial" w:cs="Arial" w:eastAsia="Arial" w:hAnsi="Arial"/>
          <w:sz w:val="18"/>
          <w:szCs w:val="18"/>
          <w:color w:val="auto"/>
        </w:rPr>
        <w:t>end of 2022, which results may provide pivotal data in support of registration. The second clinical trial is our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for AD evaluating the overall effects of ATH-1017 on working memory processing speed and cognitive measures, initiated in November 2020 with topline results expected by early 2022.</w:t>
      </w:r>
    </w:p>
    <w:p>
      <w:pPr>
        <w:spacing w:after="0" w:line="77" w:lineRule="exact"/>
        <w:rPr>
          <w:sz w:val="20"/>
          <w:szCs w:val="20"/>
          <w:color w:val="auto"/>
        </w:rPr>
      </w:pPr>
    </w:p>
    <w:p>
      <w:pPr>
        <w:ind w:left="1300" w:right="20" w:hanging="442"/>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76" w:lineRule="exact"/>
        <w:rPr>
          <w:rFonts w:ascii="Arial" w:cs="Arial" w:eastAsia="Arial" w:hAnsi="Arial"/>
          <w:sz w:val="18"/>
          <w:szCs w:val="18"/>
          <w:color w:val="auto"/>
        </w:rPr>
      </w:pPr>
    </w:p>
    <w:p>
      <w:pPr>
        <w:ind w:left="1300" w:right="140" w:hanging="442"/>
        <w:spacing w:after="0" w:line="242"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cognitive processing and function, coupled with measures of brain function with EEG and ERP, allowing for more efficient and cost-effective clinical trials.</w:t>
      </w:r>
    </w:p>
    <w:p>
      <w:pPr>
        <w:spacing w:after="0" w:line="76" w:lineRule="exact"/>
        <w:rPr>
          <w:rFonts w:ascii="Arial" w:cs="Arial" w:eastAsia="Arial" w:hAnsi="Arial"/>
          <w:sz w:val="18"/>
          <w:szCs w:val="18"/>
          <w:color w:val="auto"/>
        </w:rPr>
      </w:pPr>
    </w:p>
    <w:p>
      <w:pPr>
        <w:ind w:left="1300" w:hanging="442"/>
        <w:spacing w:after="0" w:line="239"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79" w:lineRule="exact"/>
        <w:rPr>
          <w:rFonts w:ascii="Arial" w:cs="Arial" w:eastAsia="Arial" w:hAnsi="Arial"/>
          <w:sz w:val="18"/>
          <w:szCs w:val="18"/>
          <w:color w:val="auto"/>
        </w:rPr>
      </w:pPr>
    </w:p>
    <w:p>
      <w:pPr>
        <w:ind w:left="1300" w:right="20" w:hanging="442"/>
        <w:spacing w:after="0" w:line="245"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203" w:lineRule="exact"/>
        <w:rPr>
          <w:sz w:val="20"/>
          <w:szCs w:val="20"/>
          <w:color w:val="auto"/>
        </w:rPr>
      </w:pPr>
    </w:p>
    <w:p>
      <w:pPr>
        <w:ind w:right="60" w:firstLine="576"/>
        <w:spacing w:after="0" w:line="257"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10" w:name="page111"/>
    <w:bookmarkEnd w:id="11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26" w:lineRule="exact"/>
        <w:rPr>
          <w:sz w:val="20"/>
          <w:szCs w:val="20"/>
          <w:color w:val="auto"/>
        </w:rPr>
      </w:pPr>
    </w:p>
    <w:p>
      <w:pPr>
        <w:ind w:right="280" w:firstLine="576"/>
        <w:spacing w:after="0" w:line="257"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71"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 downstream effects of the HGF/MET system play critical roles in maintaining healthy connectivity and brain function.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7"/>
          <w:szCs w:val="17"/>
          <w:color w:val="auto"/>
        </w:rPr>
        <w:t>Confidential Treatment Requested by Athira Pharma,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288925</wp:posOffset>
            </wp:positionV>
            <wp:extent cx="4551680" cy="64293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51680" cy="642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12" w:name="page113"/>
    <w:bookmarkEnd w:id="11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79"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26" w:lineRule="exact"/>
        <w:rPr>
          <w:sz w:val="20"/>
          <w:szCs w:val="20"/>
          <w:color w:val="auto"/>
        </w:rPr>
      </w:pPr>
    </w:p>
    <w:p>
      <w:pPr>
        <w:ind w:right="140" w:firstLine="576"/>
        <w:spacing w:after="0" w:line="237"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20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87" w:lineRule="exact"/>
        <w:rPr>
          <w:sz w:val="20"/>
          <w:szCs w:val="20"/>
          <w:color w:val="auto"/>
        </w:rPr>
      </w:pPr>
    </w:p>
    <w:p>
      <w:pPr>
        <w:ind w:right="360" w:firstLine="576"/>
        <w:spacing w:after="0" w:line="250"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1854835</wp:posOffset>
            </wp:positionV>
            <wp:extent cx="7283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226060</wp:posOffset>
            </wp:positionV>
            <wp:extent cx="822960" cy="1543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296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Hokama et al., 2014</w:t>
      </w:r>
      <w:r>
        <w:rPr>
          <w:rFonts w:ascii="Arial" w:cs="Arial" w:eastAsia="Arial" w:hAnsi="Arial"/>
          <w:sz w:val="14"/>
          <w:szCs w:val="14"/>
          <w:color w:val="auto"/>
        </w:rPr>
        <w:t>.</w:t>
      </w:r>
    </w:p>
    <w:p>
      <w:pPr>
        <w:spacing w:after="0" w:line="225"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3" w:name="page114"/>
    <w:bookmarkEnd w:id="11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7" w:lineRule="exact"/>
        <w:rPr>
          <w:sz w:val="20"/>
          <w:szCs w:val="20"/>
          <w:color w:val="auto"/>
        </w:rPr>
      </w:pPr>
    </w:p>
    <w:p>
      <w:pPr>
        <w:ind w:right="20" w:firstLine="576"/>
        <w:spacing w:after="0" w:line="242"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36"/>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36"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8"/>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43"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43"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84"/>
        </w:trPr>
        <w:tc>
          <w:tcPr>
            <w:tcW w:w="1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43"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84"/>
        </w:trPr>
        <w:tc>
          <w:tcPr>
            <w:tcW w:w="1400" w:type="dxa"/>
            <w:vAlign w:val="bottom"/>
            <w:vMerge w:val="continue"/>
            <w:shd w:val="clear" w:color="auto" w:fill="EAEFF7"/>
          </w:tcPr>
          <w:p>
            <w:pPr>
              <w:spacing w:after="0"/>
              <w:rPr>
                <w:sz w:val="7"/>
                <w:szCs w:val="7"/>
                <w:color w:val="auto"/>
              </w:rPr>
            </w:pPr>
          </w:p>
        </w:tc>
        <w:tc>
          <w:tcPr>
            <w:tcW w:w="2480" w:type="dxa"/>
            <w:vAlign w:val="bottom"/>
            <w:vMerge w:val="continue"/>
            <w:shd w:val="clear" w:color="auto" w:fill="EAEFF7"/>
          </w:tcPr>
          <w:p>
            <w:pPr>
              <w:spacing w:after="0"/>
              <w:rPr>
                <w:sz w:val="7"/>
                <w:szCs w:val="7"/>
                <w:color w:val="auto"/>
              </w:rPr>
            </w:pPr>
          </w:p>
        </w:tc>
        <w:tc>
          <w:tcPr>
            <w:tcW w:w="1920" w:type="dxa"/>
            <w:vAlign w:val="bottom"/>
            <w:vMerge w:val="continue"/>
            <w:shd w:val="clear" w:color="auto" w:fill="EAEFF7"/>
          </w:tcPr>
          <w:p>
            <w:pPr>
              <w:spacing w:after="0"/>
              <w:rPr>
                <w:sz w:val="7"/>
                <w:szCs w:val="7"/>
                <w:color w:val="auto"/>
              </w:rPr>
            </w:pPr>
          </w:p>
        </w:tc>
        <w:tc>
          <w:tcPr>
            <w:tcW w:w="3420" w:type="dxa"/>
            <w:vAlign w:val="bottom"/>
            <w:vMerge w:val="restart"/>
            <w:shd w:val="clear" w:color="auto" w:fill="EAEFF7"/>
          </w:tcPr>
          <w:p>
            <w:pPr>
              <w:jc w:val="center"/>
              <w:ind w:right="57"/>
              <w:spacing w:after="0" w:line="141" w:lineRule="exact"/>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43"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4"/>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217" w:lineRule="exact"/>
        <w:rPr>
          <w:sz w:val="20"/>
          <w:szCs w:val="20"/>
          <w:color w:val="auto"/>
        </w:rPr>
      </w:pPr>
    </w:p>
    <w:p>
      <w:pPr>
        <w:ind w:right="320" w:firstLine="569"/>
        <w:spacing w:after="0" w:line="23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202"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4" w:name="page115"/>
    <w:bookmarkEnd w:id="11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2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77" w:lineRule="exact"/>
        <w:rPr>
          <w:sz w:val="20"/>
          <w:szCs w:val="20"/>
          <w:color w:val="auto"/>
        </w:rPr>
      </w:pPr>
    </w:p>
    <w:p>
      <w:pPr>
        <w:ind w:left="1300" w:hanging="442"/>
        <w:spacing w:after="0" w:line="245"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72" w:lineRule="exact"/>
        <w:rPr>
          <w:rFonts w:ascii="Arial" w:cs="Arial" w:eastAsia="Arial" w:hAnsi="Arial"/>
          <w:sz w:val="18"/>
          <w:szCs w:val="18"/>
          <w:color w:val="auto"/>
        </w:rPr>
      </w:pPr>
    </w:p>
    <w:p>
      <w:pPr>
        <w:ind w:left="1300" w:right="100" w:hanging="442"/>
        <w:spacing w:after="0" w:line="250"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68" w:lineRule="exact"/>
        <w:rPr>
          <w:rFonts w:ascii="Arial" w:cs="Arial" w:eastAsia="Arial" w:hAnsi="Arial"/>
          <w:sz w:val="18"/>
          <w:szCs w:val="18"/>
          <w:color w:val="auto"/>
        </w:rPr>
      </w:pPr>
    </w:p>
    <w:p>
      <w:pPr>
        <w:ind w:left="1300" w:right="140" w:hanging="442"/>
        <w:spacing w:after="0" w:line="26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78"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03"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ind w:right="360" w:firstLine="576"/>
        <w:spacing w:after="0" w:line="267" w:lineRule="auto"/>
        <w:rPr>
          <w:sz w:val="20"/>
          <w:szCs w:val="20"/>
          <w:color w:val="auto"/>
        </w:rPr>
      </w:pPr>
      <w:r>
        <w:rPr>
          <w:rFonts w:ascii="Arial" w:cs="Arial" w:eastAsia="Arial" w:hAnsi="Arial"/>
          <w:sz w:val="18"/>
          <w:szCs w:val="18"/>
          <w:i w:val="1"/>
          <w:iCs w:val="1"/>
          <w:color w:val="auto"/>
        </w:rPr>
        <w:t>Figure 5.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113665</wp:posOffset>
            </wp:positionV>
            <wp:extent cx="5349240" cy="40633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6 below illustrates the typical timing of the different beneficial effects as an outcome of activating the HGF/MET system.</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34" w:right="45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7"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i w:val="1"/>
          <w:iCs w:val="1"/>
          <w:color w:val="auto"/>
        </w:rPr>
        <w:t xml:space="preserve">Figure 6. Our ATH Candidates Are Designed to Promote the HGF/MET System Which May Lead to Both Rapid and Long-term Beneficial Effects. </w:t>
      </w:r>
      <w:r>
        <w:rPr>
          <w:rFonts w:ascii="Arial" w:cs="Arial" w:eastAsia="Arial" w:hAnsi="Arial"/>
          <w:sz w:val="18"/>
          <w:szCs w:val="18"/>
          <w:color w:val="auto"/>
        </w:rPr>
        <w:t>We believe that following administration of ATH-1017, the HGF/MET system will activate and lead to several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We anticipate that these effects 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127000</wp:posOffset>
            </wp:positionV>
            <wp:extent cx="5349240" cy="2254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780" w:firstLine="576"/>
        <w:spacing w:after="0" w:line="24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26"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2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17" w:name="page118"/>
    <w:bookmarkEnd w:id="117"/>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cognitive processing, we believe we will be able to develop ATH-1017 more efficiently for treatment of AD and broader dementia.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22"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146050</wp:posOffset>
            </wp:positionV>
            <wp:extent cx="5349240" cy="37801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4924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7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2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146050</wp:posOffset>
            </wp:positionV>
            <wp:extent cx="5349240" cy="37801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4924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146050</wp:posOffset>
            </wp:positionV>
            <wp:extent cx="4671695" cy="30175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7169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10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10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ATH-1017 study. Both drugs showed a modest improvement in P300 latency, with donepezil demonstrating an improvement of 16 ms and rivastigmine demonstrating an improvement of 22 ms.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6240780" cy="5598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40780" cy="559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Adapted from Thomas et al., 2001.</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Figure 11, below, summarizes the correlation between P300 latency and changes in cognition in studies involving approved therapies.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21" w:name="page122"/>
    <w:bookmarkEnd w:id="121"/>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6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223635" cy="19030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236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20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26"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recruited in the study, including 11 subjects with mild-to-moderate AD, who were assigned to treatment and control groups. Additionally, ATH-1017 treatment led to improvements in brain network activity that indicated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It is our goal to establish in current and future clinical trials that administration of ATH-1017 is effective in promoting cognitive improvement. We identified ATH-1017 in 2016 and less than five years later, we are planning to initiate our Phase 2/3 LIFT-AD trial, which has the potential to provide pivotal data in support of registration. In September 2020, we began site initiation and patient screening for our LIFT-AD clinical trial for ATH-1017 for the treatment of mild-to-moderate AD, with topline results expected by the end of 2022. In November 2020, we initiated ACT-AD,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1017 has the potential to provide meaningful benefit to individuals impacted by AD and substantially enhance overall quality of life for the subjects and their families.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26"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94" w:lineRule="exact"/>
        <w:rPr>
          <w:sz w:val="20"/>
          <w:szCs w:val="20"/>
          <w:color w:val="auto"/>
        </w:rPr>
      </w:pPr>
    </w:p>
    <w:p>
      <w:pPr>
        <w:ind w:left="1300" w:hanging="442"/>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88"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87" w:lineRule="exact"/>
        <w:rPr>
          <w:sz w:val="20"/>
          <w:szCs w:val="20"/>
          <w:color w:val="auto"/>
        </w:rPr>
      </w:pPr>
    </w:p>
    <w:p>
      <w:pPr>
        <w:ind w:right="160" w:firstLine="576"/>
        <w:spacing w:after="0" w:line="267" w:lineRule="auto"/>
        <w:rPr>
          <w:sz w:val="20"/>
          <w:szCs w:val="20"/>
          <w:color w:val="auto"/>
        </w:rPr>
      </w:pPr>
      <w:r>
        <w:rPr>
          <w:rFonts w:ascii="Arial" w:cs="Arial" w:eastAsia="Arial" w:hAnsi="Arial"/>
          <w:sz w:val="18"/>
          <w:szCs w:val="18"/>
          <w:i w:val="1"/>
          <w:iCs w:val="1"/>
          <w:color w:val="auto"/>
        </w:rPr>
        <w:t>Figure 12.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113665</wp:posOffset>
            </wp:positionV>
            <wp:extent cx="5349240" cy="3086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20" w:firstLine="576"/>
        <w:spacing w:after="0" w:line="24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13.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qEEG and ERP as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13.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146050</wp:posOffset>
            </wp:positionV>
            <wp:extent cx="5349240" cy="2125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as shown in Figure 14, the PK profile is compelling, with linear dose relationship, no accumulation, and no sex or age effect. We did not have any subject dropout due to serious adverse events during these clinical trials.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14.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163195</wp:posOffset>
            </wp:positionV>
            <wp:extent cx="5349240" cy="1663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22" w:lineRule="exact"/>
        <w:rPr>
          <w:sz w:val="20"/>
          <w:szCs w:val="20"/>
          <w:color w:val="auto"/>
        </w:rPr>
      </w:pPr>
    </w:p>
    <w:p>
      <w:pPr>
        <w:jc w:val="both"/>
        <w:ind w:right="100" w:firstLine="576"/>
        <w:spacing w:after="0"/>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 standards, and who were determined at the investigators’ discretion to be generally in good health as determined by medical history, vital signs, and physical and clinical examination.</w:t>
      </w:r>
    </w:p>
    <w:p>
      <w:pPr>
        <w:spacing w:after="0" w:line="2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 decreased in AD subjects. ATH-1017 showed dose-dependent and consistent changes in gamma brain activity signals across all treated cohorts, consistent with the changes observed in non-clinical models.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2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15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15 below was excluded from analysis due to an inability to capture or analyze data as a result of technical issues such as electrode placement or subject movement. All AD subjects’ data were captured at all data points.</w:t>
      </w:r>
    </w:p>
    <w:p>
      <w:pPr>
        <w:spacing w:after="0" w:line="29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163195</wp:posOffset>
            </wp:positionV>
            <wp:extent cx="4612005" cy="17570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61200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16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146050</wp:posOffset>
            </wp:positionV>
            <wp:extent cx="4543425" cy="21170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4342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20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17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17.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146050</wp:posOffset>
            </wp:positionV>
            <wp:extent cx="3051810" cy="5060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518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99"/>
        <w:spacing w:after="0"/>
        <w:rPr>
          <w:sz w:val="20"/>
          <w:szCs w:val="20"/>
          <w:color w:val="auto"/>
        </w:rPr>
      </w:pPr>
      <w:r>
        <w:rPr>
          <w:rFonts w:ascii="Arial" w:cs="Arial" w:eastAsia="Arial" w:hAnsi="Arial"/>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151765</wp:posOffset>
            </wp:positionV>
            <wp:extent cx="4354830" cy="1697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5483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60" w:firstLine="576"/>
        <w:spacing w:after="0" w:line="24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26" w:lineRule="exact"/>
        <w:rPr>
          <w:sz w:val="20"/>
          <w:szCs w:val="20"/>
          <w:color w:val="auto"/>
        </w:rPr>
      </w:pPr>
    </w:p>
    <w:p>
      <w:pPr>
        <w:ind w:firstLine="576"/>
        <w:spacing w:after="0" w:line="251" w:lineRule="auto"/>
        <w:rPr>
          <w:sz w:val="20"/>
          <w:szCs w:val="20"/>
          <w:color w:val="auto"/>
        </w:rPr>
      </w:pPr>
      <w:r>
        <w:rPr>
          <w:rFonts w:ascii="Arial" w:cs="Arial" w:eastAsia="Arial" w:hAnsi="Arial"/>
          <w:sz w:val="17"/>
          <w:szCs w:val="17"/>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18-20.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Figure 18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283" w:lineRule="exact"/>
        <w:rPr>
          <w:sz w:val="20"/>
          <w:szCs w:val="20"/>
          <w:color w:val="auto"/>
        </w:rPr>
      </w:pPr>
    </w:p>
    <w:p>
      <w:pPr>
        <w:ind w:right="20" w:firstLine="576"/>
        <w:spacing w:after="0" w:line="267" w:lineRule="auto"/>
        <w:rPr>
          <w:sz w:val="20"/>
          <w:szCs w:val="20"/>
          <w:color w:val="auto"/>
        </w:rPr>
      </w:pPr>
      <w:r>
        <w:rPr>
          <w:rFonts w:ascii="Arial" w:cs="Arial" w:eastAsia="Arial" w:hAnsi="Arial"/>
          <w:sz w:val="18"/>
          <w:szCs w:val="18"/>
          <w:i w:val="1"/>
          <w:iCs w:val="1"/>
          <w:color w:val="auto"/>
        </w:rPr>
        <w:t xml:space="preserve">Figure 18.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113665</wp:posOffset>
            </wp:positionV>
            <wp:extent cx="5349240" cy="2177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77" w:lineRule="exact"/>
        <w:rPr>
          <w:sz w:val="20"/>
          <w:szCs w:val="20"/>
          <w:color w:val="auto"/>
        </w:rPr>
      </w:pPr>
    </w:p>
    <w:p>
      <w:pPr>
        <w:jc w:val="both"/>
        <w:ind w:firstLine="576"/>
        <w:spacing w:after="0" w:line="250" w:lineRule="auto"/>
        <w:rPr>
          <w:sz w:val="20"/>
          <w:szCs w:val="20"/>
          <w:color w:val="auto"/>
        </w:rPr>
      </w:pPr>
      <w:r>
        <w:rPr>
          <w:rFonts w:ascii="Arial" w:cs="Arial" w:eastAsia="Arial" w:hAnsi="Arial"/>
          <w:sz w:val="18"/>
          <w:szCs w:val="18"/>
          <w:i w:val="1"/>
          <w:iCs w:val="1"/>
          <w:color w:val="auto"/>
        </w:rPr>
        <w:t xml:space="preserve">Figure 19.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141605</wp:posOffset>
            </wp:positionV>
            <wp:extent cx="5117465" cy="2682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1746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0" w:firstLine="576"/>
        <w:spacing w:after="0" w:line="250" w:lineRule="auto"/>
        <w:rPr>
          <w:sz w:val="20"/>
          <w:szCs w:val="20"/>
          <w:color w:val="auto"/>
        </w:rPr>
      </w:pPr>
      <w:r>
        <w:rPr>
          <w:rFonts w:ascii="Arial" w:cs="Arial" w:eastAsia="Arial" w:hAnsi="Arial"/>
          <w:sz w:val="18"/>
          <w:szCs w:val="18"/>
          <w:i w:val="1"/>
          <w:iCs w:val="1"/>
          <w:color w:val="auto"/>
        </w:rPr>
        <w:t>Figure 20.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124460</wp:posOffset>
            </wp:positionV>
            <wp:extent cx="3848735" cy="30003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487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22"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recruited in the study, including 11 subjects with mild-to-moderate AD, who were assigned to treatment and control groups.</w:t>
      </w:r>
    </w:p>
    <w:p>
      <w:pPr>
        <w:spacing w:after="0" w:line="203"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202"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 easy to administer for patients and/or caregivers while being generally well tolerated. With the progression of neurodegenerative disorders, oral administration can become challenging as:</w:t>
      </w:r>
    </w:p>
    <w:p>
      <w:pPr>
        <w:spacing w:after="0" w:line="97" w:lineRule="exact"/>
        <w:rPr>
          <w:sz w:val="20"/>
          <w:szCs w:val="20"/>
          <w:color w:val="auto"/>
        </w:rPr>
      </w:pPr>
    </w:p>
    <w:p>
      <w:pPr>
        <w:ind w:left="1300" w:hanging="44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safe swallowing often becomes increasingly difficult;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potential resistance to care can also impact compliance.</w:t>
      </w:r>
    </w:p>
    <w:p>
      <w:pPr>
        <w:spacing w:after="0" w:line="22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22" w:lineRule="exact"/>
        <w:rPr>
          <w:sz w:val="20"/>
          <w:szCs w:val="20"/>
          <w:color w:val="auto"/>
        </w:rPr>
      </w:pPr>
    </w:p>
    <w:p>
      <w:pPr>
        <w:jc w:val="both"/>
        <w:ind w:right="100" w:firstLine="576"/>
        <w:spacing w:after="0"/>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2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29" w:name="page130"/>
    <w:bookmarkEnd w:id="12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1017 (low and high) in subjects with mild-to-moderate AD compared to placebo. The clinical trial is intended to enroll approximately 240 to 300 AD subjects. Subjects enrolled in the clinical trial will have a severity range within the conventional boundaries for mild-to-moderate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203" w:lineRule="exact"/>
        <w:rPr>
          <w:sz w:val="20"/>
          <w:szCs w:val="20"/>
          <w:color w:val="auto"/>
        </w:rPr>
      </w:pPr>
    </w:p>
    <w:p>
      <w:pPr>
        <w:jc w:val="both"/>
        <w:ind w:right="80" w:firstLine="576"/>
        <w:spacing w:after="0"/>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207" w:lineRule="exact"/>
        <w:rPr>
          <w:sz w:val="20"/>
          <w:szCs w:val="20"/>
          <w:color w:val="auto"/>
        </w:rPr>
      </w:pPr>
    </w:p>
    <w:p>
      <w:pPr>
        <w:ind w:right="300" w:firstLine="576"/>
        <w:spacing w:after="0"/>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203" w:lineRule="exact"/>
        <w:rPr>
          <w:sz w:val="20"/>
          <w:szCs w:val="20"/>
          <w:color w:val="auto"/>
        </w:rPr>
      </w:pPr>
    </w:p>
    <w:p>
      <w:pPr>
        <w:ind w:right="680" w:firstLine="576"/>
        <w:spacing w:after="0" w:line="24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97" w:lineRule="exact"/>
        <w:rPr>
          <w:sz w:val="20"/>
          <w:szCs w:val="20"/>
          <w:color w:val="auto"/>
        </w:rPr>
      </w:pPr>
    </w:p>
    <w:p>
      <w:pPr>
        <w:ind w:right="800" w:firstLine="576"/>
        <w:spacing w:after="0"/>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22" w:lineRule="exact"/>
        <w:rPr>
          <w:sz w:val="20"/>
          <w:szCs w:val="20"/>
          <w:color w:val="auto"/>
        </w:rPr>
      </w:pPr>
    </w:p>
    <w:p>
      <w:pPr>
        <w:ind w:right="20" w:firstLine="576"/>
        <w:spacing w:after="0" w:line="206" w:lineRule="exact"/>
        <w:rPr>
          <w:sz w:val="20"/>
          <w:szCs w:val="20"/>
          <w:color w:val="auto"/>
        </w:rPr>
      </w:pPr>
      <w:r>
        <w:rPr>
          <w:rFonts w:ascii="Arial" w:cs="Arial" w:eastAsia="Arial" w:hAnsi="Arial"/>
          <w:sz w:val="18"/>
          <w:szCs w:val="18"/>
          <w:color w:val="auto"/>
        </w:rPr>
        <w:t>In addition to LIFT-AD, in November 2020 we initiated ACT</w:t>
      </w:r>
      <w:r>
        <w:rPr>
          <w:rFonts w:ascii="MS PGothic" w:cs="MS PGothic" w:eastAsia="MS PGothic" w:hAnsi="MS PGothic"/>
          <w:sz w:val="18"/>
          <w:szCs w:val="18"/>
          <w:color w:val="auto"/>
        </w:rPr>
        <w:t>‑</w:t>
      </w:r>
      <w:r>
        <w:rPr>
          <w:rFonts w:ascii="Arial" w:cs="Arial" w:eastAsia="Arial" w:hAnsi="Arial"/>
          <w:sz w:val="18"/>
          <w:szCs w:val="18"/>
          <w:color w:val="auto"/>
        </w:rPr>
        <w:t>AD, a randomized, placebo-controlled P300 Phase 2 clinical trial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0" w:name="page131"/>
    <w:bookmarkEnd w:id="130"/>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04" w:lineRule="exact"/>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do not meet our expectations. In November 2020, we initiated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in mild-to-moderate AD to better understand the overall effects of ATH-1017 on working memory processing speed and cognitive measures, with topline results expected by early 2022.</w:t>
      </w:r>
    </w:p>
    <w:p>
      <w:pPr>
        <w:spacing w:after="0" w:line="29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22"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2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1 through 4, inclusive, who will receive high and low doses of ATH-1017 versus placebo. Endpoints will include Parkinson’s Disease-Cognitive Rating Scale, or PD-CRS.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8"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 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20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21. Changes in gamma brain activity signals are highly translatable which helped guide our selection of the clinical doses.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1" w:name="page132"/>
    <w:bookmarkEnd w:id="131"/>
    <w:p>
      <w:pPr>
        <w:jc w:val="center"/>
        <w:ind w:right="-5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19"/>
        <w:spacing w:after="0"/>
        <w:rPr>
          <w:sz w:val="20"/>
          <w:szCs w:val="20"/>
          <w:color w:val="auto"/>
        </w:rPr>
      </w:pPr>
      <w:r>
        <w:rPr>
          <w:rFonts w:ascii="Arial" w:cs="Arial" w:eastAsia="Arial" w:hAnsi="Arial"/>
          <w:sz w:val="18"/>
          <w:szCs w:val="18"/>
          <w:color w:val="auto"/>
        </w:rPr>
        <w:t>Pursuant to 17 C.F.R. Section 200.83</w:t>
      </w:r>
    </w:p>
    <w:p>
      <w:pPr>
        <w:spacing w:after="0" w:line="221" w:lineRule="exact"/>
        <w:rPr>
          <w:sz w:val="20"/>
          <w:szCs w:val="20"/>
          <w:color w:val="auto"/>
        </w:rPr>
      </w:pPr>
    </w:p>
    <w:p>
      <w:pPr>
        <w:ind w:right="580" w:firstLine="576"/>
        <w:spacing w:after="0" w:line="267" w:lineRule="auto"/>
        <w:rPr>
          <w:sz w:val="20"/>
          <w:szCs w:val="20"/>
          <w:color w:val="auto"/>
        </w:rPr>
      </w:pPr>
      <w:r>
        <w:rPr>
          <w:rFonts w:ascii="Arial" w:cs="Arial" w:eastAsia="Arial" w:hAnsi="Arial"/>
          <w:sz w:val="18"/>
          <w:szCs w:val="18"/>
          <w:i w:val="1"/>
          <w:iCs w:val="1"/>
          <w:color w:val="auto"/>
        </w:rPr>
        <w:t>Figure 21.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140"/>
          </w:cols>
          <w:pgMar w:left="320" w:top="134" w:right="439" w:bottom="1440" w:gutter="0" w:footer="0" w:header="0"/>
        </w:sectPr>
      </w:pPr>
    </w:p>
    <w:p>
      <w:pPr>
        <w:spacing w:after="0" w:line="156" w:lineRule="exact"/>
        <w:rPr>
          <w:sz w:val="20"/>
          <w:szCs w:val="20"/>
          <w:color w:val="auto"/>
        </w:rPr>
      </w:pPr>
    </w:p>
    <w:p>
      <w:pPr>
        <w:jc w:val="center"/>
        <w:ind w:left="60"/>
        <w:spacing w:after="0" w:line="271"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111760</wp:posOffset>
            </wp:positionV>
            <wp:extent cx="2245995" cy="1920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45995" cy="1920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100"/>
        <w:spacing w:after="0" w:line="271"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111760</wp:posOffset>
            </wp:positionV>
            <wp:extent cx="2880360" cy="19030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80360" cy="1903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6000"/>
          </w:cols>
          <w:pgMar w:left="320" w:top="13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26" w:lineRule="exact"/>
        <w:rPr>
          <w:sz w:val="20"/>
          <w:szCs w:val="20"/>
          <w:color w:val="auto"/>
        </w:rPr>
      </w:pPr>
    </w:p>
    <w:p>
      <w:pPr>
        <w:jc w:val="both"/>
        <w:ind w:right="160" w:firstLine="576"/>
        <w:spacing w:after="0" w:line="238"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26" w:lineRule="exact"/>
        <w:rPr>
          <w:sz w:val="20"/>
          <w:szCs w:val="20"/>
          <w:color w:val="auto"/>
        </w:rPr>
      </w:pPr>
    </w:p>
    <w:p>
      <w:pPr>
        <w:jc w:val="both"/>
        <w:ind w:right="320" w:firstLine="576"/>
        <w:spacing w:after="0"/>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77" w:lineRule="exact"/>
        <w:rPr>
          <w:sz w:val="20"/>
          <w:szCs w:val="20"/>
          <w:color w:val="auto"/>
        </w:rPr>
      </w:pPr>
    </w:p>
    <w:p>
      <w:pPr>
        <w:ind w:left="1300" w:right="60" w:hanging="442"/>
        <w:spacing w:after="0" w:line="250"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68" w:lineRule="exact"/>
        <w:rPr>
          <w:rFonts w:ascii="Arial" w:cs="Arial" w:eastAsia="Arial" w:hAnsi="Arial"/>
          <w:sz w:val="18"/>
          <w:szCs w:val="18"/>
          <w:color w:val="auto"/>
        </w:rPr>
      </w:pPr>
    </w:p>
    <w:p>
      <w:pPr>
        <w:ind w:left="1300" w:right="60" w:hanging="442"/>
        <w:spacing w:after="0" w:line="267"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52" w:lineRule="exact"/>
        <w:rPr>
          <w:rFonts w:ascii="Arial" w:cs="Arial" w:eastAsia="Arial" w:hAnsi="Arial"/>
          <w:sz w:val="18"/>
          <w:szCs w:val="18"/>
          <w:color w:val="auto"/>
        </w:rPr>
      </w:pPr>
    </w:p>
    <w:p>
      <w:pPr>
        <w:ind w:left="1300" w:hanging="442"/>
        <w:spacing w:after="0" w:line="250"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95" w:lineRule="exact"/>
        <w:rPr>
          <w:sz w:val="20"/>
          <w:szCs w:val="20"/>
          <w:color w:val="auto"/>
        </w:rPr>
      </w:pPr>
    </w:p>
    <w:p>
      <w:pPr>
        <w:ind w:right="340" w:firstLine="576"/>
        <w:spacing w:after="0" w:line="24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type w:val="continuous"/>
        </w:sectPr>
      </w:pPr>
    </w:p>
    <w:bookmarkStart w:id="132" w:name="page133"/>
    <w:bookmarkEnd w:id="13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86" w:lineRule="exact"/>
        <w:rPr>
          <w:sz w:val="20"/>
          <w:szCs w:val="20"/>
          <w:color w:val="auto"/>
        </w:rPr>
      </w:pPr>
    </w:p>
    <w:p>
      <w:pPr>
        <w:ind w:left="800" w:hanging="225"/>
        <w:spacing w:after="0" w:line="250"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68" w:lineRule="exact"/>
        <w:rPr>
          <w:rFonts w:ascii="Arial" w:cs="Arial" w:eastAsia="Arial" w:hAnsi="Arial"/>
          <w:sz w:val="18"/>
          <w:szCs w:val="18"/>
          <w:color w:val="auto"/>
        </w:rPr>
      </w:pPr>
    </w:p>
    <w:p>
      <w:pPr>
        <w:ind w:left="800" w:right="40" w:hanging="225"/>
        <w:spacing w:after="0" w:line="250"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 characteristics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for drug-like characteristics with medicinal chemistry and structure-activity relationship studies to produce candidates ready for further development.</w:t>
      </w:r>
    </w:p>
    <w:p>
      <w:pPr>
        <w:spacing w:after="0" w:line="68" w:lineRule="exact"/>
        <w:rPr>
          <w:rFonts w:ascii="Arial" w:cs="Arial" w:eastAsia="Arial" w:hAnsi="Arial"/>
          <w:sz w:val="18"/>
          <w:szCs w:val="18"/>
          <w:color w:val="auto"/>
        </w:rPr>
      </w:pPr>
    </w:p>
    <w:p>
      <w:pPr>
        <w:jc w:val="both"/>
        <w:ind w:left="800" w:right="800" w:hanging="225"/>
        <w:spacing w:after="0" w:line="296"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157"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indications, as well as in peripheral indications such as peripheral neuropathy. We are also actively exploring the potential of expanding the focus of our discovery engine to multiple molecular targets relevant to nervous system disorders.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3" w:name="page134"/>
    <w:bookmarkEnd w:id="13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10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Neuropsychiatric Program (ATH-1019 / ATH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1020)</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currently developing ATH compounds for neuropsychiatric conditions. The HGF/MET system is relevant for multiple neuropsychiatric indications including depression, anxiety and schizophrenia, as well as cognitive impairment often associated with these conditions.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w:t>
      </w:r>
    </w:p>
    <w:p>
      <w:pPr>
        <w:spacing w:after="0" w:line="97" w:lineRule="exact"/>
        <w:rPr>
          <w:sz w:val="20"/>
          <w:szCs w:val="20"/>
          <w:color w:val="auto"/>
        </w:rPr>
      </w:pPr>
    </w:p>
    <w:p>
      <w:pPr>
        <w:ind w:right="20" w:firstLine="576"/>
        <w:spacing w:after="0" w:line="205" w:lineRule="exact"/>
        <w:rPr>
          <w:sz w:val="20"/>
          <w:szCs w:val="20"/>
          <w:color w:val="auto"/>
        </w:rPr>
      </w:pPr>
      <w:r>
        <w:rPr>
          <w:rFonts w:ascii="Arial" w:cs="Arial" w:eastAsia="Arial" w:hAnsi="Arial"/>
          <w:sz w:val="18"/>
          <w:szCs w:val="18"/>
          <w:color w:val="auto"/>
        </w:rPr>
        <w:t>Our lead product candidates for the neuropsychiatric program are ATH-1019 and ATH</w:t>
      </w:r>
      <w:r>
        <w:rPr>
          <w:rFonts w:ascii="MS PGothic" w:cs="MS PGothic" w:eastAsia="MS PGothic" w:hAnsi="MS PGothic"/>
          <w:sz w:val="18"/>
          <w:szCs w:val="18"/>
          <w:color w:val="auto"/>
        </w:rPr>
        <w:t>‑</w:t>
      </w:r>
      <w:r>
        <w:rPr>
          <w:rFonts w:ascii="Arial" w:cs="Arial" w:eastAsia="Arial" w:hAnsi="Arial"/>
          <w:sz w:val="18"/>
          <w:szCs w:val="18"/>
          <w:color w:val="auto"/>
        </w:rPr>
        <w:t>1020. ATH-1020 is a new compound that recently was moved from the discovery stage to the development stage. ATH-1019 and ATH-1020 are novel, small molecule compounds designed to be orally available, to activate the HGF/MET system, and to distribute to the CNS. In vivo testing has demonstrated that following oral delivery, ATH</w:t>
      </w:r>
      <w:r>
        <w:rPr>
          <w:rFonts w:ascii="MS PGothic" w:cs="MS PGothic" w:eastAsia="MS PGothic" w:hAnsi="MS PGothic"/>
          <w:sz w:val="18"/>
          <w:szCs w:val="18"/>
          <w:color w:val="auto"/>
        </w:rPr>
        <w:t>‑</w:t>
      </w:r>
      <w:r>
        <w:rPr>
          <w:rFonts w:ascii="Arial" w:cs="Arial" w:eastAsia="Arial" w:hAnsi="Arial"/>
          <w:sz w:val="18"/>
          <w:szCs w:val="18"/>
          <w:color w:val="auto"/>
        </w:rPr>
        <w:t>1019 and ATH</w:t>
      </w:r>
      <w:r>
        <w:rPr>
          <w:rFonts w:ascii="MS PGothic" w:cs="MS PGothic" w:eastAsia="MS PGothic" w:hAnsi="MS PGothic"/>
          <w:sz w:val="18"/>
          <w:szCs w:val="18"/>
          <w:color w:val="auto"/>
        </w:rPr>
        <w:t>‑</w:t>
      </w:r>
      <w:r>
        <w:rPr>
          <w:rFonts w:ascii="Arial" w:cs="Arial" w:eastAsia="Arial" w:hAnsi="Arial"/>
          <w:sz w:val="18"/>
          <w:szCs w:val="18"/>
          <w:color w:val="auto"/>
        </w:rPr>
        <w:t>1020 distribute to the brain and are neuroactive in animals, and have demonstrated anti-depressant effects in the forced swim model of depression, as shown in Figure 22. ATH-1019 has also been shown to improve cognitive function in the rat scopolamine amnesia model of dementia, and testing of ATH-1020 is ongoing. ATH-1019 and ATH-1020 are currently in IND-enabling studies with IND submission targeted by the end of 2021.</w:t>
      </w:r>
    </w:p>
    <w:p>
      <w:pPr>
        <w:spacing w:after="0" w:line="293"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i w:val="1"/>
          <w:iCs w:val="1"/>
          <w:color w:val="auto"/>
        </w:rPr>
        <w:t xml:space="preserve">Figure 22. ATH-1019 and ATH-1020 Improve Depressive-like Behaviors in Rats in the Forced Swim Model of Depression. </w:t>
      </w:r>
      <w:r>
        <w:rPr>
          <w:rFonts w:ascii="Arial" w:cs="Arial" w:eastAsia="Arial" w:hAnsi="Arial"/>
          <w:sz w:val="18"/>
          <w:szCs w:val="18"/>
          <w:color w:val="auto"/>
        </w:rPr>
        <w:t>Data show</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frequency of behaviors normalized to vehicle for eight rats per group. ATH-1019 and ATH-1020 significantly improved performance in the forced swim test, by reducing immobility, a depressive-like behavior, and increasing swimming, commonly interpreted as an antidepressant effect, compared to vehicle (*p&lt;0.05).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58420</wp:posOffset>
            </wp:positionV>
            <wp:extent cx="5349240" cy="19627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firstLine="569"/>
        <w:spacing w:after="0" w:line="246" w:lineRule="auto"/>
        <w:rPr>
          <w:sz w:val="20"/>
          <w:szCs w:val="20"/>
          <w:color w:val="auto"/>
        </w:rPr>
      </w:pPr>
      <w:r>
        <w:rPr>
          <w:rFonts w:ascii="Arial" w:cs="Arial" w:eastAsia="Arial" w:hAnsi="Arial"/>
          <w:sz w:val="18"/>
          <w:szCs w:val="18"/>
          <w:color w:val="auto"/>
        </w:rPr>
        <w:t>We believe the stimulating activity of ATH compounds on the HGF/MET system is well-suited to address neuropsychiatric conditions because:</w:t>
      </w:r>
    </w:p>
    <w:p>
      <w:pPr>
        <w:spacing w:after="0" w:line="89" w:lineRule="exact"/>
        <w:rPr>
          <w:sz w:val="20"/>
          <w:szCs w:val="20"/>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4" w:name="page135"/>
    <w:bookmarkEnd w:id="13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ind w:firstLine="576"/>
        <w:spacing w:after="0" w:line="219" w:lineRule="exact"/>
        <w:rPr>
          <w:sz w:val="20"/>
          <w:szCs w:val="20"/>
          <w:color w:val="auto"/>
        </w:rPr>
      </w:pPr>
      <w:r>
        <w:rPr>
          <w:rFonts w:ascii="Arial" w:cs="Arial" w:eastAsia="Arial" w:hAnsi="Arial"/>
          <w:sz w:val="18"/>
          <w:szCs w:val="18"/>
          <w:i w:val="1"/>
          <w:iCs w:val="1"/>
          <w:color w:val="auto"/>
        </w:rPr>
        <w:t>Figure 23. ATH-1019 / ATH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1020 Have the Potential to Rescue HGF/MET Signaling and Promote Activity to Address Neuropsychiatric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128905</wp:posOffset>
            </wp:positionV>
            <wp:extent cx="5006340" cy="3608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0634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576"/>
        <w:spacing w:after="0" w:line="204" w:lineRule="exact"/>
        <w:rPr>
          <w:sz w:val="20"/>
          <w:szCs w:val="20"/>
          <w:color w:val="auto"/>
        </w:rPr>
      </w:pPr>
      <w:r>
        <w:rPr>
          <w:rFonts w:ascii="Arial" w:cs="Arial" w:eastAsia="Arial" w:hAnsi="Arial"/>
          <w:sz w:val="18"/>
          <w:szCs w:val="18"/>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Our HGF activator for the treatment of AD, ATH-1017,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and ATH</w:t>
      </w:r>
      <w:r>
        <w:rPr>
          <w:rFonts w:ascii="MS PGothic" w:cs="MS PGothic" w:eastAsia="MS PGothic" w:hAnsi="MS PGothic"/>
          <w:sz w:val="18"/>
          <w:szCs w:val="18"/>
          <w:color w:val="auto"/>
        </w:rPr>
        <w:t>‑</w:t>
      </w:r>
      <w:r>
        <w:rPr>
          <w:rFonts w:ascii="Arial" w:cs="Arial" w:eastAsia="Arial" w:hAnsi="Arial"/>
          <w:sz w:val="18"/>
          <w:szCs w:val="18"/>
          <w:color w:val="auto"/>
        </w:rPr>
        <w:t>1020 to further development for neuropsychiatric indications and are targeting an IND submission to the FDA by the end of 2021. Late-stage non-clinical development work and potentially early clinical studies will support decisions on selection of the lead product candidate and indication moving forward.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Peripheral Indication Program (ATH-1018)</w:t>
      </w:r>
    </w:p>
    <w:p>
      <w:pPr>
        <w:spacing w:after="0" w:line="126"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We have initiated a discovery program to evaluate ATH compounds for peripheral nervous system disorders, such as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peripheral nervous system disorders by promoting the regenerative power of the HGF/MET system with a small molecule therapy. Consideration of HGF/MET activators as a therapeutic approach for peripheral nervous system disorders including neuropathy was initiated following review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studies demonstrating that HGF/MET activating treatment repaired peripheral nerve injury and reduced neuropathy.</w:t>
      </w:r>
    </w:p>
    <w:p>
      <w:pPr>
        <w:spacing w:after="0" w:line="212" w:lineRule="exact"/>
        <w:rPr>
          <w:sz w:val="20"/>
          <w:szCs w:val="20"/>
          <w:color w:val="auto"/>
        </w:rPr>
      </w:pPr>
    </w:p>
    <w:p>
      <w:pPr>
        <w:ind w:right="580" w:firstLine="576"/>
        <w:spacing w:after="0" w:line="24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peripheral nervous system disorders including neuropathy given that HGF/MET signaling has been shown to:</w:t>
      </w:r>
    </w:p>
    <w:p>
      <w:pPr>
        <w:spacing w:after="0" w:line="89" w:lineRule="exact"/>
        <w:rPr>
          <w:sz w:val="20"/>
          <w:szCs w:val="20"/>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protect nerve cells from damage and death;</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26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peripheral nervous system disorders is supported by both preclinical and clinical research, and we are evaluating the next generation oral ATH compounds for peripheral activity. We are advancing ATH-1018 to further discovery and development for peripheral nervous system indications and are targeting an IND submission to the FDA by the end of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26"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26" w:lineRule="exact"/>
        <w:rPr>
          <w:sz w:val="20"/>
          <w:szCs w:val="20"/>
          <w:color w:val="auto"/>
        </w:rPr>
      </w:pPr>
    </w:p>
    <w:p>
      <w:pPr>
        <w:ind w:right="240" w:firstLine="576"/>
        <w:spacing w:after="0" w:line="238"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202" w:lineRule="exact"/>
        <w:rPr>
          <w:sz w:val="20"/>
          <w:szCs w:val="20"/>
          <w:color w:val="auto"/>
        </w:rPr>
      </w:pPr>
    </w:p>
    <w:p>
      <w:pPr>
        <w:ind w:right="280" w:firstLine="576"/>
        <w:spacing w:after="0" w:line="23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104" w:lineRule="exact"/>
        <w:rPr>
          <w:sz w:val="20"/>
          <w:szCs w:val="20"/>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add-on therapy for patients on existing therapies;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5"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205" w:lineRule="exact"/>
        <w:rPr>
          <w:sz w:val="20"/>
          <w:szCs w:val="20"/>
          <w:color w:val="auto"/>
        </w:rPr>
      </w:pPr>
    </w:p>
    <w:p>
      <w:pPr>
        <w:ind w:firstLine="576"/>
        <w:spacing w:after="0" w:line="206" w:lineRule="exact"/>
        <w:rPr>
          <w:sz w:val="20"/>
          <w:szCs w:val="20"/>
          <w:color w:val="auto"/>
        </w:rPr>
      </w:pPr>
      <w:r>
        <w:rPr>
          <w:rFonts w:ascii="Arial" w:cs="Arial" w:eastAsia="Arial" w:hAnsi="Arial"/>
          <w:sz w:val="18"/>
          <w:szCs w:val="18"/>
          <w:color w:val="auto"/>
        </w:rPr>
        <w:t>We have enough ATH-1017 supply to begin our LIFT-AD and our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202"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37" w:name="page138"/>
    <w:bookmarkEnd w:id="137"/>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97"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 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204"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20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197"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97"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As of December 31, 2020, our patent portfolio consisted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97" w:lineRule="exact"/>
        <w:rPr>
          <w:sz w:val="20"/>
          <w:szCs w:val="20"/>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ATH-1017 and related compounds, including but not limited to ATH-1019 and ATH-1020;</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methods of using ATH-1017;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methods of using related compounds, including but not limited to ATH-1019 and ATH-1020.</w:t>
      </w:r>
    </w:p>
    <w:p>
      <w:pPr>
        <w:spacing w:after="0" w:line="225"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20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680" w:firstLine="576"/>
        <w:spacing w:after="0" w:line="24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8"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70"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We do not expect WSU’s joint ownership of the patent with Pacific Northwest Biotechnology, Inc. will materially affect our license of such patent or the development of any of our product candidates to which the patent relates.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initiation of our first Phase 2 clinical trial in September 2020 triggered a $50,000 liability to WSU.</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also be obligated to pay to WSU the following if the related milestones are reached:</w:t>
      </w:r>
    </w:p>
    <w:p>
      <w:pPr>
        <w:spacing w:after="0" w:line="104" w:lineRule="exact"/>
        <w:rPr>
          <w:sz w:val="20"/>
          <w:szCs w:val="20"/>
          <w:color w:val="auto"/>
        </w:rPr>
      </w:pPr>
    </w:p>
    <w:p>
      <w:pPr>
        <w:ind w:left="1300" w:right="200" w:hanging="442"/>
        <w:spacing w:after="0" w:line="246"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20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prospectus,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the Company’s initial public offering in September 2020 was a triggering event under the terms of the grant and the liability was remeasured to the pay-off amount of $1.5 million as of September 30, 2020.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2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In December 2020, we accepted a grant from the National Institutes of Health, or NIH, for Alzheimer’s research in the amount of approximately $7.8 million with the potential for an additional $7.4 million up to an aggregate of $15.2 million, subject to the availability of funds and satisfactory progress of the research. As this grant involves federally funded research, per the Bayh-Dole Act, we will be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prospectus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20" w:hanging="442"/>
        <w:spacing w:after="0" w:line="246"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88"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94" w:lineRule="exact"/>
        <w:rPr>
          <w:rFonts w:ascii="Arial" w:cs="Arial" w:eastAsia="Arial" w:hAnsi="Arial"/>
          <w:sz w:val="18"/>
          <w:szCs w:val="18"/>
          <w:color w:val="auto"/>
        </w:rPr>
      </w:pPr>
    </w:p>
    <w:p>
      <w:pPr>
        <w:ind w:left="1300" w:right="200" w:hanging="442"/>
        <w:spacing w:after="0" w:line="246"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86" w:lineRule="exact"/>
        <w:rPr>
          <w:sz w:val="20"/>
          <w:szCs w:val="20"/>
          <w:color w:val="auto"/>
        </w:rPr>
      </w:pPr>
    </w:p>
    <w:p>
      <w:pPr>
        <w:ind w:left="1300" w:right="100" w:hanging="442"/>
        <w:spacing w:after="0" w:line="260" w:lineRule="auto"/>
        <w:tabs>
          <w:tab w:leader="none" w:pos="130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61" w:lineRule="exact"/>
        <w:rPr>
          <w:rFonts w:ascii="Arial" w:cs="Arial" w:eastAsia="Arial" w:hAnsi="Arial"/>
          <w:sz w:val="17"/>
          <w:szCs w:val="17"/>
          <w:color w:val="auto"/>
        </w:rPr>
      </w:pPr>
    </w:p>
    <w:p>
      <w:pPr>
        <w:ind w:left="1300" w:right="320" w:hanging="442"/>
        <w:spacing w:after="0" w:line="245"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2" w:lineRule="exact"/>
        <w:rPr>
          <w:rFonts w:ascii="Arial" w:cs="Arial" w:eastAsia="Arial" w:hAnsi="Arial"/>
          <w:sz w:val="18"/>
          <w:szCs w:val="18"/>
          <w:color w:val="auto"/>
        </w:rPr>
      </w:pPr>
    </w:p>
    <w:p>
      <w:pPr>
        <w:ind w:left="1300" w:hanging="442"/>
        <w:spacing w:after="0" w:line="245"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9"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20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205"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205"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43" w:name="page144"/>
    <w:bookmarkEnd w:id="14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 xml:space="preserve">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26" w:lineRule="exact"/>
        <w:rPr>
          <w:sz w:val="20"/>
          <w:szCs w:val="20"/>
          <w:color w:val="auto"/>
        </w:rPr>
      </w:pPr>
    </w:p>
    <w:p>
      <w:pPr>
        <w:ind w:right="220" w:firstLine="576"/>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207"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4" w:name="page145"/>
    <w:bookmarkEnd w:id="14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05" w:lineRule="exact"/>
        <w:rPr>
          <w:sz w:val="20"/>
          <w:szCs w:val="20"/>
          <w:color w:val="auto"/>
        </w:rPr>
      </w:pPr>
    </w:p>
    <w:p>
      <w:pPr>
        <w:ind w:right="200" w:firstLine="576"/>
        <w:spacing w:after="0" w:line="237"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203" w:lineRule="exact"/>
        <w:rPr>
          <w:sz w:val="20"/>
          <w:szCs w:val="20"/>
          <w:color w:val="auto"/>
        </w:rPr>
      </w:pPr>
    </w:p>
    <w:p>
      <w:pPr>
        <w:ind w:right="120" w:firstLine="576"/>
        <w:spacing w:after="0" w:line="236"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20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203"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7" w:lineRule="exact"/>
        <w:rPr>
          <w:sz w:val="20"/>
          <w:szCs w:val="20"/>
          <w:color w:val="auto"/>
        </w:rPr>
      </w:pPr>
    </w:p>
    <w:p>
      <w:pPr>
        <w:ind w:left="1300" w:right="40" w:hanging="442"/>
        <w:spacing w:after="0" w:line="246"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clinical holds on post-approval or Phase IV clinical studies, if applicable;</w:t>
      </w:r>
    </w:p>
    <w:p>
      <w:pPr>
        <w:spacing w:after="0" w:line="117" w:lineRule="exact"/>
        <w:rPr>
          <w:rFonts w:ascii="Arial" w:cs="Arial" w:eastAsia="Arial" w:hAnsi="Arial"/>
          <w:sz w:val="18"/>
          <w:szCs w:val="18"/>
          <w:color w:val="auto"/>
        </w:rPr>
      </w:pPr>
    </w:p>
    <w:p>
      <w:pPr>
        <w:ind w:left="1300" w:right="80" w:hanging="442"/>
        <w:spacing w:after="0" w:line="246"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300" w:right="660" w:hanging="442"/>
        <w:spacing w:after="0" w:line="246"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7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208" w:lineRule="exact"/>
        <w:rPr>
          <w:sz w:val="20"/>
          <w:szCs w:val="20"/>
          <w:color w:val="auto"/>
        </w:rPr>
      </w:pPr>
    </w:p>
    <w:p>
      <w:pPr>
        <w:jc w:val="both"/>
        <w:ind w:right="440" w:firstLine="576"/>
        <w:spacing w:after="0" w:line="238"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34" w:right="41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213"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208"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48" w:name="page149"/>
    <w:bookmarkEnd w:id="14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5"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204" w:lineRule="exact"/>
        <w:rPr>
          <w:sz w:val="20"/>
          <w:szCs w:val="20"/>
          <w:color w:val="auto"/>
        </w:rPr>
      </w:pPr>
    </w:p>
    <w:p>
      <w:pPr>
        <w:ind w:right="60" w:firstLine="576"/>
        <w:spacing w:after="0" w:line="251" w:lineRule="auto"/>
        <w:rPr>
          <w:sz w:val="20"/>
          <w:szCs w:val="20"/>
          <w:color w:val="auto"/>
        </w:rPr>
      </w:pPr>
      <w:r>
        <w:rPr>
          <w:rFonts w:ascii="Arial" w:cs="Arial" w:eastAsia="Arial" w:hAnsi="Arial"/>
          <w:sz w:val="17"/>
          <w:szCs w:val="17"/>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49" w:name="page150"/>
    <w:bookmarkEnd w:id="14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individual mandate was unconstitutional and remanded the case back to the District Court to determine whether the remaining provisions of the ACA are invalid as well. On March 2, 2020, the U.S. Supreme Court granted the petitions for writs of certiorari to review the case and held oral arguments in November 2020,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202"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2021,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As of September 30, 2020, we had 22 employees, 20 of whom were full-time and nine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corporate headquarters is located in Bothell, Washington, where we currently lease approximately 11,163 square feet of laboratory and office space. This lease expires in August 2027. In July 2020, we entered into an operating lease to rent two additional suites in Bothell, Washington with 6,169 and 1,994 square feet. The lease terms for these suites commence on the date that the landlord delivers the premises to us for construction of certain tenant improvements. Rent obligations for these suites begin four months thereafter, and the leases expire in August 2027. We also lease approximately 1,270 square feet of laboratory and office space in Seattle, Washington, pursuant to a lease expiring in June 2021. We believe these facilities will be adequate for the foreseeable future and that suitable additional or substitute space will be available as and when needed.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right="360" w:firstLine="576"/>
        <w:spacing w:after="0" w:line="23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51" w:name="page152"/>
    <w:bookmarkEnd w:id="15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88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80" w:type="dxa"/>
            <w:vAlign w:val="bottom"/>
            <w:tcBorders>
              <w:top w:val="single" w:sz="8" w:color="auto"/>
            </w:tcBorders>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4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78</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58</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74" w:lineRule="exact"/>
        <w:rPr>
          <w:sz w:val="20"/>
          <w:szCs w:val="20"/>
          <w:color w:val="auto"/>
        </w:rPr>
      </w:pPr>
    </w:p>
    <w:p>
      <w:pPr>
        <w:ind w:left="480" w:hanging="472"/>
        <w:spacing w:after="0"/>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ind w:right="20" w:firstLine="576"/>
        <w:spacing w:after="0"/>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8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91" w:lineRule="exact"/>
        <w:rPr>
          <w:sz w:val="20"/>
          <w:szCs w:val="20"/>
          <w:color w:val="auto"/>
        </w:rPr>
      </w:pPr>
    </w:p>
    <w:p>
      <w:pPr>
        <w:ind w:right="220" w:firstLine="576"/>
        <w:spacing w:after="0" w:line="250"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2" w:name="page153"/>
    <w:bookmarkEnd w:id="15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8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since April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86" w:lineRule="exact"/>
        <w:rPr>
          <w:sz w:val="20"/>
          <w:szCs w:val="20"/>
          <w:color w:val="auto"/>
        </w:rPr>
      </w:pPr>
    </w:p>
    <w:p>
      <w:pPr>
        <w:ind w:right="20" w:firstLine="576"/>
        <w:spacing w:after="0"/>
        <w:rPr>
          <w:sz w:val="20"/>
          <w:szCs w:val="20"/>
          <w:color w:val="auto"/>
        </w:rPr>
      </w:pPr>
      <w:r>
        <w:rPr>
          <w:rFonts w:ascii="Arial" w:cs="Arial" w:eastAsia="Arial" w:hAnsi="Arial"/>
          <w:sz w:val="18"/>
          <w:szCs w:val="18"/>
          <w:i w:val="1"/>
          <w:iCs w:val="1"/>
          <w:color w:val="auto"/>
        </w:rPr>
        <w:t>Kevin Church, Ph.D.</w:t>
      </w:r>
      <w:r>
        <w:rPr>
          <w:rFonts w:ascii="Arial" w:cs="Arial" w:eastAsia="Arial" w:hAnsi="Arial"/>
          <w:sz w:val="18"/>
          <w:szCs w:val="18"/>
          <w:color w:val="auto"/>
        </w:rPr>
        <w:t>, 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8" w:lineRule="exact"/>
        <w:rPr>
          <w:sz w:val="20"/>
          <w:szCs w:val="20"/>
          <w:color w:val="auto"/>
        </w:rPr>
      </w:pPr>
    </w:p>
    <w:p>
      <w:pPr>
        <w:ind w:right="20" w:firstLine="576"/>
        <w:spacing w:after="0" w:line="254" w:lineRule="auto"/>
        <w:rPr>
          <w:sz w:val="20"/>
          <w:szCs w:val="20"/>
          <w:color w:val="auto"/>
        </w:rPr>
      </w:pPr>
      <w:r>
        <w:rPr>
          <w:rFonts w:ascii="Arial" w:cs="Arial" w:eastAsia="Arial" w:hAnsi="Arial"/>
          <w:sz w:val="17"/>
          <w:szCs w:val="17"/>
          <w:i w:val="1"/>
          <w:iCs w:val="1"/>
          <w:color w:val="auto"/>
        </w:rPr>
        <w:t>Tadataka Yamada, M.D.</w:t>
      </w:r>
      <w:r>
        <w:rPr>
          <w:rFonts w:ascii="Arial" w:cs="Arial" w:eastAsia="Arial" w:hAnsi="Arial"/>
          <w:sz w:val="17"/>
          <w:szCs w:val="17"/>
          <w:color w:val="auto"/>
        </w:rPr>
        <w:t>, has served on our board of directors since June 2019 and as the chair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 and a B.A. in history from Stanford University 1967. In recognition of his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90"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8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8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54" w:name="page155"/>
    <w:bookmarkEnd w:id="154"/>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7"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i w:val="1"/>
          <w:iCs w:val="1"/>
          <w:color w:val="auto"/>
        </w:rPr>
        <w:t xml:space="preserve">Kelly A. Romano </w:t>
      </w:r>
      <w:r>
        <w:rPr>
          <w:rFonts w:ascii="Arial" w:cs="Arial" w:eastAsia="Arial" w:hAnsi="Arial"/>
          <w:sz w:val="18"/>
          <w:szCs w:val="18"/>
          <w:color w:val="auto"/>
        </w:rPr>
        <w:t>has served on our board of directors since December 2020.</w:t>
      </w:r>
      <w:r>
        <w:rPr>
          <w:rFonts w:ascii="Arial" w:cs="Arial" w:eastAsia="Arial" w:hAnsi="Arial"/>
          <w:sz w:val="18"/>
          <w:szCs w:val="18"/>
          <w:i w:val="1"/>
          <w:iCs w:val="1"/>
          <w:color w:val="auto"/>
        </w:rPr>
        <w:t xml:space="preserve"> </w:t>
      </w:r>
      <w:r>
        <w:rPr>
          <w:rFonts w:ascii="Arial" w:cs="Arial" w:eastAsia="Arial" w:hAnsi="Arial"/>
          <w:sz w:val="18"/>
          <w:szCs w:val="18"/>
          <w:color w:val="0A0A0A"/>
        </w:rPr>
        <w:t>Ms. Romano brings over 30 years of executive</w:t>
      </w:r>
      <w:r>
        <w:rPr>
          <w:rFonts w:ascii="Arial" w:cs="Arial" w:eastAsia="Arial" w:hAnsi="Arial"/>
          <w:sz w:val="18"/>
          <w:szCs w:val="18"/>
          <w:i w:val="1"/>
          <w:iCs w:val="1"/>
          <w:color w:val="auto"/>
        </w:rPr>
        <w:t xml:space="preserve"> </w:t>
      </w:r>
      <w:r>
        <w:rPr>
          <w:rFonts w:ascii="Arial" w:cs="Arial" w:eastAsia="Arial" w:hAnsi="Arial"/>
          <w:sz w:val="18"/>
          <w:szCs w:val="18"/>
          <w:color w:val="0A0A0A"/>
        </w:rPr>
        <w:t>operating experience in technology, with a background in commercial buildings and aerospace. Ms. Romano is the chief executive officer of BlueRipple Capital, LLC, a consultancy firm she founded in May 2018. In addition to her role at BlueRipple Capital, LLC, Ms. Romano is an operating partner at AE Industrial Partners. Ms. Romano has also served as senior advisory partner at Sand Oak Capital Partners, LLC, a private equity firm focused on industrial and manufacturing investments, since May 2016. Previously, she spent 32 years working at United Technologies Corp. (UTC) in various positions of increasing responsibility, most recently as president of intelligent building technologies in 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 We believe Ms. Romano’s executive operating experience and aptitude for understanding growing companies qualifies her to serve on our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Our board of directors is currently composed of six members. Each of our directors other than Dr. Kawas is independent within the meaning of the independent director guidelines of the Nasdaq Global Select Market. All of the directors other than Dr. Kawas and Ms. Romano were elected to our board of directors pursuant to a voting agreement that terminated in connection with our initial public offering. Our certificate of incorporation and bylaws provide that the number of our directors shall be at least one and will be fixed from time to time by resolution of our board of directors.</w:t>
      </w:r>
    </w:p>
    <w:p>
      <w:pPr>
        <w:spacing w:after="0" w:line="20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Our board of directors is divided into three classes of directors. At each annual meeting of stockholders, a class of directors will be elected for a three-year term to succeed the class whose terms are then expiring. The terms of the directors will expire upon the election and qualification of successor directors at the annual meeting of stockholders to be held during the years 2021 for the Class I directors, 2022 for the Class II directors and 2023 for the Class III director.</w:t>
      </w:r>
    </w:p>
    <w:p>
      <w:pPr>
        <w:spacing w:after="0" w:line="97" w:lineRule="exact"/>
        <w:rPr>
          <w:sz w:val="20"/>
          <w:szCs w:val="20"/>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Class I directors are Tadataka Yamada and Leen Kawas.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Class II directors are Joseph Edelman and John M. Fluke, Jr.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Class III director are James A. Johnson and Kelly A. Romano.</w:t>
      </w:r>
    </w:p>
    <w:p>
      <w:pPr>
        <w:spacing w:after="0" w:line="225"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55" w:name="page156"/>
    <w:bookmarkEnd w:id="15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of directors is regularly informed through discussions from committee members about such risks. Our board of directors believes its administration of its risk oversight function has not affected the board of directors’ leadership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common stock is listed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Messrs. Johnson and Fluke and Ms. Romano, who comprise our audit committee; Dr. Yamada and Messrs. Edelman and Johnson, who comprise our compensation committee; and Dr. Yamada and Messrs. Edelman and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6" w:name="page157"/>
    <w:bookmarkEnd w:id="156"/>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6"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Our board of directors has determined that each of Messrs. Johnson and Fluke and Ms. Romano is independent for audit committee purposes, as that term is defined in the rules of the SEC and the applicable Nasdaq rules, and have sufficient knowledge in financial and auditing matters to serve on the audit committee.</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audit committee:</w:t>
      </w:r>
    </w:p>
    <w:p>
      <w:pPr>
        <w:spacing w:after="0" w:line="104" w:lineRule="exact"/>
        <w:rPr>
          <w:sz w:val="20"/>
          <w:szCs w:val="20"/>
          <w:color w:val="auto"/>
        </w:rPr>
      </w:pPr>
    </w:p>
    <w:p>
      <w:pPr>
        <w:ind w:left="1300" w:right="320" w:hanging="442"/>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selects, retains, compensates, evaluates, oversees and, where appropriate, terminates our independent registered public accounting firm;</w:t>
      </w:r>
    </w:p>
    <w:p>
      <w:pPr>
        <w:spacing w:after="0" w:line="88"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and approves the scope and plans for the audits and the audit fees and approves all non-audit and tax services to be performed by the independent audit;</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evaluates the independence and qualification of the independent registered public accounting firm;</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internal controls and integrity of financial statements;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financial information presentation, earnings press releases and guidance;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oversees the design, implementation and performance of our internal audit function, if any;</w:t>
      </w:r>
    </w:p>
    <w:p>
      <w:pPr>
        <w:spacing w:after="0" w:line="117"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sets hiring policies with regard to the hiring of employees and former employees of our independent auditor and oversees compliance with such policies;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approves and monitors related party transactions;</w:t>
      </w:r>
    </w:p>
    <w:p>
      <w:pPr>
        <w:spacing w:after="0" w:line="117" w:lineRule="exact"/>
        <w:rPr>
          <w:rFonts w:ascii="Arial" w:cs="Arial" w:eastAsia="Arial" w:hAnsi="Arial"/>
          <w:sz w:val="18"/>
          <w:szCs w:val="18"/>
          <w:color w:val="auto"/>
        </w:rPr>
      </w:pPr>
    </w:p>
    <w:p>
      <w:pPr>
        <w:ind w:left="1300" w:right="620" w:hanging="442"/>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adopts and oversees procedures to address complaints regarding accounting, internal accounting controls or auditing matters;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and discusses with our management and the independent auditor our compliance with various laws;</w:t>
      </w:r>
    </w:p>
    <w:p>
      <w:pPr>
        <w:spacing w:after="0" w:line="117"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and discusses with management our independent auditor guidelines and policies to identify, monitor, and address enterprise risks;</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engages independent legal, accounting and other advisors;</w:t>
      </w:r>
    </w:p>
    <w:p>
      <w:pPr>
        <w:spacing w:after="0" w:line="117" w:lineRule="exact"/>
        <w:rPr>
          <w:rFonts w:ascii="Arial" w:cs="Arial" w:eastAsia="Arial" w:hAnsi="Arial"/>
          <w:sz w:val="18"/>
          <w:szCs w:val="18"/>
          <w:color w:val="auto"/>
        </w:rPr>
      </w:pPr>
    </w:p>
    <w:p>
      <w:pPr>
        <w:ind w:left="1300" w:right="280" w:hanging="442"/>
        <w:spacing w:after="0" w:line="246"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provides appropriate funding for compensation to independent registered accounting firm, advisors and related expenses;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reviews the adequacy of the audit committee charter and recommend any proposed changes to our board of directors.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The members of our compensation committee are Dr. Yamada and Messrs. Edelman and Johnson. Dr. Yamada is the chairman of our compensation committee. Our compensation committee oversees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compensation policies, plans and benefits programs. Our compensation committee operates under a written charter that specifies its duties and responsibilities and satisfies the applicable listing standards of the Nasdaq Global Select Market. The compensation committee:</w:t>
      </w:r>
    </w:p>
    <w:p>
      <w:pPr>
        <w:spacing w:after="0" w:line="89" w:lineRule="exact"/>
        <w:rPr>
          <w:sz w:val="20"/>
          <w:szCs w:val="20"/>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reviews and approves the corporate goals and objectives applicable to the compensation of our chief executive officer;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reviews and approves the compensation and benefits for our executive officers;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reviews, approves, and administers employee compensation plans;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advises on proposals to stockholders on executive compensation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oversees compensation plans and programs;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reviews and discusses our compensation policies and practices and the risks related thereto;</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monitors compliance with any stock ownership guidelines;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approves the creation or revision of any clawback policy allowing us to recoup compensation paid to employees;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oversees regulatory compliance with respect to compensation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retains or obtains the advice of compensation consultants; and</w:t>
      </w:r>
    </w:p>
    <w:p>
      <w:pPr>
        <w:spacing w:after="0" w:line="117" w:lineRule="exact"/>
        <w:rPr>
          <w:rFonts w:ascii="Arial" w:cs="Arial" w:eastAsia="Arial" w:hAnsi="Arial"/>
          <w:sz w:val="18"/>
          <w:szCs w:val="18"/>
          <w:color w:val="auto"/>
        </w:rPr>
      </w:pPr>
    </w:p>
    <w:p>
      <w:pPr>
        <w:ind w:left="1300" w:right="480" w:hanging="442"/>
        <w:spacing w:after="0" w:line="246"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reviews the adequacy of the compensation committee charter and recommends any proposed changes to our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members of our nominating and corporate governance committee are Dr. Yamada and Messrs. Edelman and Fluke. Dr. Yamada is the chairman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The nominating and corporate governance committee:</w:t>
      </w:r>
    </w:p>
    <w:p>
      <w:pPr>
        <w:spacing w:after="0" w:line="94" w:lineRule="exact"/>
        <w:rPr>
          <w:sz w:val="20"/>
          <w:szCs w:val="20"/>
          <w:color w:val="auto"/>
        </w:rPr>
      </w:pPr>
    </w:p>
    <w:p>
      <w:pPr>
        <w:ind w:left="800" w:hanging="225"/>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establishes procedures for the submission of candidates for election to our board of directors;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conducts a periodic review of our succession planning process for the executive management team;</w:t>
      </w:r>
    </w:p>
    <w:p>
      <w:pPr>
        <w:spacing w:after="0" w:line="117" w:lineRule="exact"/>
        <w:rPr>
          <w:rFonts w:ascii="Arial" w:cs="Arial" w:eastAsia="Arial" w:hAnsi="Arial"/>
          <w:sz w:val="18"/>
          <w:szCs w:val="18"/>
          <w:color w:val="auto"/>
        </w:rPr>
      </w:pPr>
    </w:p>
    <w:p>
      <w:pPr>
        <w:ind w:left="800" w:hanging="225"/>
        <w:spacing w:after="0" w:line="246" w:lineRule="auto"/>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reviews the structure and composition of each committee of our board of directors and makes recommendations for changes to the committees;</w:t>
      </w:r>
    </w:p>
    <w:p>
      <w:pPr>
        <w:spacing w:after="0" w:line="88" w:lineRule="exact"/>
        <w:rPr>
          <w:rFonts w:ascii="Arial" w:cs="Arial" w:eastAsia="Arial" w:hAnsi="Arial"/>
          <w:sz w:val="18"/>
          <w:szCs w:val="18"/>
          <w:color w:val="auto"/>
        </w:rPr>
      </w:pPr>
    </w:p>
    <w:p>
      <w:pPr>
        <w:ind w:left="800" w:right="780" w:hanging="225"/>
        <w:spacing w:after="0" w:line="246" w:lineRule="auto"/>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develops and recommends to the board of directors corporate governance guidelines and annually reviews the corporate governance guidelines and their application;</w:t>
      </w:r>
    </w:p>
    <w:p>
      <w:pPr>
        <w:spacing w:after="0" w:line="88" w:lineRule="exact"/>
        <w:rPr>
          <w:rFonts w:ascii="Arial" w:cs="Arial" w:eastAsia="Arial" w:hAnsi="Arial"/>
          <w:sz w:val="18"/>
          <w:szCs w:val="18"/>
          <w:color w:val="auto"/>
        </w:rPr>
      </w:pPr>
    </w:p>
    <w:p>
      <w:pPr>
        <w:ind w:left="800" w:hanging="225"/>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oversees governance practices;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oversees our director orientation and continuing education;</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oversees the evaluation of our board of directors and its committees;</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develops, approves, reviews and monitors compliance with our Code of Business Conduct and Ethics;</w:t>
      </w:r>
    </w:p>
    <w:p>
      <w:pPr>
        <w:spacing w:after="0" w:line="117" w:lineRule="exact"/>
        <w:rPr>
          <w:rFonts w:ascii="Arial" w:cs="Arial" w:eastAsia="Arial" w:hAnsi="Arial"/>
          <w:sz w:val="18"/>
          <w:szCs w:val="18"/>
          <w:color w:val="auto"/>
        </w:rPr>
      </w:pPr>
    </w:p>
    <w:p>
      <w:pPr>
        <w:ind w:left="800" w:right="20" w:hanging="225"/>
        <w:spacing w:after="0" w:line="246" w:lineRule="auto"/>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administers policies and procedures for various constituencies that are involved with us to communicate with the non-management members of our board of directors; and</w:t>
      </w:r>
    </w:p>
    <w:p>
      <w:pPr>
        <w:spacing w:after="0" w:line="88" w:lineRule="exact"/>
        <w:rPr>
          <w:rFonts w:ascii="Arial" w:cs="Arial" w:eastAsia="Arial" w:hAnsi="Arial"/>
          <w:sz w:val="18"/>
          <w:szCs w:val="18"/>
          <w:color w:val="auto"/>
        </w:rPr>
      </w:pPr>
    </w:p>
    <w:p>
      <w:pPr>
        <w:ind w:left="800" w:right="80" w:hanging="225"/>
        <w:spacing w:after="0" w:line="246" w:lineRule="auto"/>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reviews the adequacy of the nominating and corporate governance committee charter and recommends any proposed changes to our board of directors.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58" w:name="page159"/>
    <w:bookmarkEnd w:id="15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ind w:right="60" w:firstLine="576"/>
        <w:spacing w:after="0" w:line="206" w:lineRule="exact"/>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w:t>
      </w:r>
    </w:p>
    <w:p>
      <w:pPr>
        <w:spacing w:after="0" w:line="126"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Fees Earned or</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 Awards</w:t>
            </w: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175"/>
        </w:trPr>
        <w:tc>
          <w:tcPr>
            <w:tcW w:w="652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Paid in Cash ($)</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r>
      <w:tr>
        <w:trPr>
          <w:trHeight w:val="20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110,777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134,491</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12,571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82,385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94,956</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15,714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82,075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97,789</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100" w:type="dxa"/>
            <w:vAlign w:val="bottom"/>
            <w:shd w:val="clear" w:color="auto" w:fill="CFF0FC"/>
          </w:tcPr>
          <w:p>
            <w:pPr>
              <w:spacing w:after="0"/>
              <w:rPr>
                <w:sz w:val="18"/>
                <w:szCs w:val="18"/>
                <w:color w:val="auto"/>
              </w:rPr>
            </w:pPr>
          </w:p>
        </w:tc>
      </w:tr>
      <w:tr>
        <w:trPr>
          <w:trHeight w:val="229"/>
        </w:trPr>
        <w:tc>
          <w:tcPr>
            <w:tcW w:w="6660" w:type="dxa"/>
            <w:vAlign w:val="bottom"/>
            <w:gridSpan w:val="2"/>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(7)</w:t>
            </w:r>
          </w:p>
        </w:tc>
        <w:tc>
          <w:tcPr>
            <w:tcW w:w="132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582,382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583,900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3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60" w:lineRule="exact"/>
        <w:rPr>
          <w:sz w:val="20"/>
          <w:szCs w:val="20"/>
          <w:color w:val="auto"/>
        </w:rPr>
      </w:pPr>
    </w:p>
    <w:p>
      <w:pPr>
        <w:jc w:val="both"/>
        <w:ind w:left="480" w:right="140" w:hanging="472"/>
        <w:spacing w:after="0" w:line="249"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 accordance with SEC rules, the amount in this column reflects the aggregate grant date fair value of stock options granted during 2020 computed in accordance with Accounting Standards Codification (ASC) Topic 718, rather than the amount paid or realized by the director. We provide information regarding the assumptions used to calculate the value of all stock options granted to our directors in Note 12 to our audited financial statements included elsewhere in this prospectus.</w:t>
      </w:r>
    </w:p>
    <w:p>
      <w:pPr>
        <w:spacing w:after="0" w:line="25" w:lineRule="exact"/>
        <w:rPr>
          <w:rFonts w:ascii="Arial" w:cs="Arial" w:eastAsia="Arial" w:hAnsi="Arial"/>
          <w:sz w:val="14"/>
          <w:szCs w:val="14"/>
          <w:color w:val="auto"/>
        </w:rPr>
      </w:pPr>
    </w:p>
    <w:p>
      <w:pPr>
        <w:ind w:left="480" w:right="380" w:hanging="472"/>
        <w:spacing w:after="0" w:line="258"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Dr. Yamada became a member of our board of directors in June 2019. As of December 31, 2020, Dr. Yamada held stock options to purchase 109,707 shares of our common stock.</w:t>
      </w:r>
    </w:p>
    <w:p>
      <w:pPr>
        <w:spacing w:after="0" w:line="18" w:lineRule="exact"/>
        <w:rPr>
          <w:rFonts w:ascii="Arial" w:cs="Arial" w:eastAsia="Arial" w:hAnsi="Arial"/>
          <w:sz w:val="14"/>
          <w:szCs w:val="14"/>
          <w:color w:val="auto"/>
        </w:rPr>
      </w:pPr>
    </w:p>
    <w:p>
      <w:pPr>
        <w:ind w:left="480" w:right="380" w:hanging="472"/>
        <w:spacing w:after="0" w:line="258"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Mr. Edelman became a member of our board of directors in May 2020. As of December 31, 2020, Mr. Edelman held stock options to purchase 27,742 shares of our common stock.</w:t>
      </w:r>
    </w:p>
    <w:p>
      <w:pPr>
        <w:spacing w:after="0" w:line="18" w:lineRule="exact"/>
        <w:rPr>
          <w:rFonts w:ascii="Arial" w:cs="Arial" w:eastAsia="Arial" w:hAnsi="Arial"/>
          <w:sz w:val="14"/>
          <w:szCs w:val="14"/>
          <w:color w:val="auto"/>
        </w:rPr>
      </w:pPr>
    </w:p>
    <w:p>
      <w:pPr>
        <w:ind w:left="480" w:right="420" w:hanging="472"/>
        <w:spacing w:after="0" w:line="258"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Mr. Fluke became a member of our board of directors in December 2014. As of December 31, 2020, Mr. Fluke held stock options to purchase 56,745 shares of our common stock.</w:t>
      </w:r>
    </w:p>
    <w:p>
      <w:pPr>
        <w:spacing w:after="0" w:line="18" w:lineRule="exact"/>
        <w:rPr>
          <w:rFonts w:ascii="Arial" w:cs="Arial" w:eastAsia="Arial" w:hAnsi="Arial"/>
          <w:sz w:val="14"/>
          <w:szCs w:val="14"/>
          <w:color w:val="auto"/>
        </w:rPr>
      </w:pPr>
    </w:p>
    <w:p>
      <w:pPr>
        <w:ind w:left="480" w:right="260" w:hanging="472"/>
        <w:spacing w:after="0" w:line="258"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Mr. Johnson became a member of our board of directors in August 2020. As of December 31, 2020, Mr. Johnson held stock options to purchase 27,742 shares of our common stock.</w:t>
      </w:r>
    </w:p>
    <w:p>
      <w:pPr>
        <w:spacing w:after="0" w:line="18" w:lineRule="exact"/>
        <w:rPr>
          <w:rFonts w:ascii="Arial" w:cs="Arial" w:eastAsia="Arial" w:hAnsi="Arial"/>
          <w:sz w:val="14"/>
          <w:szCs w:val="14"/>
          <w:color w:val="auto"/>
        </w:rPr>
      </w:pPr>
    </w:p>
    <w:p>
      <w:pPr>
        <w:ind w:left="480" w:right="260" w:hanging="472"/>
        <w:spacing w:after="0" w:line="258"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Dr. Harding resigned from our board of directors in August 2020. As of December 31, 2020, Dr. Harding held stock options to purchase 25,220 shares of our common stock.</w:t>
      </w:r>
    </w:p>
    <w:p>
      <w:pPr>
        <w:spacing w:after="0" w:line="18" w:lineRule="exact"/>
        <w:rPr>
          <w:rFonts w:ascii="Arial" w:cs="Arial" w:eastAsia="Arial" w:hAnsi="Arial"/>
          <w:sz w:val="14"/>
          <w:szCs w:val="14"/>
          <w:color w:val="auto"/>
        </w:rPr>
      </w:pPr>
    </w:p>
    <w:p>
      <w:pPr>
        <w:ind w:left="480" w:right="240" w:hanging="472"/>
        <w:spacing w:after="0" w:line="258"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Ms. Romano was appointed to our board of directors in December 2020. As of December 31, 2020, Ms. Romano held stock options to purchase 27,742 shares of our common stock.</w:t>
      </w:r>
    </w:p>
    <w:p>
      <w:pPr>
        <w:spacing w:after="0" w:line="188" w:lineRule="exact"/>
        <w:rPr>
          <w:sz w:val="20"/>
          <w:szCs w:val="20"/>
          <w:color w:val="auto"/>
        </w:rPr>
      </w:pPr>
    </w:p>
    <w:p>
      <w:pPr>
        <w:ind w:right="80" w:firstLine="576"/>
        <w:spacing w:after="0" w:line="206"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September 17,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ind w:right="400" w:firstLine="576"/>
        <w:spacing w:after="0" w:line="210"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September 17, 2020:</w:t>
      </w:r>
    </w:p>
    <w:p>
      <w:pPr>
        <w:spacing w:after="0" w:line="94" w:lineRule="exact"/>
        <w:rPr>
          <w:sz w:val="20"/>
          <w:szCs w:val="20"/>
          <w:color w:val="auto"/>
        </w:rPr>
      </w:pPr>
    </w:p>
    <w:p>
      <w:pPr>
        <w:ind w:left="1300" w:hanging="442"/>
        <w:spacing w:after="0" w:line="207" w:lineRule="exact"/>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$30,000 per year for service as chair of the board of directors;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$15,000 per year for service as chair of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9" w:name="page160"/>
    <w:bookmarkEnd w:id="15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5" w:lineRule="exact"/>
        <w:rPr>
          <w:sz w:val="20"/>
          <w:szCs w:val="20"/>
          <w:color w:val="auto"/>
        </w:rPr>
      </w:pPr>
    </w:p>
    <w:p>
      <w:pPr>
        <w:ind w:right="280" w:firstLine="576"/>
        <w:spacing w:after="0" w:line="206"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receives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then-serving non-employee director received, on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17, 2020, an award, or the IPO Award, of stock options to purchase 27,742 shares of our common stock. For each non-employee director other than Mr. Johnson, each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85" w:lineRule="exact"/>
        <w:rPr>
          <w:sz w:val="20"/>
          <w:szCs w:val="20"/>
          <w:color w:val="auto"/>
        </w:rPr>
      </w:pPr>
    </w:p>
    <w:p>
      <w:pPr>
        <w:ind w:right="120" w:firstLine="576"/>
        <w:spacing w:after="0" w:line="207"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85" w:lineRule="exact"/>
        <w:rPr>
          <w:sz w:val="20"/>
          <w:szCs w:val="20"/>
          <w:color w:val="auto"/>
        </w:rPr>
      </w:pPr>
    </w:p>
    <w:p>
      <w:pPr>
        <w:ind w:right="20" w:firstLine="576"/>
        <w:spacing w:after="0" w:line="208"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receives, on the first trading day immediately after the date of each annual meeting of our stockholders that occurs following September 17, 2020, an annual award (or, the Annual Award) of stock options to purchase 13,871 shares of our common stock.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184" w:lineRule="exact"/>
        <w:rPr>
          <w:sz w:val="20"/>
          <w:szCs w:val="20"/>
          <w:color w:val="auto"/>
        </w:rPr>
      </w:pPr>
    </w:p>
    <w:p>
      <w:pPr>
        <w:ind w:right="120" w:firstLine="576"/>
        <w:spacing w:after="0" w:line="214"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84" w:lineRule="exact"/>
        <w:rPr>
          <w:sz w:val="20"/>
          <w:szCs w:val="20"/>
          <w:color w:val="auto"/>
        </w:rPr>
      </w:pPr>
    </w:p>
    <w:p>
      <w:pPr>
        <w:jc w:val="both"/>
        <w:ind w:right="180" w:firstLine="576"/>
        <w:spacing w:after="0" w:line="245"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0" w:name="page161"/>
    <w:bookmarkEnd w:id="16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7"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be paid cash compensation and granted equity awards with an aggregate value of no more than $500,000 (with the value of equity</w:t>
      </w:r>
    </w:p>
    <w:p>
      <w:pPr>
        <w:spacing w:after="0" w:line="234" w:lineRule="auto"/>
        <w:rPr>
          <w:sz w:val="20"/>
          <w:szCs w:val="20"/>
          <w:color w:val="auto"/>
        </w:rPr>
      </w:pPr>
      <w:r>
        <w:rPr>
          <w:rFonts w:ascii="Arial" w:cs="Arial" w:eastAsia="Arial" w:hAnsi="Arial"/>
          <w:sz w:val="18"/>
          <w:szCs w:val="18"/>
          <w:color w:val="auto"/>
        </w:rPr>
        <w:t>awards based on their grant date fair value determined in accordance with U.S. Generally Accepted Accounting Principles for purposes of</w:t>
      </w:r>
    </w:p>
    <w:p>
      <w:pPr>
        <w:spacing w:after="0" w:line="203" w:lineRule="exact"/>
        <w:rPr>
          <w:sz w:val="20"/>
          <w:szCs w:val="20"/>
          <w:color w:val="auto"/>
        </w:rPr>
      </w:pPr>
      <w:r>
        <w:rPr>
          <w:rFonts w:ascii="Arial" w:cs="Arial" w:eastAsia="Arial" w:hAnsi="Arial"/>
          <w:sz w:val="18"/>
          <w:szCs w:val="18"/>
          <w:color w:val="auto"/>
        </w:rPr>
        <w:t>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w:t>
      </w:r>
    </w:p>
    <w:p>
      <w:pPr>
        <w:spacing w:after="0" w:line="203" w:lineRule="exact"/>
        <w:rPr>
          <w:sz w:val="20"/>
          <w:szCs w:val="20"/>
          <w:color w:val="auto"/>
        </w:rPr>
      </w:pPr>
      <w:r>
        <w:rPr>
          <w:rFonts w:ascii="Arial" w:cs="Arial" w:eastAsia="Arial" w:hAnsi="Arial"/>
          <w:sz w:val="18"/>
          <w:szCs w:val="18"/>
          <w:color w:val="auto"/>
        </w:rPr>
        <w:t>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w:t>
      </w:r>
    </w:p>
    <w:p>
      <w:pPr>
        <w:spacing w:after="0" w:line="203"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relating to our initial public offering, do</w:t>
      </w:r>
    </w:p>
    <w:p>
      <w:pPr>
        <w:spacing w:after="0"/>
        <w:rPr>
          <w:sz w:val="20"/>
          <w:szCs w:val="20"/>
          <w:color w:val="auto"/>
        </w:rPr>
      </w:pPr>
      <w:r>
        <w:rPr>
          <w:rFonts w:ascii="Arial" w:cs="Arial" w:eastAsia="Arial" w:hAnsi="Arial"/>
          <w:sz w:val="18"/>
          <w:szCs w:val="18"/>
          <w:color w:val="auto"/>
        </w:rPr>
        <w:t>not count toward this annual limit.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The members of our compensation committee are Dr. Yamada and Messrs. Edelman and Johnson. None of the members of our compensation 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20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Delaware General Corporation Law.</w:t>
      </w:r>
    </w:p>
    <w:p>
      <w:pPr>
        <w:spacing w:after="0" w:line="203" w:lineRule="exact"/>
        <w:rPr>
          <w:sz w:val="20"/>
          <w:szCs w:val="20"/>
          <w:color w:val="auto"/>
        </w:rPr>
      </w:pPr>
    </w:p>
    <w:p>
      <w:pPr>
        <w:jc w:val="both"/>
        <w:ind w:right="200" w:firstLine="576"/>
        <w:spacing w:after="0"/>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61" w:name="page162"/>
    <w:bookmarkEnd w:id="16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 2019 – 2020 Summary Compensation Table” below. For 2020, our “named executive officers” and their positions were as follows:</w:t>
      </w:r>
    </w:p>
    <w:p>
      <w:pPr>
        <w:spacing w:after="0" w:line="95" w:lineRule="exact"/>
        <w:rPr>
          <w:sz w:val="20"/>
          <w:szCs w:val="20"/>
          <w:color w:val="auto"/>
        </w:rPr>
      </w:pPr>
    </w:p>
    <w:p>
      <w:pPr>
        <w:ind w:left="130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Leen Kawas, Ph.D., our president and chief executive officer;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Hans Moebius, M.D., Ph.D., our chief medical officer;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Mark Litton, Ph.D., our chief operating officer.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 2020 Summary Compensation Table</w:t>
      </w:r>
    </w:p>
    <w:p>
      <w:pPr>
        <w:spacing w:after="0" w:line="126" w:lineRule="exact"/>
        <w:rPr>
          <w:sz w:val="20"/>
          <w:szCs w:val="20"/>
          <w:color w:val="auto"/>
        </w:rPr>
      </w:pPr>
    </w:p>
    <w:p>
      <w:pPr>
        <w:ind w:right="280" w:firstLine="576"/>
        <w:spacing w:after="0" w:line="24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for the years ended December 31, 2020 and December 31,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 Other</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Awards</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Bonus</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Leen Kawas, Ph.D., President</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349,372</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642,570</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60"/>
              <w:spacing w:after="0"/>
              <w:rPr>
                <w:sz w:val="20"/>
                <w:szCs w:val="20"/>
                <w:color w:val="auto"/>
              </w:rPr>
            </w:pPr>
            <w:r>
              <w:rPr>
                <w:rFonts w:ascii="Arial" w:cs="Arial" w:eastAsia="Arial" w:hAnsi="Arial"/>
                <w:sz w:val="18"/>
                <w:szCs w:val="18"/>
                <w:color w:val="auto"/>
              </w:rPr>
              <w:t>and Chief Executive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284,999</w:t>
            </w:r>
          </w:p>
        </w:tc>
        <w:tc>
          <w:tcPr>
            <w:tcW w:w="2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218,859</w:t>
            </w:r>
            <w:r>
              <w:rPr>
                <w:rFonts w:ascii="Arial" w:cs="Arial" w:eastAsia="Arial" w:hAnsi="Arial"/>
                <w:sz w:val="15"/>
                <w:szCs w:val="15"/>
                <w:color w:val="auto"/>
              </w:rPr>
              <w:t>(1)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15,979</w:t>
            </w:r>
            <w:r>
              <w:rPr>
                <w:rFonts w:ascii="Arial" w:cs="Arial" w:eastAsia="Arial" w:hAnsi="Arial"/>
                <w:sz w:val="15"/>
                <w:szCs w:val="15"/>
                <w:color w:val="auto"/>
              </w:rPr>
              <w:t>(5)</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Chief Medical Officer</w:t>
            </w:r>
          </w:p>
        </w:tc>
        <w:tc>
          <w:tcPr>
            <w:tcW w:w="11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593,430</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828,268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207,233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142,794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Operating Officer</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180,480</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74" w:lineRule="exact"/>
        <w:rPr>
          <w:sz w:val="20"/>
          <w:szCs w:val="20"/>
          <w:color w:val="auto"/>
        </w:rPr>
      </w:pPr>
    </w:p>
    <w:p>
      <w:pPr>
        <w:ind w:left="480" w:right="220" w:hanging="472"/>
        <w:spacing w:after="0" w:line="258"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$121,724 of consulting fees earned and paid prior to Dr. Moebius joining us as chief medical officer in September 2020 and salary of $97,135 earned paid following his hiring.</w:t>
      </w:r>
    </w:p>
    <w:p>
      <w:pPr>
        <w:spacing w:after="0" w:line="18" w:lineRule="exact"/>
        <w:rPr>
          <w:rFonts w:ascii="Arial" w:cs="Arial" w:eastAsia="Arial" w:hAnsi="Arial"/>
          <w:sz w:val="14"/>
          <w:szCs w:val="14"/>
          <w:color w:val="auto"/>
        </w:rPr>
      </w:pPr>
    </w:p>
    <w:p>
      <w:pPr>
        <w:ind w:left="480" w:right="40" w:hanging="472"/>
        <w:spacing w:after="0" w:line="247"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and 2020 computed in accordance with Accounting Standards Codification (ASC) Topic 718, rather than the amounts paid or realized by the named executive officer. We provide information regarding the assumptions used to calculate the value of all stock options made to our named executive officers in Note 12 to our audited financial statements included elsewhere in this prospectus.</w:t>
      </w:r>
    </w:p>
    <w:p>
      <w:pPr>
        <w:spacing w:after="0" w:line="25" w:lineRule="exact"/>
        <w:rPr>
          <w:rFonts w:ascii="Arial" w:cs="Arial" w:eastAsia="Arial" w:hAnsi="Arial"/>
          <w:sz w:val="14"/>
          <w:szCs w:val="14"/>
          <w:color w:val="auto"/>
        </w:rPr>
      </w:pPr>
    </w:p>
    <w:p>
      <w:pPr>
        <w:ind w:left="480" w:right="220" w:hanging="472"/>
        <w:spacing w:after="0" w:line="258" w:lineRule="auto"/>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reportable in this column for the year ended December 31, 2020 are not calculable as of the date hereof; the bonus amounts of the named executive officers are expected to be determined on or about January 8, 2020.</w:t>
      </w:r>
    </w:p>
    <w:p>
      <w:pPr>
        <w:spacing w:after="0" w:line="18" w:lineRule="exact"/>
        <w:rPr>
          <w:rFonts w:ascii="Arial" w:cs="Arial" w:eastAsia="Arial" w:hAnsi="Arial"/>
          <w:sz w:val="14"/>
          <w:szCs w:val="14"/>
          <w:color w:val="auto"/>
        </w:rPr>
      </w:pPr>
    </w:p>
    <w:p>
      <w:pPr>
        <w:ind w:left="480" w:hanging="472"/>
        <w:spacing w:after="0"/>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reimbursements paid to Dr. Kawas to cover parking fees.</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monthly stipends paid to Dr. Moebius to defray the costs associated with mandatory and elective benefits contributions in Switzerland, where he is located.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2" w:name="page163"/>
    <w:bookmarkEnd w:id="16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grants of stock options to each of our named executive officers outstanding at December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center"/>
              <w:ind w:right="440"/>
              <w:spacing w:after="0" w:line="156" w:lineRule="exact"/>
              <w:rPr>
                <w:sz w:val="20"/>
                <w:szCs w:val="20"/>
                <w:color w:val="auto"/>
              </w:rPr>
            </w:pPr>
            <w:r>
              <w:rPr>
                <w:rFonts w:ascii="Arial" w:cs="Arial" w:eastAsia="Arial" w:hAnsi="Arial"/>
                <w:sz w:val="14"/>
                <w:szCs w:val="14"/>
                <w:b w:val="1"/>
                <w:bCs w:val="1"/>
                <w:color w:val="auto"/>
              </w:rPr>
              <w:t>Option Exercise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53"/>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5"/>
        </w:trPr>
        <w:tc>
          <w:tcPr>
            <w:tcW w:w="25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9"/>
        </w:trPr>
        <w:tc>
          <w:tcPr>
            <w:tcW w:w="2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Leen Kawas, Ph.D.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1/20/2014</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25,220</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08/29/2014</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50,440</w:t>
            </w:r>
          </w:p>
        </w:tc>
        <w:tc>
          <w:tcPr>
            <w:tcW w:w="2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10/24/2015</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151,320</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10/23/2025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12/01/2017</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01/21/2023</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01/01/2019</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31,525</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12/17/2023</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209,956</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15"/>
        </w:trPr>
        <w:tc>
          <w:tcPr>
            <w:tcW w:w="2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w:t>
            </w: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7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6,305</w:t>
            </w:r>
            <w:r>
              <w:rPr>
                <w:rFonts w:ascii="Arial" w:cs="Arial" w:eastAsia="Arial" w:hAnsi="Arial"/>
                <w:sz w:val="15"/>
                <w:szCs w:val="15"/>
                <w:color w:val="auto"/>
              </w:rPr>
              <w:t>(2)</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Ph.D.</w:t>
            </w:r>
          </w:p>
        </w:tc>
        <w:tc>
          <w:tcPr>
            <w:tcW w:w="1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04/01/2019</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6,305</w:t>
            </w:r>
          </w:p>
        </w:tc>
        <w:tc>
          <w:tcPr>
            <w:tcW w:w="1740" w:type="dxa"/>
            <w:vAlign w:val="bottom"/>
            <w:gridSpan w:val="2"/>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06/25/2029</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23,644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7,881</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08/14/2029</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145,015</w:t>
            </w:r>
            <w:r>
              <w:rPr>
                <w:rFonts w:ascii="Arial" w:cs="Arial" w:eastAsia="Arial" w:hAnsi="Arial"/>
                <w:sz w:val="15"/>
                <w:szCs w:val="15"/>
                <w:color w:val="auto"/>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580" w:type="dxa"/>
            <w:vAlign w:val="bottom"/>
          </w:tcPr>
          <w:p>
            <w:pPr>
              <w:jc w:val="right"/>
              <w:spacing w:after="0"/>
              <w:rPr>
                <w:sz w:val="20"/>
                <w:szCs w:val="20"/>
                <w:color w:val="auto"/>
              </w:rPr>
            </w:pPr>
            <w:r>
              <w:rPr>
                <w:rFonts w:ascii="Arial" w:cs="Arial" w:eastAsia="Arial" w:hAnsi="Arial"/>
                <w:sz w:val="18"/>
                <w:szCs w:val="18"/>
                <w:color w:val="auto"/>
              </w:rPr>
              <w:t>07/01/2019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151,320</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08/14/2029</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46,657</w:t>
            </w:r>
            <w:r>
              <w:rPr>
                <w:rFonts w:ascii="Arial" w:cs="Arial" w:eastAsia="Arial" w:hAnsi="Arial"/>
                <w:sz w:val="15"/>
                <w:szCs w:val="15"/>
                <w:color w:val="auto"/>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74" w:lineRule="exact"/>
        <w:rPr>
          <w:sz w:val="20"/>
          <w:szCs w:val="20"/>
          <w:color w:val="auto"/>
        </w:rPr>
      </w:pPr>
    </w:p>
    <w:p>
      <w:pPr>
        <w:ind w:left="480" w:right="10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8" w:lineRule="exact"/>
        <w:rPr>
          <w:rFonts w:ascii="Arial" w:cs="Arial" w:eastAsia="Arial" w:hAnsi="Arial"/>
          <w:sz w:val="14"/>
          <w:szCs w:val="14"/>
          <w:color w:val="auto"/>
        </w:rPr>
      </w:pPr>
    </w:p>
    <w:p>
      <w:pPr>
        <w:ind w:left="480" w:right="140" w:hanging="472"/>
        <w:spacing w:after="0" w:line="258" w:lineRule="auto"/>
        <w:tabs>
          <w:tab w:leader="none" w:pos="4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Stock option vests over two years, with 1/2 vesting on each anniversary of the vesting commencement date, subject to continued service with us through the applicable vesting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6"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26" w:lineRule="exact"/>
        <w:rPr>
          <w:sz w:val="20"/>
          <w:szCs w:val="20"/>
          <w:color w:val="auto"/>
        </w:rPr>
      </w:pPr>
    </w:p>
    <w:p>
      <w:pPr>
        <w:ind w:right="40" w:firstLine="576"/>
        <w:spacing w:after="0" w:line="257" w:lineRule="auto"/>
        <w:rPr>
          <w:sz w:val="20"/>
          <w:szCs w:val="20"/>
          <w:color w:val="auto"/>
        </w:rPr>
      </w:pPr>
      <w:r>
        <w:rPr>
          <w:rFonts w:ascii="Arial" w:cs="Arial" w:eastAsia="Arial" w:hAnsi="Arial"/>
          <w:sz w:val="17"/>
          <w:szCs w:val="17"/>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The confirmatory employment letter provides for an annual base salary of $510,000 effective upon our initial public offering and, for the 2020 fiscal year, an annual target cash incentive payment equal to 50% of her annual base salary.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Hans Moebius</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September 2020, we entered into an employment letter agreement with Dr. Moebius, our chief medical officer. The employment agreement has no specific term and provides that Dr. Moebius is an at-will employee, as defined under applicable law, and supersedes any prior employment or other service agreements between Dr. Moebius and us. Dr. Moebius’ employment letter agreement provides for an annual base salary of $339,500 effective upon our initial public offering and, for the 2020 fiscal year, an annual target cash incentive payment equal to 40% of his annual base salary. In addition, Dr. Moebius will receive a monthly stipend of $4,625 to defray the costs associated with mandatory and elective benefits contributions in Switzerland, where he is located.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26" w:lineRule="exact"/>
        <w:rPr>
          <w:sz w:val="20"/>
          <w:szCs w:val="20"/>
          <w:color w:val="auto"/>
        </w:rPr>
      </w:pPr>
    </w:p>
    <w:p>
      <w:pPr>
        <w:ind w:right="420" w:firstLine="569"/>
        <w:spacing w:after="0" w:line="246" w:lineRule="auto"/>
        <w:rPr>
          <w:sz w:val="20"/>
          <w:szCs w:val="20"/>
          <w:color w:val="auto"/>
        </w:rPr>
      </w:pPr>
      <w:r>
        <w:rPr>
          <w:rFonts w:ascii="Arial" w:cs="Arial" w:eastAsia="Arial" w:hAnsi="Arial"/>
          <w:sz w:val="18"/>
          <w:szCs w:val="18"/>
          <w:color w:val="auto"/>
        </w:rPr>
        <w:t>In September 2020, we entered into a confirmatory employment letter with Dr. Litton, our chief operating officer. The confirmatory employment letter has no specific term and provides that Dr. Litton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3" w:name="page164"/>
    <w:bookmarkEnd w:id="16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 at-will employee and supersedes all prior employment agreements between Dr. Litton and us. The confirmatory offer letter provides for an annual base salary of $430,000 effective upon our initial public offering and, for the 2020 fiscal year, an annual target cash incentive payment equal to 40% of his annual base salary.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26"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In September 2020, we entered into change in control and severance agreements with Dr. Kawas, Dr. Moebius,and Dr. Litton, which agreements provide for certain severance and change in control benefits as described below.</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97" w:lineRule="exact"/>
        <w:rPr>
          <w:sz w:val="20"/>
          <w:szCs w:val="20"/>
          <w:color w:val="auto"/>
        </w:rPr>
      </w:pPr>
    </w:p>
    <w:p>
      <w:pPr>
        <w:ind w:left="1300" w:right="200" w:hanging="442"/>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94" w:lineRule="exact"/>
        <w:rPr>
          <w:rFonts w:ascii="Arial" w:cs="Arial" w:eastAsia="Arial" w:hAnsi="Arial"/>
          <w:sz w:val="18"/>
          <w:szCs w:val="18"/>
          <w:color w:val="auto"/>
        </w:rPr>
      </w:pPr>
    </w:p>
    <w:p>
      <w:pPr>
        <w:ind w:left="1300" w:right="260" w:hanging="442"/>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named executive officers other than Dr. Moebius, payment of premiums for coverage under the Consolidated Omnibus Budget Reconciliation Act of 1985, as amended (COBRA), for the named executive officer and his or her eligible dependents, if any, for up to 9 months (or 12 months in the case of Dr. Kawas); and</w:t>
      </w:r>
    </w:p>
    <w:p>
      <w:pPr>
        <w:spacing w:after="0" w:line="94" w:lineRule="exact"/>
        <w:rPr>
          <w:rFonts w:ascii="Arial" w:cs="Arial" w:eastAsia="Arial" w:hAnsi="Arial"/>
          <w:sz w:val="18"/>
          <w:szCs w:val="18"/>
          <w:color w:val="auto"/>
        </w:rPr>
      </w:pPr>
    </w:p>
    <w:p>
      <w:pPr>
        <w:ind w:left="1300" w:right="180" w:hanging="442"/>
        <w:spacing w:after="0" w:line="246"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respect to Dr. Litton only, vesting acceleration of 25% of the shares subject to Dr. Litton’s 2019 Company option award that are outstanding and unvested as of the date of the qualifying termination.</w:t>
      </w:r>
    </w:p>
    <w:p>
      <w:pPr>
        <w:spacing w:after="0" w:line="197"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97" w:lineRule="exact"/>
        <w:rPr>
          <w:sz w:val="20"/>
          <w:szCs w:val="20"/>
          <w:color w:val="auto"/>
        </w:rPr>
      </w:pPr>
    </w:p>
    <w:p>
      <w:pPr>
        <w:ind w:left="1300" w:right="160" w:hanging="442"/>
        <w:spacing w:after="0" w:line="238"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96" w:lineRule="exact"/>
        <w:rPr>
          <w:rFonts w:ascii="Arial" w:cs="Arial" w:eastAsia="Arial" w:hAnsi="Arial"/>
          <w:sz w:val="18"/>
          <w:szCs w:val="18"/>
          <w:color w:val="auto"/>
        </w:rPr>
      </w:pPr>
    </w:p>
    <w:p>
      <w:pPr>
        <w:ind w:left="1300" w:hanging="442"/>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94" w:lineRule="exact"/>
        <w:rPr>
          <w:rFonts w:ascii="Arial" w:cs="Arial" w:eastAsia="Arial" w:hAnsi="Arial"/>
          <w:sz w:val="18"/>
          <w:szCs w:val="18"/>
          <w:color w:val="auto"/>
        </w:rPr>
      </w:pPr>
    </w:p>
    <w:p>
      <w:pPr>
        <w:ind w:left="1300" w:right="60" w:hanging="442"/>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named executive officers other than Dr. Moebius, payment of premiums for coverage under COBRA for the named executive officer and the named executive officer’s eligible dependents, if any, for up to 12 months (or 18 months in the case of Dr. Kawas); and</w:t>
      </w:r>
    </w:p>
    <w:p>
      <w:pPr>
        <w:spacing w:after="0" w:line="94" w:lineRule="exact"/>
        <w:rPr>
          <w:rFonts w:ascii="Arial" w:cs="Arial" w:eastAsia="Arial" w:hAnsi="Arial"/>
          <w:sz w:val="18"/>
          <w:szCs w:val="18"/>
          <w:color w:val="auto"/>
        </w:rPr>
      </w:pPr>
    </w:p>
    <w:p>
      <w:pPr>
        <w:ind w:left="1300" w:right="540" w:hanging="442"/>
        <w:spacing w:after="0" w:line="274" w:lineRule="auto"/>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64" w:name="page165"/>
    <w:bookmarkEnd w:id="16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jc w:val="both"/>
        <w:ind w:right="360" w:firstLine="576"/>
        <w:spacing w:after="0"/>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203" w:lineRule="exact"/>
        <w:rPr>
          <w:sz w:val="20"/>
          <w:szCs w:val="20"/>
          <w:color w:val="auto"/>
        </w:rPr>
      </w:pPr>
    </w:p>
    <w:p>
      <w:pPr>
        <w:ind w:right="60" w:firstLine="576"/>
        <w:spacing w:after="0" w:line="234"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Dr. Moebius or Dr. Litton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w:t>
      </w:r>
    </w:p>
    <w:p>
      <w:pPr>
        <w:spacing w:after="0" w:line="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tax benefits to the named executive officer. The change in control and severance agreements do not require us to provide any tax gross-up payments.</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203"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for named executive officers other than Dr. Moebius,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202"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5" w:name="page166"/>
    <w:bookmarkEnd w:id="16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205" w:lineRule="exact"/>
        <w:rPr>
          <w:sz w:val="20"/>
          <w:szCs w:val="20"/>
          <w:color w:val="auto"/>
        </w:rPr>
      </w:pPr>
    </w:p>
    <w:p>
      <w:pPr>
        <w:ind w:right="480" w:firstLine="576"/>
        <w:spacing w:after="0" w:line="238"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202"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205" w:lineRule="exact"/>
        <w:rPr>
          <w:sz w:val="20"/>
          <w:szCs w:val="20"/>
          <w:color w:val="auto"/>
        </w:rPr>
      </w:pPr>
    </w:p>
    <w:p>
      <w:pPr>
        <w:ind w:right="260" w:firstLine="576"/>
        <w:spacing w:after="0" w:line="237"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20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6" w:lineRule="exact"/>
        <w:rPr>
          <w:sz w:val="20"/>
          <w:szCs w:val="20"/>
          <w:color w:val="auto"/>
        </w:rPr>
      </w:pPr>
    </w:p>
    <w:p>
      <w:pPr>
        <w:jc w:val="both"/>
        <w:ind w:right="60" w:firstLine="576"/>
        <w:spacing w:after="0" w:line="23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Our 2014 Plan was terminated prior to our initial public offering and we will not grant any additional awards under our 2014 Plan. However, our 2014 Plan will continue to govern the terms and conditions of the outstanding awards granted under our 2014 Plan prior to its termination.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6" w:name="page167"/>
    <w:bookmarkEnd w:id="166"/>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240" w:firstLine="576"/>
        <w:spacing w:after="0"/>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As of September 30, 2020, no shares of our common stock were reserved for issuance under our 2014 Plan. As of September 30, 2020, there were stock options covering 984,205 shares of our common stock and restricted stock awards covering 12,610 shares of our common stock outstanding under our 2014 Plan, and no stock appreciation rights or restricted stock units outstanding under our 2014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22"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Restricted stock awards have been granted under our 2014 Plan. Restricted stock awards are grants of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122"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7" w:name="page168"/>
    <w:bookmarkEnd w:id="167"/>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 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22" w:lineRule="exact"/>
        <w:rPr>
          <w:sz w:val="20"/>
          <w:szCs w:val="20"/>
          <w:color w:val="auto"/>
        </w:rPr>
      </w:pPr>
    </w:p>
    <w:p>
      <w:pPr>
        <w:ind w:right="920" w:firstLine="576"/>
        <w:spacing w:after="0" w:line="24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2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2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our 2014 Plan was terminated in connection with our initial public offering, and we will not grant any additional awards under our 2014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26" w:lineRule="exact"/>
        <w:rPr>
          <w:sz w:val="20"/>
          <w:szCs w:val="20"/>
          <w:color w:val="auto"/>
        </w:rPr>
      </w:pPr>
    </w:p>
    <w:p>
      <w:pPr>
        <w:jc w:val="both"/>
        <w:ind w:right="80" w:firstLine="576"/>
        <w:spacing w:after="0" w:line="237"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Equity Incentive Plan, or, the 2020 Plan. The 2020 Plan became effective on the business day immediately prior to the effective date of our registration statement related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68" w:name="page169"/>
    <w:bookmarkEnd w:id="16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number of shares of our common stock reserved for issuance pursuant to our 2020 Plan equals 6,357,759 shares of common stock (which includes 1,624,259 shares of common stock which were automatically added to the number of shares reserved for issuance on January 1, 2021 pursuant to the terms of the 2020 Plan). In addition, the shares reserved for issuance under our 2020 Plan include shares of our common stock subject to awards granted under our 2014 Plan that, after the date the 2014 Plan is terminated, are terminated, cancelled, expire, or otherwise terminate without having been exercised in full or are forfeited to or repurchased by us, provided that the maximum number of shares that may be added to the 2020 Plan pursuant to this sentence is 1,950,834 shares. The number of shares available for issuance under our 2020 Plan includes an annual increase on the first day of each of our fiscal years for a period of ten years, beginning with our fiscal year 2021, equal to the least of:</w:t>
      </w:r>
    </w:p>
    <w:p>
      <w:pPr>
        <w:spacing w:after="0" w:line="100" w:lineRule="exact"/>
        <w:rPr>
          <w:sz w:val="20"/>
          <w:szCs w:val="20"/>
          <w:color w:val="auto"/>
        </w:rPr>
      </w:pPr>
    </w:p>
    <w:p>
      <w:pPr>
        <w:ind w:left="1300" w:hanging="442"/>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3,230,000 shares;</w:t>
      </w:r>
    </w:p>
    <w:p>
      <w:pPr>
        <w:spacing w:after="0" w:line="117" w:lineRule="exact"/>
        <w:rPr>
          <w:rFonts w:ascii="Arial" w:cs="Arial" w:eastAsia="Arial" w:hAnsi="Arial"/>
          <w:sz w:val="18"/>
          <w:szCs w:val="18"/>
          <w:color w:val="auto"/>
        </w:rPr>
      </w:pPr>
    </w:p>
    <w:p>
      <w:pPr>
        <w:ind w:left="1300" w:right="720" w:hanging="442"/>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Five percent (5%) of the outstanding shares of all classes of our common stock as of the last day of the immediately preceding fiscal year; and</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9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Our board of directors or one or more committees appointed by our board of directors have authority to administer our 2020 Plan. The compensation committee of our board of directors currently administers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69" w:name="page170"/>
    <w:bookmarkEnd w:id="169"/>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22"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2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22"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70" w:name="page171"/>
    <w:bookmarkEnd w:id="170"/>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grant, unless the administrator provides otherwise. Shares of restricted stock that do not vest are subject to our right of repurchase or forfeiture.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2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22"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22"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In September 2020, our board of directors adopted and our stockholders approved a formal Outside Director Compensation Policy pursuant to which our outside directors are eligible to receive certain equity awards under our 2020 Plan. Our 2020 Plan provides that in any given fiscal year, no outside director may be granted awards (the value of which is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related to our initial public offering, will not count toward this limit. This maximum limit provision does not reflect the intended size of any potential grants or a commitment to make grants to our outside directors under our 2020 Plan in the future.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71" w:name="page172"/>
    <w:bookmarkEnd w:id="171"/>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2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22"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122"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205"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20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2" w:name="page173"/>
    <w:bookmarkEnd w:id="17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22"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22"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6" w:lineRule="exact"/>
        <w:rPr>
          <w:sz w:val="20"/>
          <w:szCs w:val="20"/>
          <w:color w:val="auto"/>
        </w:rPr>
      </w:pPr>
    </w:p>
    <w:p>
      <w:pPr>
        <w:ind w:right="640" w:firstLine="576"/>
        <w:spacing w:after="0"/>
        <w:rPr>
          <w:sz w:val="20"/>
          <w:szCs w:val="20"/>
          <w:color w:val="auto"/>
        </w:rPr>
      </w:pPr>
      <w:r>
        <w:rPr>
          <w:rFonts w:ascii="Arial" w:cs="Arial" w:eastAsia="Arial" w:hAnsi="Arial"/>
          <w:sz w:val="18"/>
          <w:szCs w:val="18"/>
          <w:color w:val="auto"/>
        </w:rPr>
        <w:t>In August 2020, our board of directors adopted, and in September 2020 our stockholders approved, our 2020 Employee Stock Purchase Plan, or the ESPP. Our ESPP became effective one business day immediately before the effective date of the registration statement related to our initial public offering.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22"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maximum number of shares of our common stock available for issuance under our ESPP equals 647,851 shares of our common stock (which includes 324,851 shares of common stock which were automatically added to the number of shares reserved for issuance on January 1, 2021 pursuant to the terms of the ESPP). The number of shares reserved for issuance under our ESPP includes an annual increase in the number of shares of our common stock available for issuance under our ESPP on the first day of each of our fiscal years beginning with our fiscal year 2021, in an amount equal to the least of:</w:t>
      </w:r>
    </w:p>
    <w:p>
      <w:pPr>
        <w:spacing w:after="0" w:line="94" w:lineRule="exact"/>
        <w:rPr>
          <w:sz w:val="20"/>
          <w:szCs w:val="20"/>
          <w:color w:val="auto"/>
        </w:rPr>
      </w:pPr>
    </w:p>
    <w:p>
      <w:pPr>
        <w:ind w:left="1300" w:hanging="442"/>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646,000 shares;</w:t>
      </w:r>
    </w:p>
    <w:p>
      <w:pPr>
        <w:spacing w:after="0" w:line="117"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88" w:lineRule="exact"/>
        <w:rPr>
          <w:rFonts w:ascii="Arial" w:cs="Arial" w:eastAsia="Arial" w:hAnsi="Arial"/>
          <w:sz w:val="18"/>
          <w:szCs w:val="18"/>
          <w:color w:val="auto"/>
        </w:rPr>
      </w:pPr>
    </w:p>
    <w:p>
      <w:pPr>
        <w:ind w:left="1300" w:right="440" w:hanging="442"/>
        <w:spacing w:after="0" w:line="246"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22" w:lineRule="exact"/>
        <w:rPr>
          <w:sz w:val="20"/>
          <w:szCs w:val="20"/>
          <w:color w:val="auto"/>
        </w:rPr>
      </w:pPr>
    </w:p>
    <w:p>
      <w:pPr>
        <w:ind w:firstLine="576"/>
        <w:spacing w:after="0" w:line="204"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Our compensation committee currently administers our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22" w:lineRule="exact"/>
        <w:rPr>
          <w:sz w:val="20"/>
          <w:szCs w:val="20"/>
          <w:color w:val="auto"/>
        </w:rPr>
      </w:pPr>
    </w:p>
    <w:p>
      <w:pPr>
        <w:ind w:right="880" w:firstLine="576"/>
        <w:spacing w:after="0" w:line="246"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3" w:name="page174"/>
    <w:bookmarkEnd w:id="17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205"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22" w:lineRule="exact"/>
        <w:rPr>
          <w:sz w:val="20"/>
          <w:szCs w:val="20"/>
          <w:color w:val="auto"/>
        </w:rPr>
      </w:pPr>
    </w:p>
    <w:p>
      <w:pPr>
        <w:ind w:right="60" w:firstLine="576"/>
        <w:spacing w:after="0" w:line="204" w:lineRule="exact"/>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Our ESPP provides for consecutive six-month offering periods. Each offering period will have one purchase period with the same duration as the offering period. The offering periods are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began on the first trading day on or after the effective date of the registration statement relating to our initial public offering and ends on the first trading day on or after May 18, 2021. The administrator is authorized to change the duration of future offering periods and purchase periods under our ESPP, including the starting and ending dates of offering periods and purchase periods and the number of purchase periods in any offering period,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22" w:lineRule="exact"/>
        <w:rPr>
          <w:sz w:val="20"/>
          <w:szCs w:val="20"/>
          <w:color w:val="auto"/>
        </w:rPr>
      </w:pPr>
    </w:p>
    <w:p>
      <w:pPr>
        <w:ind w:right="540" w:firstLine="576"/>
        <w:spacing w:after="0"/>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22"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is permitted to purchase a maximum of 5,000 shares during each offering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74" w:name="page175"/>
    <w:bookmarkEnd w:id="17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2"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22" w:lineRule="exact"/>
        <w:rPr>
          <w:sz w:val="20"/>
          <w:szCs w:val="20"/>
          <w:color w:val="auto"/>
        </w:rPr>
      </w:pPr>
    </w:p>
    <w:p>
      <w:pPr>
        <w:ind w:right="20" w:firstLine="576"/>
        <w:spacing w:after="0" w:line="204"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122"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2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ESPP’s adoption by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26" w:lineRule="exact"/>
        <w:rPr>
          <w:sz w:val="20"/>
          <w:szCs w:val="20"/>
          <w:color w:val="auto"/>
        </w:rPr>
      </w:pPr>
    </w:p>
    <w:p>
      <w:pPr>
        <w:ind w:right="120" w:firstLine="576"/>
        <w:spacing w:after="0" w:line="253"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6" w:lineRule="exact"/>
        <w:rPr>
          <w:sz w:val="20"/>
          <w:szCs w:val="20"/>
          <w:color w:val="auto"/>
        </w:rPr>
      </w:pPr>
    </w:p>
    <w:p>
      <w:pPr>
        <w:jc w:val="both"/>
        <w:ind w:right="40" w:firstLine="576"/>
        <w:spacing w:after="0"/>
        <w:rPr>
          <w:sz w:val="20"/>
          <w:szCs w:val="20"/>
          <w:color w:val="auto"/>
        </w:rPr>
      </w:pPr>
      <w:r>
        <w:rPr>
          <w:rFonts w:ascii="Arial" w:cs="Arial" w:eastAsia="Arial" w:hAnsi="Arial"/>
          <w:sz w:val="18"/>
          <w:szCs w:val="18"/>
          <w:color w:val="auto"/>
        </w:rPr>
        <w:t>Our certificate of incorporation and bylaws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95" w:lineRule="exact"/>
        <w:rPr>
          <w:sz w:val="20"/>
          <w:szCs w:val="20"/>
          <w:color w:val="auto"/>
        </w:rPr>
      </w:pPr>
    </w:p>
    <w:p>
      <w:pPr>
        <w:ind w:left="5420" w:right="4360" w:hanging="4562"/>
        <w:spacing w:after="0" w:line="556" w:lineRule="auto"/>
        <w:tabs>
          <w:tab w:leader="none" w:pos="129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to our stockholders;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5" w:name="page176"/>
    <w:bookmarkEnd w:id="175"/>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80" w:firstLine="576"/>
        <w:spacing w:after="0" w:line="237"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20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following is a summary of transactions since January 1, 2018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26"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17"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88"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88"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97"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97" w:lineRule="exact"/>
        <w:rPr>
          <w:sz w:val="20"/>
          <w:szCs w:val="20"/>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77" w:name="page178"/>
    <w:bookmarkEnd w:id="177"/>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126" w:lineRule="exact"/>
        <w:rPr>
          <w:sz w:val="20"/>
          <w:szCs w:val="20"/>
          <w:color w:val="auto"/>
        </w:rPr>
      </w:pPr>
    </w:p>
    <w:p>
      <w:pPr>
        <w:jc w:val="both"/>
        <w:ind w:right="260" w:firstLine="576"/>
        <w:spacing w:after="0" w:line="261"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2018,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Series B-1</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Preferred</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Principal</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Series B</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 of</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Notes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120" w:type="dxa"/>
            <w:vAlign w:val="bottom"/>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ind w:left="400"/>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1,535,131</w:t>
            </w:r>
            <w:r>
              <w:rPr>
                <w:rFonts w:ascii="Arial" w:cs="Arial" w:eastAsia="Arial" w:hAnsi="Arial"/>
                <w:sz w:val="15"/>
                <w:szCs w:val="15"/>
                <w:color w:val="auto"/>
              </w:rPr>
              <w:t>(2)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ind w:left="400"/>
              <w:spacing w:after="0"/>
              <w:rPr>
                <w:sz w:val="20"/>
                <w:szCs w:val="20"/>
                <w:color w:val="auto"/>
              </w:rPr>
            </w:pPr>
            <w:r>
              <w:rPr>
                <w:rFonts w:ascii="Arial" w:cs="Arial" w:eastAsia="Arial" w:hAnsi="Arial"/>
                <w:sz w:val="18"/>
                <w:szCs w:val="18"/>
                <w:color w:val="auto"/>
              </w:rPr>
              <w:t>383,782</w:t>
            </w:r>
            <w:r>
              <w:rPr>
                <w:rFonts w:ascii="Arial" w:cs="Arial" w:eastAsia="Arial" w:hAnsi="Arial"/>
                <w:sz w:val="15"/>
                <w:szCs w:val="15"/>
                <w:color w:val="auto"/>
              </w:rPr>
              <w:t>(3)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LP</w:t>
            </w:r>
          </w:p>
        </w:tc>
        <w:tc>
          <w:tcPr>
            <w:tcW w:w="11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Entities affiliated with Franklin Templeton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767,566</w:t>
            </w:r>
            <w:r>
              <w:rPr>
                <w:rFonts w:ascii="Arial" w:cs="Arial" w:eastAsia="Arial" w:hAnsi="Arial"/>
                <w:sz w:val="15"/>
                <w:szCs w:val="15"/>
                <w:color w:val="auto"/>
              </w:rPr>
              <w:t>(4)</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restart"/>
          </w:tcPr>
          <w:p>
            <w:pPr>
              <w:ind w:left="400"/>
              <w:spacing w:after="0"/>
              <w:rPr>
                <w:sz w:val="20"/>
                <w:szCs w:val="20"/>
                <w:color w:val="auto"/>
              </w:rPr>
            </w:pPr>
            <w:r>
              <w:rPr>
                <w:rFonts w:ascii="Arial" w:cs="Arial" w:eastAsia="Arial" w:hAnsi="Arial"/>
                <w:sz w:val="18"/>
                <w:szCs w:val="18"/>
                <w:color w:val="auto"/>
              </w:rPr>
              <w:t>191,890</w:t>
            </w:r>
            <w:r>
              <w:rPr>
                <w:rFonts w:ascii="Arial" w:cs="Arial" w:eastAsia="Arial" w:hAnsi="Arial"/>
                <w:sz w:val="15"/>
                <w:szCs w:val="15"/>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60"/>
              <w:spacing w:after="0" w:line="203" w:lineRule="exact"/>
              <w:rPr>
                <w:sz w:val="20"/>
                <w:szCs w:val="20"/>
                <w:color w:val="auto"/>
              </w:rPr>
            </w:pPr>
            <w:r>
              <w:rPr>
                <w:rFonts w:ascii="Arial" w:cs="Arial" w:eastAsia="Arial" w:hAnsi="Arial"/>
                <w:sz w:val="18"/>
                <w:szCs w:val="18"/>
                <w:color w:val="auto"/>
              </w:rPr>
              <w:t>Investments</w:t>
            </w: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ind w:left="400"/>
              <w:spacing w:after="0"/>
              <w:rPr>
                <w:sz w:val="20"/>
                <w:szCs w:val="20"/>
                <w:color w:val="auto"/>
              </w:rPr>
            </w:pPr>
            <w:r>
              <w:rPr>
                <w:rFonts w:ascii="Arial" w:cs="Arial" w:eastAsia="Arial" w:hAnsi="Arial"/>
                <w:sz w:val="18"/>
                <w:szCs w:val="18"/>
                <w:color w:val="auto"/>
              </w:rPr>
              <w:t>274,130</w:t>
            </w:r>
            <w:r>
              <w:rPr>
                <w:rFonts w:ascii="Arial" w:cs="Arial" w:eastAsia="Arial" w:hAnsi="Arial"/>
                <w:sz w:val="15"/>
                <w:szCs w:val="15"/>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Investments Sub-Master LP</w:t>
            </w: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1,096,523</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Mark Litton, Ph.D.</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32,815</w:t>
            </w:r>
            <w:r>
              <w:rPr>
                <w:rFonts w:ascii="Arial" w:cs="Arial" w:eastAsia="Arial" w:hAnsi="Arial"/>
                <w:sz w:val="15"/>
                <w:szCs w:val="15"/>
                <w:color w:val="auto"/>
              </w:rPr>
              <w:t>(8)</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1"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This warrant was fully exercised prior to August 26, 2020.</w:t>
      </w:r>
    </w:p>
    <w:p>
      <w:pPr>
        <w:spacing w:after="0" w:line="41" w:lineRule="exact"/>
        <w:rPr>
          <w:rFonts w:ascii="Arial" w:cs="Arial" w:eastAsia="Arial" w:hAnsi="Arial"/>
          <w:sz w:val="14"/>
          <w:szCs w:val="14"/>
          <w:color w:val="auto"/>
        </w:rPr>
      </w:pPr>
    </w:p>
    <w:p>
      <w:pPr>
        <w:ind w:left="480" w:right="60" w:hanging="472"/>
        <w:spacing w:after="0" w:line="258"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an aggregate of 1,535,131 shares of our Series B convertible preferred stock issued to RTW Master Fund, Ltd., RTW Innovation Master Fund, Ltd. and RTW Venture Fund Limited.</w:t>
      </w:r>
    </w:p>
    <w:p>
      <w:pPr>
        <w:spacing w:after="0" w:line="18" w:lineRule="exact"/>
        <w:rPr>
          <w:rFonts w:ascii="Arial" w:cs="Arial" w:eastAsia="Arial" w:hAnsi="Arial"/>
          <w:sz w:val="14"/>
          <w:szCs w:val="14"/>
          <w:color w:val="auto"/>
        </w:rPr>
      </w:pPr>
    </w:p>
    <w:p>
      <w:pPr>
        <w:ind w:left="480" w:right="100" w:hanging="472"/>
        <w:spacing w:after="0" w:line="258"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warrants to purchase an aggregate of 383,782 shares of our common stock issued to RTW Innovation Master Fund, Ltd., RTW Master Fund, Ltd., and RTW Venture Fund Limited. Each of these warrants was fully exercised prior to August 26, 2020.</w:t>
      </w:r>
    </w:p>
    <w:p>
      <w:pPr>
        <w:spacing w:after="0" w:line="18" w:lineRule="exact"/>
        <w:rPr>
          <w:rFonts w:ascii="Arial" w:cs="Arial" w:eastAsia="Arial" w:hAnsi="Arial"/>
          <w:sz w:val="14"/>
          <w:szCs w:val="14"/>
          <w:color w:val="auto"/>
        </w:rPr>
      </w:pPr>
    </w:p>
    <w:p>
      <w:pPr>
        <w:ind w:left="480" w:right="100" w:hanging="472"/>
        <w:spacing w:after="0" w:line="258"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326,344 shares of our Series B convertible preferred stock issued to Franklin Strategic Series – Franklin Biotechnology Discovery Fund and 441,222 shares of our Series B convertible preferred stock issued to Franklin Templeton Investment Funds – Franklin Biotechnology Discovery Fund.</w:t>
      </w:r>
    </w:p>
    <w:p>
      <w:pPr>
        <w:spacing w:after="0" w:line="18" w:lineRule="exact"/>
        <w:rPr>
          <w:rFonts w:ascii="Arial" w:cs="Arial" w:eastAsia="Arial" w:hAnsi="Arial"/>
          <w:sz w:val="14"/>
          <w:szCs w:val="14"/>
          <w:color w:val="auto"/>
        </w:rPr>
      </w:pPr>
    </w:p>
    <w:p>
      <w:pPr>
        <w:ind w:left="480" w:right="40" w:hanging="472"/>
        <w:spacing w:after="0" w:line="249"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 In connection with the closing of our initial public offering on September 22, 2020, these warrants were automatically net exercised into an aggregate of 190,994 shares of our common stock.</w:t>
      </w:r>
    </w:p>
    <w:p>
      <w:pPr>
        <w:spacing w:after="0" w:line="25" w:lineRule="exact"/>
        <w:rPr>
          <w:rFonts w:ascii="Arial" w:cs="Arial" w:eastAsia="Arial" w:hAnsi="Arial"/>
          <w:sz w:val="14"/>
          <w:szCs w:val="14"/>
          <w:color w:val="auto"/>
        </w:rPr>
      </w:pPr>
    </w:p>
    <w:p>
      <w:pPr>
        <w:ind w:left="480" w:right="300" w:hanging="472"/>
        <w:spacing w:after="0" w:line="249"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1,644,785 shares of our Series B convertible preferred stock and warrants to purchase 411,196 shares of our common stock issued to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spacing w:after="0" w:line="25" w:lineRule="exact"/>
        <w:rPr>
          <w:rFonts w:ascii="Arial" w:cs="Arial" w:eastAsia="Arial" w:hAnsi="Arial"/>
          <w:sz w:val="14"/>
          <w:szCs w:val="14"/>
          <w:color w:val="auto"/>
        </w:rPr>
      </w:pPr>
    </w:p>
    <w:p>
      <w:pPr>
        <w:ind w:left="480" w:right="40" w:hanging="472"/>
        <w:spacing w:after="0" w:line="249"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issued jointly to Dr. Litton and Alicia Litton, his wife, and $150,000 in aggregate principal amount of convertible notes issued to the Irrevocable Trust of OSL, the Irrevocable Trust of SWL, and the Irrevocable Trust of WGL, each of which are trusts held for the benefit of Dr. Litton’s children.</w:t>
      </w:r>
    </w:p>
    <w:p>
      <w:pPr>
        <w:spacing w:after="0" w:line="25" w:lineRule="exact"/>
        <w:rPr>
          <w:rFonts w:ascii="Arial" w:cs="Arial" w:eastAsia="Arial" w:hAnsi="Arial"/>
          <w:sz w:val="14"/>
          <w:szCs w:val="14"/>
          <w:color w:val="auto"/>
        </w:rPr>
      </w:pPr>
    </w:p>
    <w:p>
      <w:pPr>
        <w:ind w:left="480" w:right="180" w:hanging="472"/>
        <w:spacing w:after="0" w:line="249" w:lineRule="auto"/>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13,126 shares of our Series B-1 convertible preferred stock issued jointly to Dr. Litton and Alicia Litton, his wife, and an aggregate 19,689 shares of our Series B-1 convertible preferred stock issued to the Irrevocable Trust of OSL, the Irrevocable Trust of SWL, and the Irrevocable Trust of WGL, each of which are trusts held for the benefit of Dr. Litton’s children.</w:t>
      </w:r>
    </w:p>
    <w:p>
      <w:pPr>
        <w:spacing w:after="0" w:line="25" w:lineRule="exact"/>
        <w:rPr>
          <w:rFonts w:ascii="Arial" w:cs="Arial" w:eastAsia="Arial" w:hAnsi="Arial"/>
          <w:sz w:val="14"/>
          <w:szCs w:val="14"/>
          <w:color w:val="auto"/>
        </w:rPr>
      </w:pPr>
    </w:p>
    <w:p>
      <w:pPr>
        <w:ind w:left="480" w:right="440" w:hanging="472"/>
        <w:spacing w:after="0" w:line="168" w:lineRule="exact"/>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issued to Fluke Capital Management, L.P., of which John M. Fluke, Jr. has a beneficial ownership interest.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year. Dr. Litton, our chief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8" w:name="page179"/>
    <w:bookmarkEnd w:id="17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operating officer, and Alicia Litton, his wife, purchased $100,000 in aggregate principal amount of the notes. In addition, notes in an aggregate principal amount of $150,000 were purchased by the Irrevocable 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In September 2020, we issued and sold 12,000,000 shares of our common stock in our initial public offering at $17.00 per share for aggregate gross proceeds of $204.0 million. Perceptive Life Sciences Master Fund Ltd., entities affiliated with RTW Investments, LP, Viking Global Opportunities Illiquid Investments Sub-Master LP, and entities affiliated with Franklin Templeton Investments, are each significant stockholders of the company and invested in the initial public offering purchasing 1,058,824, 750,000, 750,000, and 411,764 shares of our common stock, respectively.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September 30, 2020, the holders of 18,104,343 shares of our common stock, or their transferees, are entitled to rights with respect to the registration of their shares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6"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Prior to our initial public offering, the election of the members of the board of directors was governed by a voting agreement with certain of our stockholders, including Dr. Kawas, our chief executive officer, and Perceptive Life Sciences Master Fund Ltd. The parties to the voting agreement agreed, subject to certain conditions, to vote their shares to elect as directors as follows:</w:t>
      </w:r>
    </w:p>
    <w:p>
      <w:pPr>
        <w:spacing w:after="0" w:line="95" w:lineRule="exact"/>
        <w:rPr>
          <w:sz w:val="20"/>
          <w:szCs w:val="20"/>
          <w:color w:val="auto"/>
        </w:rPr>
      </w:pPr>
    </w:p>
    <w:p>
      <w:pPr>
        <w:ind w:left="1300" w:hanging="442"/>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 nominee designated by Perceptive Life Sciences Master Fund Ltd.;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four nominees, one of which must be our chief executive officer, designated by a majority vote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79" w:name="page180"/>
    <w:bookmarkEnd w:id="17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hanging="442"/>
        <w:spacing w:after="0"/>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designated by Perceptive Life Sciences Master Fund Ltd.; and</w:t>
      </w:r>
    </w:p>
    <w:p>
      <w:pPr>
        <w:spacing w:after="0" w:line="117"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97"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Upon the consummation of our initial public offering, the obligations of the parties to the voting agreement to vote their shares to elect these nominees terminated, and, following such termination, none of our stockholders have any special rights regarding the nomination, election or designation of members of the board of directors. The certificate of incorporation in effect at the time of our initial public offering contained provisions that corresponded to the voting agreement; however, the certificate of incorporation that became effective immediately prior to the closing of our initial public offering does not include such provisions.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6"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relating to our initial public offering.</w:t>
      </w:r>
    </w:p>
    <w:p>
      <w:pPr>
        <w:spacing w:after="0" w:line="197"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prospectus titled “Executive Compensation – Executive Employment Arrangements.”</w:t>
      </w:r>
    </w:p>
    <w:p>
      <w:pPr>
        <w:spacing w:after="0" w:line="203" w:lineRule="exact"/>
        <w:rPr>
          <w:sz w:val="20"/>
          <w:szCs w:val="20"/>
          <w:color w:val="auto"/>
        </w:rPr>
      </w:pPr>
    </w:p>
    <w:p>
      <w:pPr>
        <w:jc w:val="both"/>
        <w:ind w:right="140" w:firstLine="576"/>
        <w:spacing w:after="0"/>
        <w:rPr>
          <w:sz w:val="20"/>
          <w:szCs w:val="20"/>
          <w:color w:val="auto"/>
        </w:rPr>
      </w:pPr>
      <w:r>
        <w:rPr>
          <w:rFonts w:ascii="Arial" w:cs="Arial" w:eastAsia="Arial" w:hAnsi="Arial"/>
          <w:sz w:val="18"/>
          <w:szCs w:val="18"/>
          <w:color w:val="auto"/>
        </w:rPr>
        <w:t>We have granted stock options and restricted share awards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203" w:lineRule="exact"/>
        <w:rPr>
          <w:sz w:val="20"/>
          <w:szCs w:val="20"/>
          <w:color w:val="auto"/>
        </w:rPr>
      </w:pPr>
    </w:p>
    <w:p>
      <w:pPr>
        <w:ind w:right="240" w:firstLine="576"/>
        <w:spacing w:after="0" w:line="24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80" w:name="page181"/>
    <w:bookmarkEnd w:id="180"/>
    <w:p>
      <w:pPr>
        <w:jc w:val="center"/>
        <w:ind w:right="-7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December 31, 2020 by:</w:t>
      </w:r>
    </w:p>
    <w:p>
      <w:pPr>
        <w:spacing w:after="0" w:line="104" w:lineRule="exact"/>
        <w:rPr>
          <w:sz w:val="20"/>
          <w:szCs w:val="20"/>
          <w:color w:val="auto"/>
        </w:rPr>
      </w:pPr>
    </w:p>
    <w:p>
      <w:pPr>
        <w:ind w:left="1300" w:hanging="442"/>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percentage of beneficial ownership prior to the offering shown in the table is based upon 32,485,184 shares of common stock</w:t>
      </w:r>
    </w:p>
    <w:p>
      <w:pPr>
        <w:ind w:right="20"/>
        <w:spacing w:after="0"/>
        <w:rPr>
          <w:sz w:val="20"/>
          <w:szCs w:val="20"/>
          <w:color w:val="auto"/>
        </w:rPr>
      </w:pPr>
      <w:r>
        <w:rPr>
          <w:rFonts w:ascii="Arial" w:cs="Arial" w:eastAsia="Arial" w:hAnsi="Arial"/>
          <w:sz w:val="18"/>
          <w:szCs w:val="18"/>
          <w:color w:val="auto"/>
        </w:rPr>
        <w:t>outstanding as of December 31, 2020. The percentage of beneficial ownership after this offering shown in the table is based on shares of common stock outstanding after the closing of this offering, assuming no exercise of the underwriters’ option to purchase additional shares.</w:t>
      </w:r>
    </w:p>
    <w:p>
      <w:pPr>
        <w:spacing w:after="0" w:line="200" w:lineRule="exact"/>
        <w:rPr>
          <w:sz w:val="20"/>
          <w:szCs w:val="20"/>
          <w:color w:val="auto"/>
        </w:rPr>
      </w:pPr>
    </w:p>
    <w:p>
      <w:pPr>
        <w:spacing w:after="0" w:line="210"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cs="Arial" w:eastAsia="Arial" w:hAnsi="Arial"/>
          <w:sz w:val="15"/>
          <w:szCs w:val="15"/>
          <w:color w:val="auto"/>
        </w:rPr>
        <w:t>th</w:t>
      </w:r>
      <w:r>
        <w:rPr>
          <w:rFonts w:ascii="Arial" w:cs="Arial" w:eastAsia="Arial" w:hAnsi="Arial"/>
          <w:sz w:val="18"/>
          <w:szCs w:val="18"/>
          <w:color w:val="auto"/>
        </w:rPr>
        <w:t xml:space="preserve"> day after December 31,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34" w:right="459" w:bottom="1440" w:gutter="0" w:footer="0" w:header="0"/>
        </w:sectPr>
      </w:pPr>
    </w:p>
    <w:bookmarkStart w:id="181" w:name="page182"/>
    <w:bookmarkEnd w:id="18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460" w:firstLine="576"/>
        <w:spacing w:after="0" w:line="24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18706 North Creek Parkway, Suite 104, Bothell, Washington 98011.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040" w:type="dxa"/>
            <w:vAlign w:val="bottom"/>
            <w:gridSpan w:val="4"/>
          </w:tcPr>
          <w:p>
            <w:pPr>
              <w:jc w:val="center"/>
              <w:ind w:left="355"/>
              <w:spacing w:after="0"/>
              <w:rPr>
                <w:sz w:val="20"/>
                <w:szCs w:val="20"/>
                <w:color w:val="auto"/>
              </w:rPr>
            </w:pPr>
            <w:r>
              <w:rPr>
                <w:rFonts w:ascii="Arial" w:cs="Arial" w:eastAsia="Arial" w:hAnsi="Arial"/>
                <w:sz w:val="14"/>
                <w:szCs w:val="14"/>
                <w:b w:val="1"/>
                <w:bCs w:val="1"/>
                <w:color w:val="auto"/>
              </w:rPr>
              <w:t>Shares Beneficially</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5780" w:type="dxa"/>
            <w:vAlign w:val="bottom"/>
          </w:tcPr>
          <w:p>
            <w:pPr>
              <w:spacing w:after="0"/>
              <w:rPr>
                <w:sz w:val="14"/>
                <w:szCs w:val="14"/>
                <w:color w:val="auto"/>
              </w:rPr>
            </w:pPr>
          </w:p>
        </w:tc>
        <w:tc>
          <w:tcPr>
            <w:tcW w:w="1520" w:type="dxa"/>
            <w:vAlign w:val="bottom"/>
            <w:gridSpan w:val="3"/>
          </w:tcPr>
          <w:p>
            <w:pPr>
              <w:jc w:val="center"/>
              <w:ind w:left="875"/>
              <w:spacing w:after="0"/>
              <w:rPr>
                <w:sz w:val="20"/>
                <w:szCs w:val="20"/>
                <w:color w:val="auto"/>
              </w:rPr>
            </w:pPr>
            <w:r>
              <w:rPr>
                <w:rFonts w:ascii="Arial" w:cs="Arial" w:eastAsia="Arial" w:hAnsi="Arial"/>
                <w:sz w:val="14"/>
                <w:szCs w:val="14"/>
                <w:b w:val="1"/>
                <w:bCs w:val="1"/>
                <w:color w:val="auto"/>
              </w:rPr>
              <w:t>Owned</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3"/>
          </w:tcPr>
          <w:p>
            <w:pPr>
              <w:ind w:left="400"/>
              <w:spacing w:after="0"/>
              <w:rPr>
                <w:sz w:val="20"/>
                <w:szCs w:val="20"/>
                <w:color w:val="auto"/>
              </w:rPr>
            </w:pPr>
            <w:r>
              <w:rPr>
                <w:rFonts w:ascii="Arial" w:cs="Arial" w:eastAsia="Arial" w:hAnsi="Arial"/>
                <w:sz w:val="14"/>
                <w:szCs w:val="14"/>
                <w:b w:val="1"/>
                <w:bCs w:val="1"/>
                <w:color w:val="auto"/>
              </w:rPr>
              <w:t>Shares Beneficially Owned</w:t>
            </w:r>
          </w:p>
        </w:tc>
      </w:tr>
      <w:tr>
        <w:trPr>
          <w:trHeight w:val="175"/>
        </w:trPr>
        <w:tc>
          <w:tcPr>
            <w:tcW w:w="5780" w:type="dxa"/>
            <w:vAlign w:val="bottom"/>
          </w:tcPr>
          <w:p>
            <w:pPr>
              <w:spacing w:after="0"/>
              <w:rPr>
                <w:sz w:val="15"/>
                <w:szCs w:val="15"/>
                <w:color w:val="auto"/>
              </w:rPr>
            </w:pPr>
          </w:p>
        </w:tc>
        <w:tc>
          <w:tcPr>
            <w:tcW w:w="2040" w:type="dxa"/>
            <w:vAlign w:val="bottom"/>
            <w:tcBorders>
              <w:bottom w:val="single" w:sz="8" w:color="auto"/>
            </w:tcBorders>
            <w:gridSpan w:val="4"/>
          </w:tcPr>
          <w:p>
            <w:pPr>
              <w:jc w:val="center"/>
              <w:ind w:left="355"/>
              <w:spacing w:after="0"/>
              <w:rPr>
                <w:sz w:val="20"/>
                <w:szCs w:val="20"/>
                <w:color w:val="auto"/>
              </w:rPr>
            </w:pPr>
            <w:r>
              <w:rPr>
                <w:rFonts w:ascii="Arial" w:cs="Arial" w:eastAsia="Arial" w:hAnsi="Arial"/>
                <w:sz w:val="14"/>
                <w:szCs w:val="14"/>
                <w:b w:val="1"/>
                <w:bCs w:val="1"/>
                <w:color w:val="auto"/>
              </w:rPr>
              <w:t>Prior to the Offering</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After the Offering</w:t>
            </w:r>
          </w:p>
        </w:tc>
      </w:tr>
      <w:tr>
        <w:trPr>
          <w:trHeight w:val="156"/>
        </w:trPr>
        <w:tc>
          <w:tcPr>
            <w:tcW w:w="5780" w:type="dxa"/>
            <w:vAlign w:val="bottom"/>
          </w:tcPr>
          <w:p>
            <w:pPr>
              <w:spacing w:after="0"/>
              <w:rPr>
                <w:sz w:val="13"/>
                <w:szCs w:val="13"/>
                <w:color w:val="auto"/>
              </w:rPr>
            </w:pPr>
          </w:p>
        </w:tc>
        <w:tc>
          <w:tcPr>
            <w:tcW w:w="1520" w:type="dxa"/>
            <w:vAlign w:val="bottom"/>
            <w:gridSpan w:val="3"/>
          </w:tcPr>
          <w:p>
            <w:pPr>
              <w:jc w:val="center"/>
              <w:ind w:right="400"/>
              <w:spacing w:after="0" w:line="156" w:lineRule="exact"/>
              <w:rPr>
                <w:sz w:val="20"/>
                <w:szCs w:val="20"/>
                <w:color w:val="auto"/>
              </w:rPr>
            </w:pPr>
            <w:r>
              <w:rPr>
                <w:rFonts w:ascii="Arial" w:cs="Arial" w:eastAsia="Arial" w:hAnsi="Arial"/>
                <w:sz w:val="14"/>
                <w:szCs w:val="14"/>
                <w:b w:val="1"/>
                <w:bCs w:val="1"/>
                <w:color w:val="auto"/>
              </w:rPr>
              <w:t>Number of</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60"/>
              <w:spacing w:after="0" w:line="156" w:lineRule="exact"/>
              <w:rPr>
                <w:sz w:val="20"/>
                <w:szCs w:val="20"/>
                <w:color w:val="auto"/>
              </w:rPr>
            </w:pPr>
            <w:r>
              <w:rPr>
                <w:rFonts w:ascii="Arial" w:cs="Arial" w:eastAsia="Arial" w:hAnsi="Arial"/>
                <w:sz w:val="14"/>
                <w:szCs w:val="14"/>
                <w:b w:val="1"/>
                <w:bCs w:val="1"/>
                <w:color w:val="auto"/>
              </w:rPr>
              <w:t>Number of</w:t>
            </w:r>
          </w:p>
        </w:tc>
        <w:tc>
          <w:tcPr>
            <w:tcW w:w="1260" w:type="dxa"/>
            <w:vAlign w:val="bottom"/>
          </w:tcPr>
          <w:p>
            <w:pPr>
              <w:spacing w:after="0"/>
              <w:rPr>
                <w:sz w:val="13"/>
                <w:szCs w:val="13"/>
                <w:color w:val="auto"/>
              </w:rPr>
            </w:pPr>
          </w:p>
        </w:tc>
      </w:tr>
      <w:tr>
        <w:trPr>
          <w:trHeight w:val="175"/>
        </w:trPr>
        <w:tc>
          <w:tcPr>
            <w:tcW w:w="5780" w:type="dxa"/>
            <w:vAlign w:val="bottom"/>
          </w:tcPr>
          <w:p>
            <w:pPr>
              <w:spacing w:after="0"/>
              <w:rPr>
                <w:sz w:val="15"/>
                <w:szCs w:val="15"/>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ind w:left="240"/>
              <w:spacing w:after="0"/>
              <w:rPr>
                <w:sz w:val="20"/>
                <w:szCs w:val="20"/>
                <w:color w:val="auto"/>
              </w:rPr>
            </w:pPr>
            <w:r>
              <w:rPr>
                <w:rFonts w:ascii="Arial" w:cs="Arial" w:eastAsia="Arial" w:hAnsi="Arial"/>
                <w:sz w:val="14"/>
                <w:szCs w:val="14"/>
                <w:b w:val="1"/>
                <w:bCs w:val="1"/>
                <w:color w:val="auto"/>
              </w:rPr>
              <w:t>Percentage</w:t>
            </w:r>
          </w:p>
        </w:tc>
      </w:tr>
      <w:tr>
        <w:trPr>
          <w:trHeight w:val="210"/>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1,693,102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3,114,805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2,668,913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 Investments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06"/>
        </w:trPr>
        <w:tc>
          <w:tcPr>
            <w:tcW w:w="57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(4)</w:t>
            </w:r>
          </w:p>
        </w:tc>
        <w:tc>
          <w:tcPr>
            <w:tcW w:w="11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2,120,653</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8"/>
                <w:szCs w:val="18"/>
                <w:color w:val="auto"/>
              </w:rPr>
              <w:t>Entities affiliated with Venrock Healthcare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6"/>
        </w:trPr>
        <w:tc>
          <w:tcPr>
            <w:tcW w:w="5780" w:type="dxa"/>
            <w:vAlign w:val="bottom"/>
          </w:tcPr>
          <w:p>
            <w:pPr>
              <w:ind w:left="160"/>
              <w:spacing w:after="0" w:line="206" w:lineRule="exact"/>
              <w:rPr>
                <w:sz w:val="20"/>
                <w:szCs w:val="20"/>
                <w:color w:val="auto"/>
              </w:rPr>
            </w:pPr>
            <w:r>
              <w:rPr>
                <w:rFonts w:ascii="Arial" w:cs="Arial" w:eastAsia="Arial" w:hAnsi="Arial"/>
                <w:sz w:val="18"/>
                <w:szCs w:val="18"/>
                <w:color w:val="auto"/>
              </w:rPr>
              <w:t>Capital Partners II, L.P.</w:t>
            </w:r>
            <w:r>
              <w:rPr>
                <w:rFonts w:ascii="Arial" w:cs="Arial" w:eastAsia="Arial" w:hAnsi="Arial"/>
                <w:sz w:val="15"/>
                <w:szCs w:val="15"/>
                <w:color w:val="auto"/>
              </w:rPr>
              <w:t>(5)</w:t>
            </w:r>
          </w:p>
        </w:tc>
        <w:tc>
          <w:tcPr>
            <w:tcW w:w="1120" w:type="dxa"/>
            <w:vAlign w:val="bottom"/>
          </w:tcPr>
          <w:p>
            <w:pPr>
              <w:jc w:val="right"/>
              <w:spacing w:after="0" w:line="206" w:lineRule="exact"/>
              <w:rPr>
                <w:sz w:val="20"/>
                <w:szCs w:val="20"/>
                <w:color w:val="auto"/>
              </w:rPr>
            </w:pPr>
            <w:r>
              <w:rPr>
                <w:rFonts w:ascii="Arial" w:cs="Arial" w:eastAsia="Arial" w:hAnsi="Arial"/>
                <w:sz w:val="18"/>
                <w:szCs w:val="18"/>
                <w:color w:val="auto"/>
              </w:rPr>
              <w:t>1,657,623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jc w:val="right"/>
              <w:spacing w:after="0" w:line="206" w:lineRule="exact"/>
              <w:rPr>
                <w:sz w:val="20"/>
                <w:szCs w:val="20"/>
                <w:color w:val="auto"/>
              </w:rPr>
            </w:pPr>
            <w:r>
              <w:rPr>
                <w:rFonts w:ascii="Arial" w:cs="Arial" w:eastAsia="Arial" w:hAnsi="Arial"/>
                <w:sz w:val="18"/>
                <w:szCs w:val="18"/>
                <w:color w:val="auto"/>
              </w:rPr>
              <w:t>5.1</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1,693,102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Mark Litton</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Hans Moebius</w:t>
            </w:r>
            <w:r>
              <w:rPr>
                <w:rFonts w:ascii="Arial" w:cs="Arial" w:eastAsia="Arial" w:hAnsi="Arial"/>
                <w:sz w:val="15"/>
                <w:szCs w:val="15"/>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14,186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(8)</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3,118,658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(11)</w:t>
            </w:r>
          </w:p>
        </w:tc>
        <w:tc>
          <w:tcPr>
            <w:tcW w:w="1120" w:type="dxa"/>
            <w:vAlign w:val="bottom"/>
          </w:tcPr>
          <w:p>
            <w:pPr>
              <w:jc w:val="right"/>
              <w:spacing w:after="0"/>
              <w:rPr>
                <w:sz w:val="20"/>
                <w:szCs w:val="20"/>
                <w:color w:val="auto"/>
              </w:rPr>
            </w:pPr>
            <w:r>
              <w:rPr>
                <w:rFonts w:ascii="Arial" w:cs="Arial" w:eastAsia="Arial" w:hAnsi="Arial"/>
                <w:sz w:val="18"/>
                <w:szCs w:val="18"/>
                <w:color w:val="auto"/>
              </w:rPr>
              <w:t>4,623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780" w:type="dxa"/>
            <w:vAlign w:val="bottom"/>
          </w:tcPr>
          <w:p>
            <w:pPr>
              <w:ind w:left="160"/>
              <w:spacing w:after="0"/>
              <w:rPr>
                <w:sz w:val="20"/>
                <w:szCs w:val="20"/>
                <w:color w:val="auto"/>
              </w:rPr>
            </w:pPr>
            <w:r>
              <w:rPr>
                <w:rFonts w:ascii="Arial" w:cs="Arial" w:eastAsia="Arial" w:hAnsi="Arial"/>
                <w:sz w:val="18"/>
                <w:szCs w:val="18"/>
                <w:color w:val="auto"/>
              </w:rPr>
              <w:t>(10 persons)</w:t>
            </w:r>
            <w:r>
              <w:rPr>
                <w:rFonts w:ascii="Arial" w:cs="Arial" w:eastAsia="Arial" w:hAnsi="Arial"/>
                <w:sz w:val="15"/>
                <w:szCs w:val="15"/>
                <w:color w:val="auto"/>
              </w:rPr>
              <w:t>(13)</w:t>
            </w:r>
          </w:p>
        </w:tc>
        <w:tc>
          <w:tcPr>
            <w:tcW w:w="1120" w:type="dxa"/>
            <w:vAlign w:val="bottom"/>
          </w:tcPr>
          <w:p>
            <w:pPr>
              <w:jc w:val="right"/>
              <w:spacing w:after="0"/>
              <w:rPr>
                <w:sz w:val="20"/>
                <w:szCs w:val="20"/>
                <w:color w:val="auto"/>
              </w:rPr>
            </w:pPr>
            <w:r>
              <w:rPr>
                <w:rFonts w:ascii="Arial" w:cs="Arial" w:eastAsia="Arial" w:hAnsi="Arial"/>
                <w:sz w:val="18"/>
                <w:szCs w:val="18"/>
                <w:color w:val="auto"/>
              </w:rPr>
              <w:t>5,267,037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626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87" w:lineRule="exact"/>
        <w:rPr>
          <w:sz w:val="20"/>
          <w:szCs w:val="20"/>
          <w:color w:val="auto"/>
        </w:rPr>
      </w:pPr>
    </w:p>
    <w:p>
      <w:pPr>
        <w:ind w:left="480" w:hanging="472"/>
        <w:spacing w:after="0"/>
        <w:tabs>
          <w:tab w:leader="none" w:pos="48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20" w:hanging="472"/>
        <w:spacing w:after="0" w:line="258"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264,810 shares held of record by Hamdan Family GST Trust, 1,117,246 shares held of record by Dr. Kawas and options to purchase 311,046 shares that are exercisable within 60 days of December 31, 2020, all of which will be vested as of August 26, 2024.</w:t>
      </w:r>
    </w:p>
    <w:p>
      <w:pPr>
        <w:spacing w:after="0" w:line="10" w:lineRule="exact"/>
        <w:rPr>
          <w:rFonts w:ascii="Arial" w:cs="Arial" w:eastAsia="Arial" w:hAnsi="Arial"/>
          <w:sz w:val="14"/>
          <w:szCs w:val="14"/>
          <w:color w:val="auto"/>
        </w:rPr>
      </w:pPr>
    </w:p>
    <w:p>
      <w:pPr>
        <w:ind w:left="480" w:hanging="472"/>
        <w:spacing w:after="0" w:line="202"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Consists of 3,114,805 shares held of record by Perceptive Life Sciences Master Fund Ltd., or Perceptive. The business address of Perceptive is 51 Astor Place,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30" w:lineRule="exact"/>
        <w:rPr>
          <w:rFonts w:ascii="Arial" w:cs="Arial" w:eastAsia="Arial" w:hAnsi="Arial"/>
          <w:sz w:val="14"/>
          <w:szCs w:val="14"/>
          <w:color w:val="auto"/>
        </w:rPr>
      </w:pPr>
    </w:p>
    <w:p>
      <w:pPr>
        <w:ind w:left="480" w:right="40" w:hanging="472"/>
        <w:spacing w:after="0" w:line="226"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September 28, 2020. Consists of 2,668,913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Avenue, Floor 7, New York, NY 10014.</w:t>
      </w:r>
    </w:p>
    <w:p>
      <w:pPr>
        <w:spacing w:after="0" w:line="5" w:lineRule="exact"/>
        <w:rPr>
          <w:rFonts w:ascii="Arial" w:cs="Arial" w:eastAsia="Arial" w:hAnsi="Arial"/>
          <w:sz w:val="14"/>
          <w:szCs w:val="14"/>
          <w:color w:val="auto"/>
        </w:rPr>
      </w:pPr>
    </w:p>
    <w:p>
      <w:pPr>
        <w:ind w:left="480" w:right="80" w:hanging="472"/>
        <w:spacing w:after="0" w:line="244"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September 28, 2020. Consists of 2,120,653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30" w:lineRule="exact"/>
        <w:rPr>
          <w:rFonts w:ascii="Arial" w:cs="Arial" w:eastAsia="Arial" w:hAnsi="Arial"/>
          <w:sz w:val="14"/>
          <w:szCs w:val="14"/>
          <w:color w:val="auto"/>
        </w:rPr>
      </w:pPr>
    </w:p>
    <w:p>
      <w:pPr>
        <w:ind w:left="480" w:right="40" w:hanging="472"/>
        <w:spacing w:after="0" w:line="244" w:lineRule="auto"/>
        <w:tabs>
          <w:tab w:leader="none" w:pos="48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November 16, 2020. Consists of 1,657,623 shares held of record in the aggregate by Venrock Healthcare Capital Partners II, L.P. (“VHCP II LP”), VHCP Co-Investment Holdings II, LLC (“VHCP Co-Investment II”), Venrock Healthcare Capital Partners III, L.P. (“VHCP III LP”), VHCP Co-Investment Holdings III, LLC (“VHCP Co-Investment III LP”) and Venrock Healthcare Capital Partners EG, L.P. VHCP Management II, LLC (“VHCPM”) is the sole general partner of VHCP II LP and the manager of VHCP Co-Investment II. VHCP Management III, LLC is the general partner of VHCP III LP and the manager of VHCP Co-Investment III. VHCP Management EG, LLC (“VHCPEG”) is the sole general partner of Venrock Healthcare Capital Partners EG, L.P. Dr. Bong Koh and Nimish Shah are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82" w:name="page183"/>
    <w:bookmarkEnd w:id="182"/>
    <w:p>
      <w:pPr>
        <w:jc w:val="center"/>
        <w:ind w:right="-11"/>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1"/>
        <w:spacing w:after="0"/>
        <w:rPr>
          <w:sz w:val="20"/>
          <w:szCs w:val="20"/>
          <w:color w:val="auto"/>
        </w:rPr>
      </w:pPr>
      <w:r>
        <w:rPr>
          <w:rFonts w:ascii="Arial" w:cs="Arial" w:eastAsia="Arial" w:hAnsi="Arial"/>
          <w:sz w:val="18"/>
          <w:szCs w:val="18"/>
          <w:color w:val="auto"/>
        </w:rPr>
        <w:t>Pursuant to 17 C.F.R. Section 200.83</w:t>
      </w:r>
    </w:p>
    <w:p>
      <w:pPr>
        <w:spacing w:after="0" w:line="285" w:lineRule="exact"/>
        <w:rPr>
          <w:sz w:val="20"/>
          <w:szCs w:val="20"/>
          <w:color w:val="auto"/>
        </w:rPr>
      </w:pPr>
    </w:p>
    <w:p>
      <w:pPr>
        <w:ind w:left="472" w:right="260"/>
        <w:spacing w:after="0" w:line="258" w:lineRule="auto"/>
        <w:rPr>
          <w:sz w:val="20"/>
          <w:szCs w:val="20"/>
          <w:color w:val="auto"/>
        </w:rPr>
      </w:pPr>
      <w:r>
        <w:rPr>
          <w:rFonts w:ascii="Arial" w:cs="Arial" w:eastAsia="Arial" w:hAnsi="Arial"/>
          <w:sz w:val="14"/>
          <w:szCs w:val="14"/>
          <w:color w:val="auto"/>
        </w:rPr>
        <w:t>the voting members of VHCPM and VHCPEG. The address of each of the entities and individuals identified in this footnote is c/o Venrock, 7 Bryant Park, 23rd Floor, New York, NY 10018.</w:t>
      </w:r>
    </w:p>
    <w:p>
      <w:pPr>
        <w:spacing w:after="0" w:line="18" w:lineRule="exact"/>
        <w:rPr>
          <w:sz w:val="20"/>
          <w:szCs w:val="20"/>
          <w:color w:val="auto"/>
        </w:rPr>
      </w:pPr>
    </w:p>
    <w:p>
      <w:pPr>
        <w:ind w:left="472" w:right="300" w:hanging="472"/>
        <w:spacing w:after="0" w:line="258" w:lineRule="auto"/>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50,440 shares held by Dr. Litton, 13,126 shares held jointly by Dr. Litton and his spouse, and an aggregate of 19,689 shares held by Irrevocable Trust of OSL, the Irrevocable Trust of SWL, and the Irrevocable Trust of WGL, each of which are trusts held for the benefit of Dr. Litton’s children.</w:t>
      </w:r>
    </w:p>
    <w:p>
      <w:pPr>
        <w:spacing w:after="0" w:line="18"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options to purchase 14,186 shares that are exercisable within 60 days of December 31, 2020, all of which will be vested as of August 26, 2024.</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options to purchase 55,343 shares that are exercisable within 60 days of December 31, 2020, all of which will be vested as of September 17, 2023.</w:t>
      </w:r>
    </w:p>
    <w:p>
      <w:pPr>
        <w:spacing w:after="0" w:line="41" w:lineRule="exact"/>
        <w:rPr>
          <w:rFonts w:ascii="Arial" w:cs="Arial" w:eastAsia="Arial" w:hAnsi="Arial"/>
          <w:sz w:val="14"/>
          <w:szCs w:val="14"/>
          <w:color w:val="auto"/>
        </w:rPr>
      </w:pPr>
    </w:p>
    <w:p>
      <w:pPr>
        <w:ind w:left="472" w:hanging="472"/>
        <w:spacing w:after="0" w:line="258" w:lineRule="auto"/>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 and options to purchase 3,853 shares that are exercisable within 60 days of December 31, 2020, all of which will be vested as of September 17, 2023.</w:t>
      </w:r>
    </w:p>
    <w:p>
      <w:pPr>
        <w:spacing w:after="0" w:line="18" w:lineRule="exact"/>
        <w:rPr>
          <w:rFonts w:ascii="Arial" w:cs="Arial" w:eastAsia="Arial" w:hAnsi="Arial"/>
          <w:sz w:val="14"/>
          <w:szCs w:val="14"/>
          <w:color w:val="auto"/>
        </w:rPr>
      </w:pPr>
    </w:p>
    <w:p>
      <w:pPr>
        <w:ind w:left="472" w:right="620" w:hanging="472"/>
        <w:spacing w:after="0" w:line="258" w:lineRule="auto"/>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6,731 shares held of record by Fluke Capital Management, L.P., 114,881 shares held by Mr. Fluke, and options to purchase 32,856 shares that are exercisable within 60 days of December 31, 2020, all of which will be vested as of September 17, 2023.</w:t>
      </w:r>
    </w:p>
    <w:p>
      <w:pPr>
        <w:spacing w:after="0" w:line="18"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options to purchase 4,623 shares that are exercisable within 60 days of December 31, 2020, all of which will be vested as of August 26, 2023.</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options to purchase 1,541 shares that are exercisable within 60 days of December 31, 2020, all of which will be vested as of December 11, 2023.</w:t>
      </w:r>
    </w:p>
    <w:p>
      <w:pPr>
        <w:spacing w:after="0" w:line="41" w:lineRule="exact"/>
        <w:rPr>
          <w:rFonts w:ascii="Arial" w:cs="Arial" w:eastAsia="Arial" w:hAnsi="Arial"/>
          <w:sz w:val="14"/>
          <w:szCs w:val="14"/>
          <w:color w:val="auto"/>
        </w:rPr>
      </w:pPr>
    </w:p>
    <w:p>
      <w:pPr>
        <w:ind w:left="472" w:right="360" w:hanging="472"/>
        <w:spacing w:after="0" w:line="258" w:lineRule="auto"/>
        <w:tabs>
          <w:tab w:leader="none" w:pos="47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Consists of 4,824,674 shares held of record and options to purchase 442,363 shares that are exercisable within 60 days of December 31, 2020, all of which will be vested as of August 26, 2024.</w:t>
      </w:r>
    </w:p>
    <w:p>
      <w:pPr>
        <w:spacing w:after="0" w:line="18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28" w:top="134" w:right="399" w:bottom="1440" w:gutter="0" w:footer="0" w:header="0"/>
        </w:sectPr>
      </w:pPr>
    </w:p>
    <w:bookmarkStart w:id="183" w:name="page184"/>
    <w:bookmarkEnd w:id="18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34"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203"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Our authorized capital stock consists of 900,000,000 shares of common stock, par value $0.0001 per share, and 100,000,000 shares of preferred stock, par value $0.0001 per share.</w:t>
      </w:r>
    </w:p>
    <w:p>
      <w:pPr>
        <w:spacing w:after="0" w:line="197"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As of December 31, 2020, there were 32,485,184 shares of our common stock outstanding and no shares of our preferred stock outstanding. As of December 31, 2020, there were 1,974,870 shares of common stock subject to outstanding options, no shares of common stock subject to outstanding warrants, 4,204 shares of common stock issuable upon the settlement of outstanding restricted stock awards and no shares of common stock issuable upon the settlement of outstanding RSUs. As of December 31, 2020, we had approximately 156 record holders of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jc w:val="both"/>
        <w:ind w:right="160" w:firstLine="576"/>
        <w:spacing w:after="0"/>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2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6"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Under our investors’ rights agreement, as amended, as of September 30, 2020, the holders of approximately 18,104,343 shares of common stock, or their transferees, have the right to require us to register the offer and sale of their shares, which we refer to as registration rights.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“Shares Eligible for Future Sale”.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6" w:lineRule="exact"/>
        <w:rPr>
          <w:sz w:val="20"/>
          <w:szCs w:val="20"/>
          <w:color w:val="auto"/>
        </w:rPr>
      </w:pPr>
    </w:p>
    <w:p>
      <w:pPr>
        <w:ind w:right="160" w:firstLine="576"/>
        <w:spacing w:after="0" w:line="237" w:lineRule="auto"/>
        <w:rPr>
          <w:sz w:val="20"/>
          <w:szCs w:val="20"/>
          <w:color w:val="auto"/>
        </w:rPr>
      </w:pPr>
      <w:r>
        <w:rPr>
          <w:rFonts w:ascii="Arial" w:cs="Arial" w:eastAsia="Arial" w:hAnsi="Arial"/>
          <w:sz w:val="18"/>
          <w:szCs w:val="18"/>
          <w:color w:val="auto"/>
        </w:rPr>
        <w:t>At any time after six months after September 17, 2020,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6"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7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statement. These registration rights are subject to specified conditions and limitations, and any proposed offering in connection therewith may be terminated or withdrawn by us at our sole discretion.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6"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our initial public offering.</w:t>
      </w:r>
    </w:p>
    <w:p>
      <w:pPr>
        <w:spacing w:after="0" w:line="289" w:lineRule="exact"/>
        <w:rPr>
          <w:sz w:val="20"/>
          <w:szCs w:val="20"/>
          <w:color w:val="auto"/>
        </w:rPr>
      </w:pPr>
    </w:p>
    <w:p>
      <w:pPr>
        <w:ind w:right="2300"/>
        <w:spacing w:after="0" w:line="372"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spacing w:after="0" w:line="1" w:lineRule="exact"/>
        <w:rPr>
          <w:sz w:val="20"/>
          <w:szCs w:val="20"/>
          <w:color w:val="auto"/>
        </w:rPr>
      </w:pPr>
    </w:p>
    <w:p>
      <w:pPr>
        <w:ind w:right="280" w:firstLine="576"/>
        <w:spacing w:after="0"/>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95" w:lineRule="exact"/>
        <w:rPr>
          <w:sz w:val="20"/>
          <w:szCs w:val="20"/>
          <w:color w:val="auto"/>
        </w:rPr>
      </w:pPr>
    </w:p>
    <w:p>
      <w:pPr>
        <w:ind w:left="1300" w:right="6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88" w:lineRule="exact"/>
        <w:rPr>
          <w:rFonts w:ascii="Arial" w:cs="Arial" w:eastAsia="Arial" w:hAnsi="Arial"/>
          <w:sz w:val="18"/>
          <w:szCs w:val="18"/>
          <w:color w:val="auto"/>
        </w:rPr>
      </w:pPr>
    </w:p>
    <w:p>
      <w:pPr>
        <w:ind w:left="1300" w:hanging="442"/>
        <w:spacing w:after="0" w:line="238"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4" w:lineRule="exact"/>
        <w:rPr>
          <w:rFonts w:ascii="Arial" w:cs="Arial" w:eastAsia="Arial" w:hAnsi="Arial"/>
          <w:sz w:val="18"/>
          <w:szCs w:val="18"/>
          <w:color w:val="auto"/>
        </w:rPr>
      </w:pPr>
    </w:p>
    <w:p>
      <w:pPr>
        <w:jc w:val="both"/>
        <w:ind w:left="1300" w:right="32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94" w:lineRule="exact"/>
        <w:rPr>
          <w:rFonts w:ascii="Arial" w:cs="Arial" w:eastAsia="Arial" w:hAnsi="Arial"/>
          <w:sz w:val="18"/>
          <w:szCs w:val="18"/>
          <w:color w:val="auto"/>
        </w:rPr>
      </w:pPr>
    </w:p>
    <w:p>
      <w:pPr>
        <w:ind w:left="13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Section 203 defines a business combination to include: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88" w:lineRule="exact"/>
        <w:rPr>
          <w:rFonts w:ascii="Arial" w:cs="Arial" w:eastAsia="Arial" w:hAnsi="Arial"/>
          <w:sz w:val="18"/>
          <w:szCs w:val="18"/>
          <w:color w:val="auto"/>
        </w:rPr>
      </w:pPr>
    </w:p>
    <w:p>
      <w:pPr>
        <w:ind w:left="1300" w:right="84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88" w:lineRule="exact"/>
        <w:rPr>
          <w:rFonts w:ascii="Arial" w:cs="Arial" w:eastAsia="Arial" w:hAnsi="Arial"/>
          <w:sz w:val="18"/>
          <w:szCs w:val="18"/>
          <w:color w:val="auto"/>
        </w:rPr>
      </w:pPr>
    </w:p>
    <w:p>
      <w:pPr>
        <w:ind w:left="1300" w:right="2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88" w:lineRule="exact"/>
        <w:rPr>
          <w:rFonts w:ascii="Arial" w:cs="Arial" w:eastAsia="Arial" w:hAnsi="Arial"/>
          <w:sz w:val="18"/>
          <w:szCs w:val="18"/>
          <w:color w:val="auto"/>
        </w:rPr>
      </w:pPr>
    </w:p>
    <w:p>
      <w:pPr>
        <w:ind w:left="1300" w:right="600" w:hanging="442"/>
        <w:spacing w:after="0" w:line="246"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86" w:name="page187"/>
    <w:bookmarkEnd w:id="18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97" w:lineRule="exact"/>
        <w:rPr>
          <w:sz w:val="20"/>
          <w:szCs w:val="20"/>
          <w:color w:val="auto"/>
        </w:rPr>
      </w:pPr>
    </w:p>
    <w:p>
      <w:pPr>
        <w:ind w:left="1300" w:right="620" w:hanging="442"/>
        <w:spacing w:after="0" w:line="246"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88" w:lineRule="exact"/>
        <w:rPr>
          <w:rFonts w:ascii="Arial" w:cs="Arial" w:eastAsia="Arial" w:hAnsi="Arial"/>
          <w:sz w:val="18"/>
          <w:szCs w:val="18"/>
          <w:color w:val="auto"/>
        </w:rPr>
      </w:pPr>
    </w:p>
    <w:p>
      <w:pPr>
        <w:ind w:left="1300" w:right="160" w:hanging="442"/>
        <w:spacing w:after="0" w:line="246"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5"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97"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205" w:lineRule="exact"/>
        <w:rPr>
          <w:sz w:val="20"/>
          <w:szCs w:val="20"/>
          <w:color w:val="auto"/>
        </w:rPr>
      </w:pPr>
    </w:p>
    <w:p>
      <w:pPr>
        <w:ind w:right="540" w:firstLine="576"/>
        <w:spacing w:after="0" w:line="24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97" w:lineRule="exact"/>
        <w:rPr>
          <w:sz w:val="20"/>
          <w:szCs w:val="20"/>
          <w:color w:val="auto"/>
        </w:rPr>
      </w:pPr>
    </w:p>
    <w:p>
      <w:pPr>
        <w:ind w:left="1300" w:right="480" w:hanging="442"/>
        <w:spacing w:after="0" w:line="246"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7" w:lineRule="exact"/>
        <w:rPr>
          <w:rFonts w:ascii="Arial" w:cs="Arial" w:eastAsia="Arial" w:hAnsi="Arial"/>
          <w:sz w:val="18"/>
          <w:szCs w:val="18"/>
          <w:color w:val="auto"/>
        </w:rPr>
      </w:pPr>
    </w:p>
    <w:p>
      <w:pPr>
        <w:ind w:left="1300" w:right="240" w:hanging="442"/>
        <w:spacing w:after="0" w:line="246"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87" w:name="page188"/>
    <w:bookmarkEnd w:id="187"/>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1300" w:right="660" w:hanging="442"/>
        <w:spacing w:after="0" w:line="246"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88" w:lineRule="exact"/>
        <w:rPr>
          <w:rFonts w:ascii="Arial" w:cs="Arial" w:eastAsia="Arial" w:hAnsi="Arial"/>
          <w:sz w:val="18"/>
          <w:szCs w:val="18"/>
          <w:color w:val="auto"/>
        </w:rPr>
      </w:pPr>
    </w:p>
    <w:p>
      <w:pPr>
        <w:ind w:left="1300" w:right="240" w:hanging="442"/>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94"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88" w:lineRule="exact"/>
        <w:rPr>
          <w:rFonts w:ascii="Arial" w:cs="Arial" w:eastAsia="Arial" w:hAnsi="Arial"/>
          <w:sz w:val="18"/>
          <w:szCs w:val="18"/>
          <w:color w:val="auto"/>
        </w:rPr>
      </w:pPr>
    </w:p>
    <w:p>
      <w:pPr>
        <w:ind w:left="1300" w:right="120" w:hanging="442"/>
        <w:spacing w:after="0" w:line="246"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88" w:lineRule="exact"/>
        <w:rPr>
          <w:rFonts w:ascii="Arial" w:cs="Arial" w:eastAsia="Arial" w:hAnsi="Arial"/>
          <w:sz w:val="18"/>
          <w:szCs w:val="18"/>
          <w:color w:val="auto"/>
        </w:rPr>
      </w:pPr>
    </w:p>
    <w:p>
      <w:pPr>
        <w:jc w:val="both"/>
        <w:ind w:left="1300" w:right="80" w:hanging="442"/>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94" w:lineRule="exact"/>
        <w:rPr>
          <w:rFonts w:ascii="Arial" w:cs="Arial" w:eastAsia="Arial" w:hAnsi="Arial"/>
          <w:sz w:val="18"/>
          <w:szCs w:val="18"/>
          <w:color w:val="auto"/>
        </w:rPr>
      </w:pPr>
    </w:p>
    <w:p>
      <w:pPr>
        <w:ind w:left="1300" w:right="20" w:hanging="442"/>
        <w:spacing w:after="0" w:line="237"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96" w:lineRule="exact"/>
        <w:rPr>
          <w:rFonts w:ascii="Arial" w:cs="Arial" w:eastAsia="Arial" w:hAnsi="Arial"/>
          <w:sz w:val="18"/>
          <w:szCs w:val="18"/>
          <w:color w:val="auto"/>
        </w:rPr>
      </w:pPr>
    </w:p>
    <w:p>
      <w:pPr>
        <w:ind w:left="1300" w:right="60" w:hanging="442"/>
        <w:spacing w:after="0" w:line="246"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197" w:lineRule="exact"/>
        <w:rPr>
          <w:sz w:val="20"/>
          <w:szCs w:val="20"/>
          <w:color w:val="auto"/>
        </w:rPr>
      </w:pPr>
    </w:p>
    <w:p>
      <w:pPr>
        <w:ind w:right="620" w:firstLine="576"/>
        <w:spacing w:after="0" w:line="24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6"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is listed on the Nasdaq Global Select Market under the trading symbol “ATHA.”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88" w:name="page189"/>
    <w:bookmarkEnd w:id="18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Upon the completion of this offering, based the number of shares outstanding as of September 30, 2020, and the issuance of shares</w:t>
      </w:r>
    </w:p>
    <w:p>
      <w:pPr>
        <w:spacing w:after="0" w:line="237" w:lineRule="auto"/>
        <w:rPr>
          <w:sz w:val="20"/>
          <w:szCs w:val="20"/>
          <w:color w:val="auto"/>
        </w:rPr>
      </w:pPr>
      <w:r>
        <w:rPr>
          <w:rFonts w:ascii="Arial" w:cs="Arial" w:eastAsia="Arial" w:hAnsi="Arial"/>
          <w:sz w:val="18"/>
          <w:szCs w:val="18"/>
          <w:color w:val="auto"/>
        </w:rPr>
        <w:t>of our common stock in this offering, shares of our common stock will be outstanding, or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203"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97" w:lineRule="exact"/>
        <w:rPr>
          <w:sz w:val="20"/>
          <w:szCs w:val="20"/>
          <w:color w:val="auto"/>
        </w:rPr>
      </w:pPr>
    </w:p>
    <w:p>
      <w:pPr>
        <w:ind w:left="1300" w:right="60" w:hanging="442"/>
        <w:spacing w:after="0" w:line="246" w:lineRule="auto"/>
        <w:tabs>
          <w:tab w:leader="none" w:pos="205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except for any shares of common stock purchased by our directors, executive officers and employees;</w:t>
      </w:r>
    </w:p>
    <w:p>
      <w:pPr>
        <w:spacing w:after="0" w:line="88" w:lineRule="exact"/>
        <w:rPr>
          <w:rFonts w:ascii="Arial" w:cs="Arial" w:eastAsia="Arial" w:hAnsi="Arial"/>
          <w:sz w:val="18"/>
          <w:szCs w:val="18"/>
          <w:color w:val="auto"/>
        </w:rPr>
      </w:pPr>
    </w:p>
    <w:p>
      <w:pPr>
        <w:ind w:left="1300" w:right="40" w:hanging="442"/>
        <w:spacing w:after="0" w:line="246" w:lineRule="auto"/>
        <w:tabs>
          <w:tab w:leader="none" w:pos="205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on March 17, 2021;</w:t>
      </w:r>
    </w:p>
    <w:p>
      <w:pPr>
        <w:spacing w:after="0" w:line="88" w:lineRule="exact"/>
        <w:rPr>
          <w:rFonts w:ascii="Arial" w:cs="Arial" w:eastAsia="Arial" w:hAnsi="Arial"/>
          <w:sz w:val="18"/>
          <w:szCs w:val="18"/>
          <w:color w:val="auto"/>
        </w:rPr>
      </w:pPr>
    </w:p>
    <w:p>
      <w:pPr>
        <w:ind w:left="1300" w:right="180" w:hanging="442"/>
        <w:spacing w:after="0" w:line="246" w:lineRule="auto"/>
        <w:tabs>
          <w:tab w:leader="none" w:pos="205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will be eligible for sale 90 days from the date of this prospectus upon the expiration of lock-up agreements entered into in connection with this offering;</w:t>
      </w:r>
    </w:p>
    <w:p>
      <w:pPr>
        <w:spacing w:after="0" w:line="88" w:lineRule="exact"/>
        <w:rPr>
          <w:rFonts w:ascii="Arial" w:cs="Arial" w:eastAsia="Arial" w:hAnsi="Arial"/>
          <w:sz w:val="18"/>
          <w:szCs w:val="18"/>
          <w:color w:val="auto"/>
        </w:rPr>
      </w:pPr>
    </w:p>
    <w:p>
      <w:pPr>
        <w:ind w:left="1300" w:right="40" w:hanging="442"/>
        <w:spacing w:after="0" w:line="246"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197"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connection with our initial public offering, all of our directors, executive officers, and substantially all of the holders of our equity securities entered into lock-up agreements with the underwriters pursuant to which, subject to certain exceptions, such parties agreed not to offer, sell or transfer any common stock or securities convertible into or exchangeable or exercisable for common stock for 180 days after the date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89" w:name="page190"/>
    <w:bookmarkEnd w:id="18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of the prospectus relating to our initial public offering without first obtaining the written consent of Goldman Sachs &amp; Co. LLC and Jefferies LLC, on 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In addition to the existing lock-up agreements from the initial public offering, in connection with this offering, we have entered into new lock-up agreements on substantially similar terms effective for 90 days following the date of this prospectus, and all of our directors and executive officers and certain of our stockholders have entered into new lock-up agreements on substantially the same terms effective for 90 days following the date of this prospectus. Goldman Sachs &amp; Co. LLC and Jefferies LLC may, in their sole discretion, release any of the securities subject to the lock-up agreements with the underwriters at any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6"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In general, under Rule 144,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205" w:lineRule="exact"/>
        <w:rPr>
          <w:sz w:val="20"/>
          <w:szCs w:val="20"/>
          <w:color w:val="auto"/>
        </w:rPr>
      </w:pPr>
    </w:p>
    <w:p>
      <w:pPr>
        <w:ind w:right="80" w:firstLine="576"/>
        <w:spacing w:after="0" w:line="24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89" w:lineRule="exact"/>
        <w:rPr>
          <w:sz w:val="20"/>
          <w:szCs w:val="20"/>
          <w:color w:val="auto"/>
        </w:rPr>
      </w:pPr>
    </w:p>
    <w:p>
      <w:pPr>
        <w:ind w:left="1300" w:hanging="442"/>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88" w:lineRule="exact"/>
        <w:rPr>
          <w:rFonts w:ascii="Arial" w:cs="Arial" w:eastAsia="Arial" w:hAnsi="Arial"/>
          <w:sz w:val="18"/>
          <w:szCs w:val="18"/>
          <w:color w:val="auto"/>
        </w:rPr>
      </w:pPr>
    </w:p>
    <w:p>
      <w:pPr>
        <w:ind w:left="1300" w:right="40" w:hanging="442"/>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240"/>
          </w:cols>
          <w:pgMar w:left="320" w:top="134" w:right="339" w:bottom="1440" w:gutter="0" w:footer="0" w:header="0"/>
        </w:sectPr>
      </w:pPr>
    </w:p>
    <w:p>
      <w:pPr>
        <w:spacing w:after="0" w:line="8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1% of the number of shares of our common stock then outstanding, which will equal approximately after this offering, assuming no exercise of the underwriters’ option to purchase additional shares; and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w:t>
      </w:r>
    </w:p>
    <w:p>
      <w:pPr>
        <w:spacing w:after="0" w:line="306" w:lineRule="exact"/>
        <w:rPr>
          <w:sz w:val="20"/>
          <w:szCs w:val="20"/>
          <w:color w:val="auto"/>
        </w:rPr>
      </w:pPr>
    </w:p>
    <w:p>
      <w:pPr>
        <w:sectPr>
          <w:pgSz w:w="11900" w:h="16838" w:orient="portrait"/>
          <w:cols w:equalWidth="0" w:num="3">
            <w:col w:w="920" w:space="380"/>
            <w:col w:w="8080" w:space="140"/>
            <w:col w:w="1720"/>
          </w:cols>
          <w:pgMar w:left="320" w:top="134" w:right="339" w:bottom="1440" w:gutter="0" w:footer="0" w:header="0"/>
          <w:type w:val="continuous"/>
        </w:sectPr>
      </w:pPr>
    </w:p>
    <w:p>
      <w:pPr>
        <w:ind w:left="1300" w:hanging="442"/>
        <w:spacing w:after="0" w:line="246" w:lineRule="auto"/>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Global Select Market during the four calendar weeks preceding the date of filing of a notice on Form 144 with respect to the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90" w:name="page191"/>
    <w:bookmarkEnd w:id="190"/>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As of September 30, 2020, there were 1,702,032 shares of our outstanding common stock issued in reliance on Rule 701 as a result of exercises of stock options or in the form of restricted stock awards. All 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202"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filed a registration statement on Form S-8 under the Securities Act to register shares of our common stock subject to options outstanding, as well as reserved for future issuance, under our equity compensation plans. The registration statement on Form S-8 became effective immediately upon filing, and shares of our common stock covered by the registration statement became eligible for future sale in the public market, subject to the Rule 144 limitations applicable to affiliates, vesting restrictions and any applicable market standoff agreements and lock-up agreements . See the section captioned “Executive Compensation—Employee Benefit Plans” for a description of our equity compensation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6" w:lineRule="exact"/>
        <w:rPr>
          <w:sz w:val="20"/>
          <w:szCs w:val="20"/>
          <w:color w:val="auto"/>
        </w:rPr>
      </w:pPr>
    </w:p>
    <w:p>
      <w:pPr>
        <w:jc w:val="both"/>
        <w:ind w:right="100" w:firstLine="576"/>
        <w:spacing w:after="0" w:line="238" w:lineRule="auto"/>
        <w:rPr>
          <w:sz w:val="20"/>
          <w:szCs w:val="20"/>
          <w:color w:val="auto"/>
        </w:rPr>
      </w:pPr>
      <w:r>
        <w:rPr>
          <w:rFonts w:ascii="Arial" w:cs="Arial" w:eastAsia="Arial" w:hAnsi="Arial"/>
          <w:sz w:val="18"/>
          <w:szCs w:val="18"/>
          <w:color w:val="auto"/>
        </w:rPr>
        <w:t>Upon completion of this offering, the holders of approximately 8,590,089 shares of our common stock are eligible to exercise certain 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1" w:name="page192"/>
    <w:bookmarkEnd w:id="19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21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208"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97" w:lineRule="exact"/>
        <w:rPr>
          <w:sz w:val="20"/>
          <w:szCs w:val="20"/>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1300" w:right="220" w:hanging="442"/>
        <w:spacing w:after="0" w:line="246"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7" w:lineRule="exact"/>
        <w:rPr>
          <w:rFonts w:ascii="Arial" w:cs="Arial" w:eastAsia="Arial" w:hAnsi="Arial"/>
          <w:sz w:val="18"/>
          <w:szCs w:val="18"/>
          <w:color w:val="auto"/>
        </w:rPr>
      </w:pPr>
    </w:p>
    <w:p>
      <w:pPr>
        <w:ind w:left="1300" w:right="380" w:hanging="442"/>
        <w:spacing w:after="0" w:line="246"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1300" w:right="100" w:hanging="442"/>
        <w:spacing w:after="0" w:line="246"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88" w:lineRule="exact"/>
        <w:rPr>
          <w:rFonts w:ascii="Arial" w:cs="Arial" w:eastAsia="Arial" w:hAnsi="Arial"/>
          <w:sz w:val="18"/>
          <w:szCs w:val="18"/>
          <w:color w:val="auto"/>
        </w:rPr>
      </w:pPr>
    </w:p>
    <w:p>
      <w:pPr>
        <w:ind w:left="1300" w:right="300" w:hanging="442"/>
        <w:spacing w:after="0" w:line="246"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92" w:name="page193"/>
    <w:bookmarkEnd w:id="19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40" w:firstLine="576"/>
        <w:spacing w:after="0" w:line="247"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6" w:lineRule="exact"/>
        <w:rPr>
          <w:sz w:val="20"/>
          <w:szCs w:val="20"/>
          <w:color w:val="auto"/>
        </w:rPr>
      </w:pPr>
    </w:p>
    <w:p>
      <w:pPr>
        <w:ind w:right="220" w:firstLine="576"/>
        <w:spacing w:after="0" w:line="24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89" w:lineRule="exact"/>
        <w:rPr>
          <w:sz w:val="20"/>
          <w:szCs w:val="20"/>
          <w:color w:val="auto"/>
        </w:rPr>
      </w:pPr>
    </w:p>
    <w:p>
      <w:pPr>
        <w:ind w:left="1300" w:hanging="442"/>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300" w:right="520" w:hanging="442"/>
        <w:spacing w:after="0" w:line="274" w:lineRule="auto"/>
        <w:tabs>
          <w:tab w:leader="none" w:pos="13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66" w:lineRule="exact"/>
        <w:rPr>
          <w:rFonts w:ascii="Arial" w:cs="Arial" w:eastAsia="Arial" w:hAnsi="Arial"/>
          <w:sz w:val="17"/>
          <w:szCs w:val="17"/>
          <w:color w:val="auto"/>
        </w:rPr>
      </w:pPr>
    </w:p>
    <w:p>
      <w:pPr>
        <w:ind w:left="1300" w:hanging="442"/>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1300" w:right="180" w:hanging="442"/>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205"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207"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3" w:name="page194"/>
    <w:bookmarkEnd w:id="19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104" w:lineRule="exact"/>
        <w:rPr>
          <w:sz w:val="20"/>
          <w:szCs w:val="20"/>
          <w:color w:val="auto"/>
        </w:rPr>
      </w:pPr>
    </w:p>
    <w:p>
      <w:pPr>
        <w:ind w:left="1300" w:right="380" w:hanging="442"/>
        <w:spacing w:after="0" w:line="246"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88" w:lineRule="exact"/>
        <w:rPr>
          <w:rFonts w:ascii="Arial" w:cs="Arial" w:eastAsia="Arial" w:hAnsi="Arial"/>
          <w:sz w:val="18"/>
          <w:szCs w:val="18"/>
          <w:color w:val="auto"/>
        </w:rPr>
      </w:pPr>
    </w:p>
    <w:p>
      <w:pPr>
        <w:ind w:left="1300" w:right="340" w:hanging="442"/>
        <w:spacing w:after="0" w:line="246" w:lineRule="auto"/>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88" w:lineRule="exact"/>
        <w:rPr>
          <w:rFonts w:ascii="Arial" w:cs="Arial" w:eastAsia="Arial" w:hAnsi="Arial"/>
          <w:sz w:val="18"/>
          <w:szCs w:val="18"/>
          <w:color w:val="auto"/>
        </w:rPr>
      </w:pPr>
    </w:p>
    <w:p>
      <w:pPr>
        <w:jc w:val="both"/>
        <w:ind w:left="1300" w:right="40" w:hanging="442"/>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203"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20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94" w:name="page195"/>
    <w:bookmarkEnd w:id="19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6"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20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6" w:lineRule="exact"/>
        <w:rPr>
          <w:sz w:val="20"/>
          <w:szCs w:val="20"/>
          <w:color w:val="auto"/>
        </w:rPr>
      </w:pPr>
    </w:p>
    <w:p>
      <w:pPr>
        <w:ind w:right="80" w:firstLine="576"/>
        <w:spacing w:after="0" w:line="236"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206"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292" w:lineRule="exact"/>
        <w:rPr>
          <w:sz w:val="20"/>
          <w:szCs w:val="20"/>
          <w:color w:val="auto"/>
        </w:rPr>
      </w:pPr>
    </w:p>
    <w:p>
      <w:pPr>
        <w:ind w:right="160" w:firstLine="576"/>
        <w:spacing w:after="0" w:line="247"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5" w:name="page196"/>
    <w:bookmarkEnd w:id="195"/>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9"/>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4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14605</wp:posOffset>
            </wp:positionV>
            <wp:extent cx="12687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73"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97"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p>
      <w:pPr>
        <w:ind w:right="200"/>
        <w:spacing w:after="0" w:line="243" w:lineRule="auto"/>
        <w:rPr>
          <w:sz w:val="20"/>
          <w:szCs w:val="20"/>
          <w:color w:val="auto"/>
        </w:rPr>
      </w:pPr>
      <w:r>
        <w:rPr>
          <w:rFonts w:ascii="Arial" w:cs="Arial" w:eastAsia="Arial" w:hAnsi="Arial"/>
          <w:sz w:val="18"/>
          <w:szCs w:val="18"/>
          <w:color w:val="auto"/>
        </w:rPr>
        <w:t>amounts are shown assuming both no exercise and full exercise of the underwriters’ option to purchase up to an additional shares from us.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840" w:type="dxa"/>
            <w:vAlign w:val="bottom"/>
            <w:gridSpan w:val="2"/>
          </w:tcPr>
          <w:p>
            <w:pPr>
              <w:ind w:left="420"/>
              <w:spacing w:after="0"/>
              <w:rPr>
                <w:sz w:val="20"/>
                <w:szCs w:val="20"/>
                <w:color w:val="auto"/>
              </w:rPr>
            </w:pPr>
            <w:r>
              <w:rPr>
                <w:rFonts w:ascii="Arial" w:cs="Arial" w:eastAsia="Arial" w:hAnsi="Arial"/>
                <w:sz w:val="14"/>
                <w:szCs w:val="14"/>
                <w:b w:val="1"/>
                <w:bCs w:val="1"/>
                <w:color w:val="auto"/>
              </w:rPr>
              <w:t>No Exercise</w:t>
            </w:r>
          </w:p>
        </w:tc>
        <w:tc>
          <w:tcPr>
            <w:tcW w:w="1680" w:type="dxa"/>
            <w:vAlign w:val="bottom"/>
          </w:tcPr>
          <w:p>
            <w:pPr>
              <w:jc w:val="right"/>
              <w:ind w:right="316"/>
              <w:spacing w:after="0"/>
              <w:rPr>
                <w:sz w:val="20"/>
                <w:szCs w:val="20"/>
                <w:color w:val="auto"/>
              </w:rPr>
            </w:pPr>
            <w:r>
              <w:rPr>
                <w:rFonts w:ascii="Arial" w:cs="Arial" w:eastAsia="Arial" w:hAnsi="Arial"/>
                <w:sz w:val="14"/>
                <w:szCs w:val="14"/>
                <w:b w:val="1"/>
                <w:bCs w:val="1"/>
                <w:color w:val="auto"/>
              </w:rPr>
              <w:t>Full Exercise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w:t>
            </w:r>
          </w:p>
        </w:tc>
        <w:tc>
          <w:tcPr>
            <w:tcW w:w="1680" w:type="dxa"/>
            <w:vAlign w:val="bottom"/>
            <w:tcBorders>
              <w:top w:val="single" w:sz="8" w:color="auto"/>
            </w:tcBorders>
            <w:shd w:val="clear" w:color="auto" w:fill="CFF0FC"/>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ind w:right="14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680" w:type="dxa"/>
            <w:vAlign w:val="bottom"/>
          </w:tcPr>
          <w:p>
            <w:pPr>
              <w:jc w:val="right"/>
              <w:ind w:right="1496"/>
              <w:spacing w:after="0"/>
              <w:rPr>
                <w:sz w:val="20"/>
                <w:szCs w:val="20"/>
                <w:color w:val="auto"/>
              </w:rPr>
            </w:pPr>
            <w:r>
              <w:rPr>
                <w:rFonts w:ascii="Arial" w:cs="Arial" w:eastAsia="Arial" w:hAnsi="Arial"/>
                <w:sz w:val="18"/>
                <w:szCs w:val="18"/>
                <w:color w:val="auto"/>
                <w:w w:val="79"/>
              </w:rPr>
              <w:t>$</w:t>
            </w:r>
          </w:p>
        </w:tc>
      </w:tr>
    </w:tbl>
    <w:p>
      <w:pPr>
        <w:spacing w:after="0" w:line="2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w:t>
      </w:r>
    </w:p>
    <w:p>
      <w:pPr>
        <w:ind w:right="38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5"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connection with our initial public offering, we and our officers, directors, and holders of substantially all of our common stock and securities convertible into or exchangeable for our common stock agreed with the underwriters, subject to certain exceptions, not to dispose of or hedge any of our or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written consent of Goldman Sachs &amp; Co. LLC and Jefferies LLC. In addition, we and our officers and directors and certain of our stockholders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90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is listed on the Nasdaq Global Select Market under the symbol "ATHA".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3"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205" w:lineRule="exact"/>
        <w:rPr>
          <w:sz w:val="20"/>
          <w:szCs w:val="20"/>
          <w:color w:val="auto"/>
        </w:rPr>
      </w:pPr>
    </w:p>
    <w:p>
      <w:pPr>
        <w:ind w:right="860" w:firstLine="576"/>
        <w:spacing w:after="0" w:line="24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 We have agreed to reimburse the underwriters for certain of their expenses in an amount up to $.</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may in the future provide, a variety of these services to the issuer and to persons and entities with relationships with the issuer, for which they will receive customary fees and expenses. For example, certain of the underwriters also served as underwriters in our initial public offering in September 2020.</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97" w:name="page198"/>
    <w:bookmarkEnd w:id="197"/>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respect of such assets, securities or instruments and may at any time hold, or recommend to clients that they should acquire, long and/or short positions in such assets, securities and instruments.</w:t>
      </w:r>
    </w:p>
    <w:p>
      <w:pPr>
        <w:spacing w:after="0" w:line="197" w:lineRule="exact"/>
        <w:rPr>
          <w:sz w:val="20"/>
          <w:szCs w:val="20"/>
          <w:color w:val="auto"/>
        </w:rPr>
      </w:pPr>
    </w:p>
    <w:p>
      <w:pPr>
        <w:ind w:right="180" w:firstLine="576"/>
        <w:spacing w:after="0" w:line="255" w:lineRule="auto"/>
        <w:rPr>
          <w:sz w:val="20"/>
          <w:szCs w:val="20"/>
          <w:color w:val="auto"/>
        </w:rPr>
      </w:pPr>
      <w:r>
        <w:rPr>
          <w:rFonts w:ascii="Arial" w:cs="Arial" w:eastAsia="Arial" w:hAnsi="Arial"/>
          <w:sz w:val="17"/>
          <w:szCs w:val="17"/>
          <w:color w:val="auto"/>
        </w:rPr>
        <w:t>In May 2020, we issued a warrant to JMP Securities LLC to purchase up to 127,481 shares of our Series B convertible preferred stock. Immediately prior to the closing of our initial public offering, the warrant automatically converted into a warrant to purchase an aggregate of 127,481 shares of our common stock and then was automatically net exercised into 59,091 shares of our common stock. The shares of common stock issued on exercise of the warrant are subject to the 180-day lock-up restrictions related to our initial public offering pursuant to FINRA Rule 5110(g) and a 180-day lock-up agreement with the underwriters in connection with our initial public offering.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7" w:lineRule="exact"/>
        <w:rPr>
          <w:sz w:val="20"/>
          <w:szCs w:val="20"/>
          <w:color w:val="auto"/>
        </w:rPr>
      </w:pPr>
    </w:p>
    <w:p>
      <w:pPr>
        <w:ind w:left="1300" w:hanging="442"/>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300" w:right="560" w:hanging="442"/>
        <w:spacing w:after="0" w:line="24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88" w:lineRule="exact"/>
        <w:rPr>
          <w:rFonts w:ascii="Arial" w:cs="Arial" w:eastAsia="Arial" w:hAnsi="Arial"/>
          <w:sz w:val="18"/>
          <w:szCs w:val="18"/>
          <w:color w:val="auto"/>
        </w:rPr>
      </w:pPr>
    </w:p>
    <w:p>
      <w:pPr>
        <w:ind w:left="1300" w:hanging="442"/>
        <w:spacing w:after="0"/>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100" w:firstLine="576"/>
        <w:spacing w:after="0" w:line="246"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Underwriter has represented and agreed that:</w:t>
      </w:r>
    </w:p>
    <w:p>
      <w:pPr>
        <w:spacing w:after="0" w:line="104" w:lineRule="exact"/>
        <w:rPr>
          <w:sz w:val="20"/>
          <w:szCs w:val="20"/>
          <w:color w:val="auto"/>
        </w:rPr>
      </w:pPr>
    </w:p>
    <w:p>
      <w:pPr>
        <w:ind w:left="1300" w:right="420" w:hanging="442"/>
        <w:spacing w:after="0" w:line="238"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96" w:lineRule="exact"/>
        <w:rPr>
          <w:rFonts w:ascii="Arial" w:cs="Arial" w:eastAsia="Arial" w:hAnsi="Arial"/>
          <w:sz w:val="18"/>
          <w:szCs w:val="18"/>
          <w:color w:val="auto"/>
        </w:rPr>
      </w:pPr>
    </w:p>
    <w:p>
      <w:pPr>
        <w:ind w:left="1300" w:hanging="442"/>
        <w:spacing w:after="0" w:line="246"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6" w:lineRule="exact"/>
        <w:rPr>
          <w:sz w:val="20"/>
          <w:szCs w:val="20"/>
          <w:color w:val="auto"/>
        </w:rPr>
      </w:pPr>
    </w:p>
    <w:p>
      <w:pPr>
        <w:ind w:right="20" w:firstLine="864"/>
        <w:spacing w:after="0" w:line="246"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8" w:name="page199"/>
    <w:bookmarkEnd w:id="198"/>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203" w:lineRule="exact"/>
        <w:rPr>
          <w:sz w:val="20"/>
          <w:szCs w:val="20"/>
          <w:color w:val="auto"/>
        </w:rPr>
      </w:pPr>
    </w:p>
    <w:p>
      <w:pPr>
        <w:ind w:right="140" w:firstLine="864"/>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02" w:lineRule="exact"/>
        <w:rPr>
          <w:sz w:val="20"/>
          <w:szCs w:val="20"/>
          <w:color w:val="auto"/>
        </w:rPr>
      </w:pPr>
    </w:p>
    <w:p>
      <w:pPr>
        <w:ind w:right="280" w:firstLine="864"/>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6"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99" w:name="page200"/>
    <w:bookmarkEnd w:id="19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276(7) of the SFA, or (6) as specified in Regulation 32 of the Securities and Futures (Offers of Investments) (Shares and Debentures) Regulations 2005 of Singapore, or Regulation 32.</w:t>
      </w:r>
    </w:p>
    <w:p>
      <w:pPr>
        <w:spacing w:after="0" w:line="197"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08" w:lineRule="exact"/>
        <w:rPr>
          <w:sz w:val="20"/>
          <w:szCs w:val="20"/>
          <w:color w:val="auto"/>
        </w:rPr>
      </w:pPr>
    </w:p>
    <w:p>
      <w:pPr>
        <w:ind w:right="320" w:firstLine="576"/>
        <w:spacing w:after="0" w:line="23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6"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6" w:lineRule="exact"/>
        <w:rPr>
          <w:sz w:val="20"/>
          <w:szCs w:val="20"/>
          <w:color w:val="auto"/>
        </w:rPr>
      </w:pPr>
    </w:p>
    <w:p>
      <w:pPr>
        <w:jc w:val="both"/>
        <w:ind w:firstLine="576"/>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205"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205"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202"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0" w:name="page201"/>
    <w:bookmarkEnd w:id="200"/>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6"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6" w:lineRule="exact"/>
        <w:rPr>
          <w:sz w:val="20"/>
          <w:szCs w:val="20"/>
          <w:color w:val="auto"/>
        </w:rPr>
      </w:pPr>
    </w:p>
    <w:p>
      <w:pPr>
        <w:jc w:val="both"/>
        <w:ind w:firstLine="576"/>
        <w:spacing w:after="0" w:line="234" w:lineRule="auto"/>
        <w:rPr>
          <w:sz w:val="20"/>
          <w:szCs w:val="20"/>
          <w:color w:val="auto"/>
        </w:rPr>
      </w:pPr>
      <w:r>
        <w:rPr>
          <w:rFonts w:ascii="Arial" w:cs="Arial" w:eastAsia="Arial" w:hAnsi="Arial"/>
          <w:sz w:val="18"/>
          <w:szCs w:val="18"/>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licensable, with FINMA.</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01" w:name="page202"/>
    <w:bookmarkEnd w:id="20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13,706 shares of our common stock, which is less than 1% of our outstanding shares of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205"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We are subject to the information and reporting requirements of the Exchange Act and, in accordance with this law, file periodic reports, proxy statements and other information with the SEC. These periodic reports, proxy statements and other information are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02" w:name="page203"/>
    <w:bookmarkEnd w:id="202"/>
    <w:p>
      <w:pPr>
        <w:jc w:val="center"/>
        <w:ind w:left="1160"/>
        <w:spacing w:after="0"/>
        <w:rPr>
          <w:sz w:val="20"/>
          <w:szCs w:val="20"/>
          <w:color w:val="auto"/>
        </w:rPr>
      </w:pPr>
      <w:r>
        <w:rPr>
          <w:rFonts w:ascii="Arial" w:cs="Arial" w:eastAsia="Arial" w:hAnsi="Arial"/>
          <w:sz w:val="17"/>
          <w:szCs w:val="17"/>
          <w:color w:val="auto"/>
        </w:rPr>
        <w:t>Confidential Treatment Requested by Athira Pharma, Inc.</w:t>
      </w:r>
    </w:p>
    <w:p>
      <w:pPr>
        <w:spacing w:after="0" w:line="6"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ATHIRA PHARMA, INC.</w:t>
      </w:r>
    </w:p>
    <w:p>
      <w:pPr>
        <w:spacing w:after="0" w:line="23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INDEX TO FINANCIAL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31" w:lineRule="exact"/>
        <w:rPr>
          <w:sz w:val="20"/>
          <w:szCs w:val="20"/>
          <w:color w:val="auto"/>
        </w:rPr>
      </w:pPr>
    </w:p>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Statements of Operations and Comprehensive Loss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Statements of Convertible Preferred Stock and Stockholders’ Deficit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Notes to Financial Statements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Consolidated Financial Statements: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Condensed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Condensed Consolidated Statements of Operations and Comprehensive Loss</w:t>
        </w:r>
      </w:hyperlink>
    </w:p>
    <w:p>
      <w:pPr>
        <w:spacing w:after="0" w:line="9" w:lineRule="exact"/>
        <w:rPr>
          <w:sz w:val="20"/>
          <w:szCs w:val="20"/>
          <w:color w:val="auto"/>
        </w:rPr>
      </w:pPr>
    </w:p>
    <w:p>
      <w:pPr>
        <w:ind w:right="2560"/>
        <w:spacing w:after="0" w:line="250" w:lineRule="auto"/>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Condensed Consolidated Statements of Convertible Preferred Stock and Stockholders’ Deficit</w:t>
        </w:r>
      </w:hyperlink>
      <w:r>
        <w:rPr>
          <w:rFonts w:ascii="Arial" w:cs="Arial" w:eastAsia="Arial" w:hAnsi="Arial"/>
          <w:sz w:val="18"/>
          <w:szCs w:val="18"/>
          <w:u w:val="single" w:color="auto"/>
          <w:color w:val="0000EE"/>
        </w:rPr>
        <w:t xml:space="preserve"> </w:t>
      </w:r>
      <w:hyperlink w:anchor="page233">
        <w:r>
          <w:rPr>
            <w:rFonts w:ascii="Arial" w:cs="Arial" w:eastAsia="Arial" w:hAnsi="Arial"/>
            <w:sz w:val="18"/>
            <w:szCs w:val="18"/>
            <w:u w:val="single" w:color="auto"/>
            <w:color w:val="0000EE"/>
          </w:rPr>
          <w:t>Condensed Consolidated Statements of Cash Flows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Notes to Unaudited Condensed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F-4</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F-6</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F-7</w:t>
      </w: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F-27</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F-28</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F-32</w:t>
      </w:r>
    </w:p>
    <w:p>
      <w:pPr>
        <w:sectPr>
          <w:pgSz w:w="11900" w:h="16838" w:orient="portrait"/>
          <w:cols w:equalWidth="0" w:num="2">
            <w:col w:w="10040" w:space="720"/>
            <w:col w:w="480"/>
          </w:cols>
          <w:pgMar w:left="320" w:top="140" w:right="339" w:bottom="1440" w:gutter="0" w:footer="0" w:header="0"/>
        </w:sectPr>
      </w:pPr>
    </w:p>
    <w:bookmarkStart w:id="203" w:name="page204"/>
    <w:bookmarkEnd w:id="20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ind w:right="2580" w:firstLine="2572"/>
        <w:spacing w:after="0" w:line="44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Athira Pharma, Inc.:</w:t>
      </w: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0" w:firstLine="864"/>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80" w:firstLine="864"/>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4" w:lineRule="auto"/>
        <w:rPr>
          <w:sz w:val="20"/>
          <w:szCs w:val="20"/>
          <w:color w:val="auto"/>
        </w:rPr>
      </w:pPr>
      <w:r>
        <w:rPr>
          <w:rFonts w:ascii="Arial" w:cs="Arial" w:eastAsia="Arial" w:hAnsi="Arial"/>
          <w:sz w:val="18"/>
          <w:szCs w:val="18"/>
          <w:color w:val="auto"/>
        </w:rPr>
        <w:t>July 24, 2020</w:t>
      </w:r>
    </w:p>
    <w:p>
      <w:pPr>
        <w:spacing w:after="0" w:line="235" w:lineRule="auto"/>
        <w:rPr>
          <w:sz w:val="20"/>
          <w:szCs w:val="20"/>
          <w:color w:val="auto"/>
        </w:rPr>
      </w:pPr>
      <w:r>
        <w:rPr>
          <w:rFonts w:ascii="Arial" w:cs="Arial" w:eastAsia="Arial" w:hAnsi="Arial"/>
          <w:sz w:val="18"/>
          <w:szCs w:val="18"/>
          <w:color w:val="auto"/>
        </w:rPr>
        <w:t>except for note 17(a), 17(g), 17(h) and 17(i),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4" w:name="page205"/>
    <w:bookmarkEnd w:id="20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Convertible preferred stock, $0.0001 par value per share;</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2,797,464 shares authorized; 2,617,386 issued and</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liquidation preference of $16,288 at December 31, 2018 and 2019</w:t>
            </w:r>
          </w:p>
        </w:tc>
        <w:tc>
          <w:tcPr>
            <w:tcW w:w="9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17,051</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17,051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10,088,017 shares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3,559,484 and 3,641,449 shares issued and</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outstanding at December 31, 2018 and 2019, respectively</w:t>
            </w:r>
          </w:p>
        </w:tc>
        <w:tc>
          <w:tcPr>
            <w:tcW w:w="980" w:type="dxa"/>
            <w:vAlign w:val="bottom"/>
          </w:tcPr>
          <w:p>
            <w:pPr>
              <w:spacing w:after="0"/>
              <w:rPr>
                <w:sz w:val="17"/>
                <w:szCs w:val="17"/>
                <w:color w:val="auto"/>
              </w:rPr>
            </w:pPr>
          </w:p>
        </w:tc>
        <w:tc>
          <w:tcPr>
            <w:tcW w:w="8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1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(15,926)</w:t>
            </w:r>
          </w:p>
        </w:tc>
        <w:tc>
          <w:tcPr>
            <w:tcW w:w="5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(14,887)</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(19,723)</w:t>
            </w: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liabilities, convertible preferred stock and stockholders'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660"/>
              <w:spacing w:after="0" w:line="203" w:lineRule="exact"/>
              <w:rPr>
                <w:sz w:val="20"/>
                <w:szCs w:val="20"/>
                <w:color w:val="auto"/>
              </w:rPr>
            </w:pPr>
            <w:r>
              <w:rPr>
                <w:rFonts w:ascii="Arial" w:cs="Arial" w:eastAsia="Arial" w:hAnsi="Arial"/>
                <w:sz w:val="18"/>
                <w:szCs w:val="18"/>
                <w:color w:val="auto"/>
              </w:rPr>
              <w:t>deficit</w:t>
            </w:r>
          </w:p>
        </w:tc>
        <w:tc>
          <w:tcPr>
            <w:tcW w:w="980" w:type="dxa"/>
            <w:vAlign w:val="bottom"/>
            <w:tcBorders>
              <w:bottom w:val="single" w:sz="8" w:color="auto"/>
            </w:tcBorders>
          </w:tcPr>
          <w:p>
            <w:pPr>
              <w:jc w:val="right"/>
              <w:ind w:right="794"/>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4,933</w:t>
            </w:r>
          </w:p>
        </w:tc>
        <w:tc>
          <w:tcPr>
            <w:tcW w:w="26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5" w:name="page206"/>
    <w:bookmarkEnd w:id="205"/>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18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(5,097)</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3,469,153</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(unaudited)</w:t>
            </w:r>
          </w:p>
        </w:tc>
        <w:tc>
          <w:tcPr>
            <w:tcW w:w="3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6,186,544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6" w:name="page207"/>
    <w:bookmarkEnd w:id="20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922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9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2"/>
        </w:trPr>
        <w:tc>
          <w:tcPr>
            <w:tcW w:w="3680" w:type="dxa"/>
            <w:vAlign w:val="bottom"/>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2,607,298</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of $1.25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10,088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3" w:lineRule="exact"/>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75"/>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9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3,243,291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(10,098)</w:t>
            </w:r>
          </w:p>
        </w:tc>
      </w:tr>
      <w:tr>
        <w:trPr>
          <w:trHeight w:val="621"/>
        </w:trPr>
        <w:tc>
          <w:tcPr>
            <w:tcW w:w="920" w:type="dxa"/>
            <w:vAlign w:val="bottom"/>
          </w:tcPr>
          <w:p>
            <w:pPr>
              <w:jc w:val="right"/>
              <w:spacing w:after="0"/>
              <w:rPr>
                <w:sz w:val="20"/>
                <w:szCs w:val="20"/>
                <w:color w:val="auto"/>
              </w:rPr>
            </w:pPr>
            <w:r>
              <w:rPr>
                <w:rFonts w:ascii="Arial" w:cs="Arial" w:eastAsia="Arial" w:hAnsi="Arial"/>
                <w:sz w:val="18"/>
                <w:szCs w:val="18"/>
                <w:color w:val="auto"/>
              </w:rPr>
              <w:t>303,583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620"/>
        </w:trPr>
        <w:tc>
          <w:tcPr>
            <w:tcW w:w="920" w:type="dxa"/>
            <w:vAlign w:val="bottom"/>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03"/>
        </w:trPr>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(5,097)</w:t>
            </w:r>
          </w:p>
        </w:tc>
        <w:tc>
          <w:tcPr>
            <w:tcW w:w="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(5,097)</w:t>
            </w: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(15,926)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(14,887)</w:t>
            </w:r>
          </w:p>
        </w:tc>
      </w:tr>
      <w:tr>
        <w:trPr>
          <w:trHeight w:val="620"/>
        </w:trPr>
        <w:tc>
          <w:tcPr>
            <w:tcW w:w="920" w:type="dxa"/>
            <w:vAlign w:val="bottom"/>
          </w:tcPr>
          <w:p>
            <w:pPr>
              <w:jc w:val="right"/>
              <w:spacing w:after="0"/>
              <w:rPr>
                <w:sz w:val="20"/>
                <w:szCs w:val="20"/>
                <w:color w:val="auto"/>
              </w:rPr>
            </w:pPr>
            <w:r>
              <w:rPr>
                <w:rFonts w:ascii="Arial" w:cs="Arial" w:eastAsia="Arial" w:hAnsi="Arial"/>
                <w:sz w:val="18"/>
                <w:szCs w:val="18"/>
                <w:color w:val="auto"/>
              </w:rPr>
              <w:t>81,965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03"/>
        </w:trPr>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ind w:left="480"/>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(5,161)</w:t>
            </w:r>
          </w:p>
        </w:tc>
        <w:tc>
          <w:tcPr>
            <w:tcW w:w="1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(5,161)</w:t>
            </w:r>
          </w:p>
        </w:tc>
      </w:tr>
      <w:tr>
        <w:trPr>
          <w:trHeight w:val="20"/>
        </w:trPr>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(21,087)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(19,723)</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5620" w:space="320"/>
            <w:col w:w="5280"/>
          </w:cols>
          <w:pgMar w:left="320" w:top="134"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type w:val="continuous"/>
        </w:sectPr>
      </w:pPr>
    </w:p>
    <w:bookmarkStart w:id="207" w:name="page208"/>
    <w:bookmarkEnd w:id="207"/>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(4,483)</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(3,713)</w:t>
            </w: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7"/>
                <w:szCs w:val="17"/>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0"/>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8" w:name="page209"/>
    <w:bookmarkEnd w:id="208"/>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98"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26" w:lineRule="exact"/>
        <w:rPr>
          <w:sz w:val="20"/>
          <w:szCs w:val="20"/>
          <w:color w:val="auto"/>
        </w:rPr>
      </w:pPr>
    </w:p>
    <w:p>
      <w:pPr>
        <w:ind w:right="60" w:firstLine="576"/>
        <w:spacing w:after="0" w:line="236" w:lineRule="auto"/>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20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7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right="7900" w:firstLine="8"/>
        <w:spacing w:after="0" w:line="372" w:lineRule="auto"/>
        <w:tabs>
          <w:tab w:leader="none" w:pos="567"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205"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right="440" w:firstLine="576"/>
        <w:spacing w:after="0" w:line="24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jc w:val="both"/>
        <w:ind w:right="280" w:firstLine="576"/>
        <w:spacing w:after="0"/>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The Company estimates the fair value of the grant liability by using a</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34" w:right="419" w:bottom="1440" w:gutter="0" w:footer="0" w:header="0"/>
        </w:sectPr>
      </w:pPr>
    </w:p>
    <w:bookmarkStart w:id="210" w:name="page211"/>
    <w:bookmarkEnd w:id="210"/>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26" w:lineRule="exact"/>
        <w:rPr>
          <w:sz w:val="20"/>
          <w:szCs w:val="20"/>
          <w:color w:val="auto"/>
        </w:rPr>
      </w:pPr>
    </w:p>
    <w:p>
      <w:pPr>
        <w:ind w:right="160" w:firstLine="576"/>
        <w:spacing w:after="0" w:line="236" w:lineRule="auto"/>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8"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1" w:name="page212"/>
    <w:bookmarkEnd w:id="211"/>
    <w:p>
      <w:pPr>
        <w:jc w:val="center"/>
        <w:ind w:right="-5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9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0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5"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0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ind w:right="80"/>
        <w:spacing w:after="0"/>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34" w:right="439" w:bottom="1440" w:gutter="0" w:footer="0" w:header="0"/>
        </w:sectPr>
      </w:pPr>
    </w:p>
    <w:bookmarkStart w:id="212" w:name="page213"/>
    <w:bookmarkEnd w:id="21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right="720" w:firstLine="576"/>
        <w:spacing w:after="0" w:line="24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right="400" w:firstLine="576"/>
        <w:spacing w:after="0" w:line="23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26"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26" w:lineRule="exact"/>
        <w:rPr>
          <w:sz w:val="20"/>
          <w:szCs w:val="20"/>
          <w:color w:val="auto"/>
        </w:rPr>
      </w:pPr>
    </w:p>
    <w:p>
      <w:pPr>
        <w:ind w:right="640" w:firstLine="576"/>
        <w:spacing w:after="0" w:line="246"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3" w:name="page214"/>
    <w:bookmarkEnd w:id="213"/>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84" w:lineRule="exact"/>
        <w:rPr>
          <w:sz w:val="20"/>
          <w:szCs w:val="20"/>
          <w:color w:val="auto"/>
        </w:rPr>
      </w:pPr>
    </w:p>
    <w:p>
      <w:pPr>
        <w:ind w:right="80" w:firstLine="576"/>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85"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8"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85"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Short-term investments consisted of available-for-sale securities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4" w:name="page215"/>
    <w:bookmarkEnd w:id="21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ind w:left="580" w:hanging="572"/>
        <w:spacing w:after="0"/>
        <w:tabs>
          <w:tab w:leader="none" w:pos="5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26" w:lineRule="exact"/>
        <w:rPr>
          <w:sz w:val="20"/>
          <w:szCs w:val="20"/>
          <w:color w:val="auto"/>
        </w:rPr>
      </w:pPr>
    </w:p>
    <w:p>
      <w:pPr>
        <w:ind w:right="80" w:firstLine="576"/>
        <w:spacing w:after="0" w:line="274"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49" w:lineRule="exact"/>
        <w:rPr>
          <w:sz w:val="20"/>
          <w:szCs w:val="20"/>
          <w:color w:val="auto"/>
        </w:rPr>
      </w:pPr>
    </w:p>
    <w:p>
      <w:pPr>
        <w:ind w:left="580" w:right="60"/>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ind w:left="580" w:right="340"/>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2" w:lineRule="exact"/>
        <w:rPr>
          <w:sz w:val="20"/>
          <w:szCs w:val="20"/>
          <w:color w:val="auto"/>
        </w:rPr>
      </w:pPr>
    </w:p>
    <w:p>
      <w:pPr>
        <w:ind w:left="580" w:right="20"/>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95" w:lineRule="exact"/>
        <w:rPr>
          <w:sz w:val="20"/>
          <w:szCs w:val="20"/>
          <w:color w:val="auto"/>
        </w:rPr>
      </w:pPr>
    </w:p>
    <w:p>
      <w:pPr>
        <w:jc w:val="both"/>
        <w:ind w:right="80" w:firstLine="576"/>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5" w:lineRule="exact"/>
        <w:rPr>
          <w:sz w:val="20"/>
          <w:szCs w:val="20"/>
          <w:color w:val="auto"/>
        </w:rPr>
      </w:pPr>
    </w:p>
    <w:p>
      <w:pPr>
        <w:jc w:val="both"/>
        <w:ind w:right="60" w:firstLine="576"/>
        <w:spacing w:after="0" w:line="24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December 31, 2018</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10"/>
        </w:trPr>
        <w:tc>
          <w:tcPr>
            <w:tcW w:w="5820" w:type="dxa"/>
            <w:vAlign w:val="bottom"/>
            <w:tcBorders>
              <w:top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880" w:type="dxa"/>
            <w:vAlign w:val="bottom"/>
          </w:tcPr>
          <w:p>
            <w:pPr>
              <w:jc w:val="right"/>
              <w:ind w:right="706"/>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0"/>
        </w:trPr>
        <w:tc>
          <w:tcPr>
            <w:tcW w:w="5820" w:type="dxa"/>
            <w:vAlign w:val="bottom"/>
            <w:tcBorders>
              <w:right w:val="single" w:sz="8" w:color="CFF0FC"/>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2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FF0FC"/>
          </w:tcPr>
          <w:p>
            <w:pPr>
              <w:jc w:val="right"/>
              <w:ind w:right="706"/>
              <w:spacing w:after="0"/>
              <w:rPr>
                <w:sz w:val="20"/>
                <w:szCs w:val="20"/>
                <w:color w:val="auto"/>
              </w:rPr>
            </w:pPr>
            <w:r>
              <w:rPr>
                <w:rFonts w:ascii="Arial" w:cs="Arial" w:eastAsia="Arial" w:hAnsi="Arial"/>
                <w:sz w:val="18"/>
                <w:szCs w:val="18"/>
                <w:color w:val="auto"/>
                <w:w w:val="79"/>
              </w:rPr>
              <w:t>$</w:t>
            </w:r>
          </w:p>
        </w:tc>
        <w:tc>
          <w:tcPr>
            <w:tcW w:w="280" w:type="dxa"/>
            <w:vAlign w:val="bottom"/>
            <w:tcBorders>
              <w:righ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spacing w:after="0"/>
              <w:rPr>
                <w:sz w:val="18"/>
                <w:szCs w:val="18"/>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58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right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706"/>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December 31, 2019</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5820" w:type="dxa"/>
            <w:vAlign w:val="bottom"/>
            <w:tcBorders>
              <w:top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right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16"/>
        </w:trPr>
        <w:tc>
          <w:tcPr>
            <w:tcW w:w="582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right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5" w:name="page216"/>
    <w:bookmarkEnd w:id="215"/>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 recorded upon issuance of convertible notes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91"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38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33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3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8"/>
                <w:szCs w:val="18"/>
                <w:color w:val="auto"/>
              </w:rPr>
            </w:pPr>
          </w:p>
        </w:tc>
      </w:tr>
      <w:tr>
        <w:trPr>
          <w:trHeight w:val="210"/>
        </w:trPr>
        <w:tc>
          <w:tcPr>
            <w:tcW w:w="538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334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ind w:left="580" w:hanging="572"/>
        <w:spacing w:after="0"/>
        <w:tabs>
          <w:tab w:leader="none" w:pos="5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3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w:t>
            </w: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(164)</w:t>
            </w: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580" w:hanging="572"/>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202" w:lineRule="exact"/>
        <w:rPr>
          <w:sz w:val="20"/>
          <w:szCs w:val="20"/>
          <w:color w:val="auto"/>
        </w:rPr>
      </w:pPr>
    </w:p>
    <w:p>
      <w:pPr>
        <w:ind w:right="820" w:firstLine="576"/>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6" w:name="page217"/>
    <w:bookmarkEnd w:id="21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40" w:firstLine="576"/>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203"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jc w:val="both"/>
        <w:ind w:right="160" w:firstLine="576"/>
        <w:spacing w:after="0"/>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95" w:lineRule="exact"/>
        <w:rPr>
          <w:sz w:val="20"/>
          <w:szCs w:val="20"/>
          <w:color w:val="auto"/>
        </w:rPr>
      </w:pPr>
    </w:p>
    <w:p>
      <w:pPr>
        <w:ind w:left="800" w:hanging="225"/>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19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17" w:name="page218"/>
    <w:bookmarkEnd w:id="217"/>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340" w:firstLine="576"/>
        <w:spacing w:after="0" w:line="261"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72" w:lineRule="exact"/>
        <w:rPr>
          <w:sz w:val="20"/>
          <w:szCs w:val="20"/>
          <w:color w:val="auto"/>
        </w:rPr>
      </w:pPr>
    </w:p>
    <w:p>
      <w:pPr>
        <w:ind w:left="580" w:hanging="572"/>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26" w:lineRule="exact"/>
        <w:rPr>
          <w:sz w:val="20"/>
          <w:szCs w:val="20"/>
          <w:color w:val="auto"/>
        </w:rPr>
      </w:pPr>
    </w:p>
    <w:p>
      <w:pPr>
        <w:ind w:right="160" w:firstLine="576"/>
        <w:spacing w:after="0" w:line="236" w:lineRule="auto"/>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208"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03" w:lineRule="exact"/>
        <w:rPr>
          <w:sz w:val="20"/>
          <w:szCs w:val="20"/>
          <w:color w:val="auto"/>
        </w:rPr>
      </w:pPr>
    </w:p>
    <w:p>
      <w:pPr>
        <w:ind w:firstLine="576"/>
        <w:spacing w:after="0" w:line="24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294,197 shares of Series B-1 convertible preferred stock. See Note 17.</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(532)</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right="7800" w:firstLine="8"/>
        <w:spacing w:after="0" w:line="372" w:lineRule="auto"/>
        <w:tabs>
          <w:tab w:leader="none" w:pos="567"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8" w:name="page219"/>
    <w:bookmarkEnd w:id="21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future expenditures will be made and that such expenditures can be reasonably estimated. Significant judgment is required to determine both probability and the estimated amount.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92"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Carrying Value at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3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5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Authorized</w:t>
            </w:r>
          </w:p>
        </w:tc>
        <w:tc>
          <w:tcPr>
            <w:tcW w:w="26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Preference</w:t>
            </w:r>
          </w:p>
        </w:tc>
        <w:tc>
          <w:tcPr>
            <w:tcW w:w="120" w:type="dxa"/>
            <w:vAlign w:val="bottom"/>
            <w:tcBorders>
              <w:bottom w:val="single" w:sz="8" w:color="CFF0FC"/>
            </w:tcBorders>
          </w:tcPr>
          <w:p>
            <w:pPr>
              <w:spacing w:after="0"/>
              <w:rPr>
                <w:sz w:val="14"/>
                <w:szCs w:val="14"/>
                <w:color w:val="auto"/>
              </w:rPr>
            </w:pPr>
          </w:p>
        </w:tc>
      </w:tr>
      <w:tr>
        <w:trPr>
          <w:trHeight w:val="209"/>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6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10"/>
        </w:trPr>
        <w:tc>
          <w:tcPr>
            <w:tcW w:w="3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576"/>
        <w:spacing w:after="0" w:line="24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 Stock and Series A-1 Preferred Stock have received a per share amount equal to: (a) in the case of dividends, 1.32 times the Series A Purchase Price or Series A-1 Purchase Price, as applicable, or (b) in the case of non-dividend distributions, the Series A Purchase Price or Series A-1 Purchase Price, as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jc w:val="both"/>
        <w:ind w:right="60" w:firstLine="576"/>
        <w:spacing w:after="0" w:line="237"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19" w:name="page220"/>
    <w:bookmarkEnd w:id="21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26" w:lineRule="exact"/>
        <w:rPr>
          <w:sz w:val="20"/>
          <w:szCs w:val="20"/>
          <w:color w:val="auto"/>
        </w:rPr>
      </w:pPr>
    </w:p>
    <w:p>
      <w:pPr>
        <w:jc w:val="both"/>
        <w:ind w:right="80" w:firstLine="576"/>
        <w:spacing w:after="0"/>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26"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9"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0" w:name="page221"/>
    <w:bookmarkEnd w:id="22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1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4,105,202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$7.93 per share through April 8, 2021.</w:t>
      </w:r>
    </w:p>
    <w:p>
      <w:pPr>
        <w:spacing w:after="0" w:line="298"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jc w:val="both"/>
        <w:ind w:right="340" w:firstLine="576"/>
        <w:spacing w:after="0" w:line="23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3,076,214 shares of common stock for issuance under the 2014 Plan.</w:t>
      </w:r>
    </w:p>
    <w:p>
      <w:pPr>
        <w:spacing w:after="0" w:line="20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203" w:lineRule="exact"/>
        <w:rPr>
          <w:sz w:val="20"/>
          <w:szCs w:val="20"/>
          <w:color w:val="auto"/>
        </w:rPr>
      </w:pPr>
    </w:p>
    <w:p>
      <w:pPr>
        <w:ind w:right="340" w:firstLine="576"/>
        <w:spacing w:after="0" w:line="24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26" w:lineRule="exact"/>
        <w:rPr>
          <w:sz w:val="20"/>
          <w:szCs w:val="20"/>
          <w:color w:val="auto"/>
        </w:rPr>
      </w:pPr>
    </w:p>
    <w:p>
      <w:pPr>
        <w:ind w:right="380" w:firstLine="576"/>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ind w:left="800" w:hanging="225"/>
        <w:spacing w:after="0" w:line="242" w:lineRule="auto"/>
        <w:tabs>
          <w:tab w:leader="none" w:pos="80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1" w:name="page222"/>
    <w:bookmarkEnd w:id="22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left="800" w:right="40"/>
        <w:spacing w:after="0" w:line="238" w:lineRule="auto"/>
        <w:rPr>
          <w:sz w:val="20"/>
          <w:szCs w:val="20"/>
          <w:color w:val="auto"/>
        </w:rPr>
      </w:pPr>
      <w:r>
        <w:rPr>
          <w:rFonts w:ascii="Arial" w:cs="Arial" w:eastAsia="Arial" w:hAnsi="Arial"/>
          <w:sz w:val="18"/>
          <w:szCs w:val="18"/>
          <w:color w:val="auto"/>
        </w:rPr>
        <w:t>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76" w:lineRule="exact"/>
        <w:rPr>
          <w:sz w:val="20"/>
          <w:szCs w:val="20"/>
          <w:color w:val="auto"/>
        </w:rPr>
      </w:pPr>
    </w:p>
    <w:p>
      <w:pPr>
        <w:ind w:left="800" w:right="140" w:hanging="225"/>
        <w:spacing w:after="0" w:line="267" w:lineRule="auto"/>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52" w:lineRule="exact"/>
        <w:rPr>
          <w:rFonts w:ascii="Arial" w:cs="Arial" w:eastAsia="Arial" w:hAnsi="Arial"/>
          <w:sz w:val="18"/>
          <w:szCs w:val="18"/>
          <w:color w:val="auto"/>
        </w:rPr>
      </w:pPr>
    </w:p>
    <w:p>
      <w:pPr>
        <w:ind w:left="800" w:right="80" w:hanging="225"/>
        <w:spacing w:after="0" w:line="242" w:lineRule="auto"/>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6" w:lineRule="exact"/>
        <w:rPr>
          <w:rFonts w:ascii="Arial" w:cs="Arial" w:eastAsia="Arial" w:hAnsi="Arial"/>
          <w:sz w:val="18"/>
          <w:szCs w:val="18"/>
          <w:color w:val="auto"/>
        </w:rPr>
      </w:pPr>
    </w:p>
    <w:p>
      <w:pPr>
        <w:ind w:left="800" w:right="180" w:hanging="225"/>
        <w:spacing w:after="0" w:line="250" w:lineRule="auto"/>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8" w:lineRule="exact"/>
        <w:rPr>
          <w:rFonts w:ascii="Arial" w:cs="Arial" w:eastAsia="Arial" w:hAnsi="Arial"/>
          <w:sz w:val="18"/>
          <w:szCs w:val="18"/>
          <w:color w:val="auto"/>
        </w:rPr>
      </w:pPr>
    </w:p>
    <w:p>
      <w:pPr>
        <w:ind w:left="800" w:right="200" w:hanging="225"/>
        <w:spacing w:after="0" w:line="267" w:lineRule="auto"/>
        <w:tabs>
          <w:tab w:leader="none" w:pos="80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it used an expected dividend yield of zero.</w:t>
      </w:r>
    </w:p>
    <w:p>
      <w:pPr>
        <w:spacing w:after="0" w:line="178" w:lineRule="exact"/>
        <w:rPr>
          <w:sz w:val="20"/>
          <w:szCs w:val="20"/>
          <w:color w:val="auto"/>
        </w:rPr>
      </w:pPr>
    </w:p>
    <w:p>
      <w:pPr>
        <w:ind w:right="180" w:firstLine="576"/>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03"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10"/>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$0.79 and $ 0.89, respectively. The re-measured weighted-average fair value of options granted to advisors during the years ended December 31, 2018 and 2019 were $1.08 and $1.06,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2" w:name="page223"/>
    <w:bookmarkEnd w:id="22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r>
      <w:tr>
        <w:trPr>
          <w:trHeight w:val="175"/>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511,966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(351,819)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(81,965)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593,093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spacing w:after="0" w:line="196" w:lineRule="exact"/>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921,677</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0.83</w:t>
            </w: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6.11</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477</w:t>
            </w:r>
          </w:p>
        </w:tc>
        <w:tc>
          <w:tcPr>
            <w:tcW w:w="10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205"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w:t>
            </w: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rPr>
              <w:t>Share</w:t>
            </w:r>
          </w:p>
        </w:tc>
      </w:t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r>
      <w:tr>
        <w:trPr>
          <w:trHeight w:val="17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Exercise Price ($)</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09"/>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241,164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194,139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81,964</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414,237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26"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As of December 31, 2019, there were 8,407 shares subject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3" w:name="page224"/>
    <w:bookmarkEnd w:id="22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repurchase, all of which were related to non-employee RSAs and have been excluded from the weighted-average number of shares outstanding for the purposes of calculating earnings per share.</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80" w:firstLine="576"/>
        <w:spacing w:after="0" w:line="24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83" w:lineRule="exact"/>
        <w:rPr>
          <w:sz w:val="20"/>
          <w:szCs w:val="20"/>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26" w:lineRule="exact"/>
        <w:rPr>
          <w:sz w:val="20"/>
          <w:szCs w:val="20"/>
          <w:color w:val="auto"/>
        </w:rPr>
      </w:pPr>
    </w:p>
    <w:p>
      <w:pPr>
        <w:ind w:right="500" w:firstLine="576"/>
        <w:spacing w:after="0" w:line="24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97"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98"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r>
      <w:tr>
        <w:trPr>
          <w:trHeight w:val="215"/>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864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642"/>
        </w:trPr>
        <w:tc>
          <w:tcPr>
            <w:tcW w:w="7600" w:type="dxa"/>
            <w:vAlign w:val="bottom"/>
          </w:tcPr>
          <w:p>
            <w:pPr>
              <w:ind w:left="5440"/>
              <w:spacing w:after="0"/>
              <w:rPr>
                <w:sz w:val="20"/>
                <w:szCs w:val="20"/>
                <w:color w:val="auto"/>
              </w:rPr>
            </w:pPr>
            <w:r>
              <w:rPr>
                <w:rFonts w:ascii="Arial" w:cs="Arial" w:eastAsia="Arial" w:hAnsi="Arial"/>
                <w:sz w:val="18"/>
                <w:szCs w:val="18"/>
                <w:color w:val="auto"/>
              </w:rPr>
              <w:t>F-22</w:t>
            </w:r>
          </w:p>
        </w:tc>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224" w:name="page225"/>
    <w:bookmarkEnd w:id="224"/>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7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203" w:lineRule="exact"/>
        <w:rPr>
          <w:sz w:val="20"/>
          <w:szCs w:val="20"/>
          <w:color w:val="auto"/>
        </w:rPr>
      </w:pPr>
    </w:p>
    <w:p>
      <w:pPr>
        <w:ind w:right="240" w:firstLine="576"/>
        <w:spacing w:after="0"/>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26" w:lineRule="exact"/>
        <w:rPr>
          <w:sz w:val="20"/>
          <w:szCs w:val="20"/>
          <w:color w:val="auto"/>
        </w:rPr>
      </w:pPr>
    </w:p>
    <w:p>
      <w:pPr>
        <w:jc w:val="both"/>
        <w:ind w:right="80" w:firstLine="576"/>
        <w:spacing w:after="0" w:line="23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 accompanying financial statements. At December 31, 2019, there were no material interest and penalties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5" w:name="page226"/>
    <w:bookmarkEnd w:id="22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on uncertain tax benefits. The Company does not anticipate any significant changes to its unrecognized tax benefits in the next 12 months.</w:t>
      </w:r>
    </w:p>
    <w:p>
      <w:pPr>
        <w:spacing w:after="0" w:line="298"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6" w:lineRule="exact"/>
        <w:rPr>
          <w:sz w:val="20"/>
          <w:szCs w:val="20"/>
          <w:color w:val="auto"/>
        </w:rPr>
      </w:pPr>
    </w:p>
    <w:p>
      <w:pPr>
        <w:jc w:val="both"/>
        <w:ind w:right="580" w:firstLine="576"/>
        <w:spacing w:after="0"/>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89"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3,897,137</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ind w:left="580" w:hanging="572"/>
        <w:spacing w:after="0"/>
        <w:tabs>
          <w:tab w:leader="none" w:pos="5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39" w:lineRule="exact"/>
        <w:rPr>
          <w:sz w:val="20"/>
          <w:szCs w:val="20"/>
          <w:color w:val="auto"/>
        </w:rPr>
      </w:pPr>
    </w:p>
    <w:p>
      <w:pPr>
        <w:ind w:right="300" w:firstLine="576"/>
        <w:spacing w:after="0"/>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net exercise of the outstanding warrants for shares of common stock and the repayment of the grant liability upon completion of a qualifying IPO of the Company’s common stock.</w:t>
      </w:r>
    </w:p>
    <w:p>
      <w:pPr>
        <w:spacing w:after="0" w:line="203" w:lineRule="exact"/>
        <w:rPr>
          <w:sz w:val="20"/>
          <w:szCs w:val="20"/>
          <w:color w:val="auto"/>
        </w:rPr>
      </w:pPr>
    </w:p>
    <w:p>
      <w:pPr>
        <w:ind w:right="140" w:firstLine="576"/>
        <w:spacing w:after="0" w:line="24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Net loss used in computing pro forma net loss per share attributable to common</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40" w:type="dxa"/>
            <w:vAlign w:val="bottom"/>
          </w:tcPr>
          <w:p>
            <w:pPr>
              <w:ind w:left="160"/>
              <w:spacing w:after="0" w:line="203" w:lineRule="exact"/>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1"/>
                <w:szCs w:val="21"/>
                <w:color w:val="auto"/>
              </w:rPr>
            </w:pPr>
          </w:p>
        </w:tc>
        <w:tc>
          <w:tcPr>
            <w:tcW w:w="17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(5,061)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240" w:type="dxa"/>
            <w:vAlign w:val="bottom"/>
          </w:tcPr>
          <w:p>
            <w:pPr>
              <w:spacing w:after="0"/>
              <w:rPr>
                <w:sz w:val="20"/>
                <w:szCs w:val="20"/>
                <w:color w:val="auto"/>
              </w:rPr>
            </w:pPr>
            <w:r>
              <w:rPr>
                <w:rFonts w:ascii="Arial" w:cs="Arial" w:eastAsia="Arial" w:hAnsi="Arial"/>
                <w:sz w:val="18"/>
                <w:szCs w:val="18"/>
                <w:color w:val="auto"/>
              </w:rPr>
              <w:t>Weighted-average shares of common stock used in computing net loss per share</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40" w:type="dxa"/>
            <w:vAlign w:val="bottom"/>
          </w:tcPr>
          <w:p>
            <w:pPr>
              <w:ind w:left="160"/>
              <w:spacing w:after="0" w:line="203" w:lineRule="exact"/>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3,566,849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common stock warrants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of common stock used in computing pro forma net loss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attributable to common stockholders,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6,186,544</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tcPr>
          <w:p>
            <w:pPr>
              <w:spacing w:after="0" w:line="196" w:lineRule="exact"/>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5440"/>
              <w:spacing w:after="0"/>
              <w:rPr>
                <w:sz w:val="20"/>
                <w:szCs w:val="20"/>
                <w:color w:val="auto"/>
              </w:rPr>
            </w:pPr>
            <w:r>
              <w:rPr>
                <w:rFonts w:ascii="Arial" w:cs="Arial" w:eastAsia="Arial" w:hAnsi="Arial"/>
                <w:sz w:val="18"/>
                <w:szCs w:val="18"/>
                <w:color w:val="auto"/>
              </w:rPr>
              <w:t>F-24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226" w:name="page227"/>
    <w:bookmarkEnd w:id="226"/>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65" w:lineRule="exact"/>
        <w:rPr>
          <w:sz w:val="20"/>
          <w:szCs w:val="20"/>
          <w:color w:val="auto"/>
        </w:rPr>
      </w:pPr>
    </w:p>
    <w:p>
      <w:pPr>
        <w:ind w:left="900" w:hanging="892"/>
        <w:spacing w:after="0"/>
        <w:tabs>
          <w:tab w:leader="none" w:pos="9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jc w:val="both"/>
        <w:ind w:right="100" w:firstLine="576"/>
        <w:spacing w:after="0"/>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issued, and September 14, 2020, the date the revised financial statements were issued. The Company has concluded that no events or transactions have occurred that require disclosure in the accompanying financial statements, other than the following.</w:t>
      </w:r>
    </w:p>
    <w:p>
      <w:pPr>
        <w:spacing w:after="0" w:line="289" w:lineRule="exact"/>
        <w:rPr>
          <w:sz w:val="20"/>
          <w:szCs w:val="20"/>
          <w:color w:val="auto"/>
        </w:rPr>
      </w:pPr>
    </w:p>
    <w:p>
      <w:pPr>
        <w:ind w:left="1000" w:hanging="425"/>
        <w:spacing w:after="0"/>
        <w:tabs>
          <w:tab w:leader="none" w:pos="10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44,765 stock options with an exercise price of $1.35 per share.</w:t>
      </w:r>
    </w:p>
    <w:p>
      <w:pPr>
        <w:spacing w:after="0" w:line="212"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288" w:lineRule="exact"/>
        <w:rPr>
          <w:sz w:val="20"/>
          <w:szCs w:val="20"/>
          <w:color w:val="auto"/>
        </w:rPr>
      </w:pPr>
    </w:p>
    <w:p>
      <w:pPr>
        <w:ind w:left="1000" w:hanging="425"/>
        <w:spacing w:after="0"/>
        <w:tabs>
          <w:tab w:leader="none" w:pos="10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39"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283" w:lineRule="exact"/>
        <w:rPr>
          <w:sz w:val="20"/>
          <w:szCs w:val="20"/>
          <w:color w:val="auto"/>
        </w:rPr>
      </w:pPr>
    </w:p>
    <w:p>
      <w:pPr>
        <w:ind w:left="1000" w:hanging="425"/>
        <w:spacing w:after="0"/>
        <w:tabs>
          <w:tab w:leader="none" w:pos="10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w:t>
      </w:r>
    </w:p>
    <w:p>
      <w:pPr>
        <w:spacing w:after="0" w:line="139"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91" w:lineRule="exact"/>
        <w:rPr>
          <w:sz w:val="20"/>
          <w:szCs w:val="20"/>
          <w:color w:val="auto"/>
        </w:rPr>
      </w:pPr>
    </w:p>
    <w:p>
      <w:pPr>
        <w:ind w:left="1000" w:hanging="425"/>
        <w:spacing w:after="0"/>
        <w:tabs>
          <w:tab w:leader="none" w:pos="10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139" w:lineRule="exact"/>
        <w:rPr>
          <w:sz w:val="20"/>
          <w:szCs w:val="20"/>
          <w:color w:val="auto"/>
        </w:rPr>
      </w:pPr>
    </w:p>
    <w:p>
      <w:pPr>
        <w:ind w:right="220" w:firstLine="576"/>
        <w:spacing w:after="0" w:line="238"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288" w:lineRule="exact"/>
        <w:rPr>
          <w:sz w:val="20"/>
          <w:szCs w:val="20"/>
          <w:color w:val="auto"/>
        </w:rPr>
      </w:pPr>
    </w:p>
    <w:p>
      <w:pPr>
        <w:ind w:left="1000" w:hanging="425"/>
        <w:spacing w:after="0"/>
        <w:tabs>
          <w:tab w:leader="none" w:pos="10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39" w:lineRule="exact"/>
        <w:rPr>
          <w:sz w:val="20"/>
          <w:szCs w:val="20"/>
          <w:color w:val="auto"/>
        </w:rPr>
      </w:pPr>
    </w:p>
    <w:p>
      <w:pPr>
        <w:ind w:right="100" w:firstLine="576"/>
        <w:spacing w:after="0" w:line="237" w:lineRule="auto"/>
        <w:rPr>
          <w:sz w:val="20"/>
          <w:szCs w:val="20"/>
          <w:color w:val="auto"/>
        </w:rPr>
      </w:pPr>
      <w:r>
        <w:rPr>
          <w:rFonts w:ascii="Arial" w:cs="Arial" w:eastAsia="Arial" w:hAnsi="Arial"/>
          <w:sz w:val="18"/>
          <w:szCs w:val="18"/>
          <w:color w:val="auto"/>
        </w:rPr>
        <w:t>In May and June 2020, the Company issued an aggregate of 9,372,765 shares of Series B convertible preferred stock at a purchase price of $9.12 per share for proceeds of $81.8 million, net of offering costs. The Company issued warrants to purchase 2,343,168 shares of its common stock, of which 688,067 shares were exercised concurrently with the Series B convertible preferred stock issuance for net proceeds of $55,000. In addition, the Company issued warrants to purchase 127,481 shares of its Series B convertible preferred stock at $9.12 per share. The Series B convertible preferred stock financing triggered the automatic conversion of the Company’s then outstanding convertible promissory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27" w:name="page228"/>
    <w:bookmarkEnd w:id="227"/>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notes into an aggregate of 512,858 shares of Series B-1 convertible preferred stock based on a price of $7.752 per share (85% of the $9.12 original issuance price of the Series B convertible preferred stock).</w:t>
      </w:r>
    </w:p>
    <w:p>
      <w:pPr>
        <w:spacing w:after="0" w:line="283" w:lineRule="exact"/>
        <w:rPr>
          <w:sz w:val="20"/>
          <w:szCs w:val="20"/>
          <w:color w:val="auto"/>
        </w:rPr>
      </w:pPr>
    </w:p>
    <w:p>
      <w:pPr>
        <w:ind w:left="1000" w:hanging="425"/>
        <w:spacing w:after="0"/>
        <w:tabs>
          <w:tab w:leader="none" w:pos="10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139"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283" w:lineRule="exact"/>
        <w:rPr>
          <w:sz w:val="20"/>
          <w:szCs w:val="20"/>
          <w:color w:val="auto"/>
        </w:rPr>
      </w:pPr>
    </w:p>
    <w:p>
      <w:pPr>
        <w:ind w:left="1000" w:hanging="425"/>
        <w:spacing w:after="0"/>
        <w:tabs>
          <w:tab w:leader="none" w:pos="10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139"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289" w:lineRule="exact"/>
        <w:rPr>
          <w:sz w:val="20"/>
          <w:szCs w:val="20"/>
          <w:color w:val="auto"/>
        </w:rPr>
      </w:pPr>
    </w:p>
    <w:p>
      <w:pPr>
        <w:ind w:left="1000" w:hanging="425"/>
        <w:spacing w:after="0"/>
        <w:tabs>
          <w:tab w:leader="none" w:pos="10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Spilt</w:t>
      </w:r>
    </w:p>
    <w:p>
      <w:pPr>
        <w:spacing w:after="0" w:line="139" w:lineRule="exact"/>
        <w:rPr>
          <w:sz w:val="20"/>
          <w:szCs w:val="20"/>
          <w:color w:val="auto"/>
        </w:rPr>
      </w:pPr>
    </w:p>
    <w:p>
      <w:pPr>
        <w:ind w:firstLine="576"/>
        <w:spacing w:after="0" w:line="255"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276" w:lineRule="exact"/>
        <w:rPr>
          <w:sz w:val="20"/>
          <w:szCs w:val="20"/>
          <w:color w:val="auto"/>
        </w:rPr>
      </w:pPr>
    </w:p>
    <w:p>
      <w:pPr>
        <w:ind w:left="1000" w:hanging="425"/>
        <w:spacing w:after="0"/>
        <w:tabs>
          <w:tab w:leader="none" w:pos="10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National Institutes of Health Grant</w:t>
      </w:r>
    </w:p>
    <w:p>
      <w:pPr>
        <w:spacing w:after="0" w:line="139" w:lineRule="exact"/>
        <w:rPr>
          <w:sz w:val="20"/>
          <w:szCs w:val="20"/>
          <w:color w:val="auto"/>
        </w:rPr>
      </w:pPr>
    </w:p>
    <w:p>
      <w:pPr>
        <w:ind w:right="200" w:firstLine="576"/>
        <w:spacing w:after="0" w:line="24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28" w:name="page229"/>
    <w:bookmarkEnd w:id="22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8"/>
              </w:rPr>
              <w:t>As of</w:t>
            </w: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2"/>
                <w:szCs w:val="12"/>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57"/>
        </w:trPr>
        <w:tc>
          <w:tcPr>
            <w:tcW w:w="77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165,725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60,547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Current portion of unsecured related party note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2,160</w:t>
            </w:r>
          </w:p>
        </w:tc>
        <w:tc>
          <w:tcPr>
            <w:tcW w:w="2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232,266</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right-of-use asset</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Long-term investments</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33,656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Unsecured related party note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2,189</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267,939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12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421</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3,872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Current operating lease liability</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Grant liability</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1,273</w:t>
            </w: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liability, less current portion</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Grant liability</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Derivative liability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Convertible notes,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1,553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4,861</w:t>
            </w:r>
          </w:p>
        </w:tc>
        <w:tc>
          <w:tcPr>
            <w:tcW w:w="2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8,469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2,797,464 and 0 shares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authorized at December 31, 2019 and September 30, 2020, respectively;</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2,617,386 and 0 shares issued and outstanding at December 31, 2019</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2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and September 30, 2020, respectively</w:t>
            </w: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17,051</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$0.0001 par value; 10,088,017 and 900,000,000</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shares authorized at December 31, 2019 and September 30,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2020, respectively; 3,641,449 and 31,087,395 shares issued and</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outstanding at December 31, 2019 and September 30, 2020,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72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respectively</w:t>
            </w:r>
          </w:p>
        </w:tc>
        <w:tc>
          <w:tcPr>
            <w:tcW w:w="24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1,364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292,800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(21,087)</w:t>
            </w:r>
          </w:p>
        </w:tc>
        <w:tc>
          <w:tcPr>
            <w:tcW w:w="22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(33,340)</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(19,723)</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259,470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720" w:type="dxa"/>
            <w:vAlign w:val="bottom"/>
          </w:tcPr>
          <w:p>
            <w:pPr>
              <w:ind w:left="500"/>
              <w:spacing w:after="0"/>
              <w:rPr>
                <w:sz w:val="20"/>
                <w:szCs w:val="20"/>
                <w:color w:val="auto"/>
              </w:rPr>
            </w:pPr>
            <w:r>
              <w:rPr>
                <w:rFonts w:ascii="Arial" w:cs="Arial" w:eastAsia="Arial" w:hAnsi="Arial"/>
                <w:sz w:val="14"/>
                <w:szCs w:val="14"/>
                <w:color w:val="auto"/>
              </w:rPr>
              <w:t>Total liabilities, convertible preferred stock and stockholders' equity</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720" w:type="dxa"/>
            <w:vAlign w:val="bottom"/>
          </w:tcPr>
          <w:p>
            <w:pPr>
              <w:ind w:left="620"/>
              <w:spacing w:after="0" w:line="157" w:lineRule="exact"/>
              <w:rPr>
                <w:sz w:val="20"/>
                <w:szCs w:val="20"/>
                <w:color w:val="auto"/>
              </w:rPr>
            </w:pPr>
            <w:r>
              <w:rPr>
                <w:rFonts w:ascii="Arial" w:cs="Arial" w:eastAsia="Arial" w:hAnsi="Arial"/>
                <w:sz w:val="14"/>
                <w:szCs w:val="14"/>
                <w:color w:val="auto"/>
              </w:rPr>
              <w:t>(deficit)</w:t>
            </w:r>
          </w:p>
        </w:tc>
        <w:tc>
          <w:tcPr>
            <w:tcW w:w="2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2,189</w:t>
            </w:r>
          </w:p>
        </w:tc>
        <w:tc>
          <w:tcPr>
            <w:tcW w:w="28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267,939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9" w:name="page230"/>
    <w:bookmarkEnd w:id="22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(7,397)</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(4,332)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(10,916)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(1,530)</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(8,456)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(4,187)</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60"/>
              <w:spacing w:after="0" w:line="203" w:lineRule="exact"/>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7"/>
                <w:szCs w:val="17"/>
                <w:color w:val="auto"/>
              </w:rPr>
            </w:pPr>
          </w:p>
        </w:tc>
        <w:tc>
          <w:tcPr>
            <w:tcW w:w="11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attributable to common</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w:t>
            </w: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(1,530)</w:t>
            </w:r>
          </w:p>
        </w:tc>
        <w:tc>
          <w:tcPr>
            <w:tcW w:w="3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(8,449)</w:t>
            </w: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(4,187)</w:t>
            </w:r>
          </w:p>
        </w:tc>
        <w:tc>
          <w:tcPr>
            <w:tcW w:w="3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60"/>
              <w:spacing w:after="0" w:line="203" w:lineRule="exact"/>
              <w:rPr>
                <w:sz w:val="20"/>
                <w:szCs w:val="20"/>
                <w:color w:val="auto"/>
              </w:rPr>
            </w:pPr>
            <w:r>
              <w:rPr>
                <w:rFonts w:ascii="Arial" w:cs="Arial" w:eastAsia="Arial" w:hAnsi="Arial"/>
                <w:sz w:val="18"/>
                <w:szCs w:val="18"/>
                <w:color w:val="auto"/>
              </w:rPr>
              <w:t>stockholders, basic and diluted</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(1.12)</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(1.18)</w:t>
            </w: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stockholders, basic and diluted</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3,554,345</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7,564,538</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3,551,586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5,155,338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0" w:name="page231"/>
    <w:bookmarkEnd w:id="230"/>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Deficit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September 30, 2019 and 2020</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20" w:top="134"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380" w:type="dxa"/>
            <w:vAlign w:val="bottom"/>
            <w:gridSpan w:val="3"/>
          </w:tcPr>
          <w:p>
            <w:pPr>
              <w:jc w:val="center"/>
              <w:ind w:left="351"/>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r>
      <w:tr>
        <w:trPr>
          <w:trHeight w:val="184"/>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June 30,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6"/>
                <w:szCs w:val="16"/>
                <w:color w:val="auto"/>
              </w:rPr>
            </w:pP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1"/>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3040" w:type="dxa"/>
            <w:vAlign w:val="bottom"/>
          </w:tcPr>
          <w:p>
            <w:pPr>
              <w:spacing w:after="0"/>
              <w:rPr>
                <w:sz w:val="24"/>
                <w:szCs w:val="24"/>
                <w:color w:val="auto"/>
              </w:rPr>
            </w:pPr>
          </w:p>
        </w:tc>
        <w:tc>
          <w:tcPr>
            <w:tcW w:w="1380" w:type="dxa"/>
            <w:vAlign w:val="bottom"/>
            <w:gridSpan w:val="3"/>
          </w:tcPr>
          <w:p>
            <w:pPr>
              <w:jc w:val="center"/>
              <w:ind w:left="351"/>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7"/>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r>
      <w:tr>
        <w:trPr>
          <w:trHeight w:val="184"/>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June 30,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92,537</w:t>
            </w:r>
          </w:p>
        </w:tc>
        <w:tc>
          <w:tcPr>
            <w:tcW w:w="60" w:type="dxa"/>
            <w:vAlign w:val="bottom"/>
          </w:tcPr>
          <w:p>
            <w:pPr>
              <w:spacing w:after="0"/>
              <w:rPr>
                <w:sz w:val="16"/>
                <w:szCs w:val="16"/>
                <w:color w:val="auto"/>
              </w:rPr>
            </w:pP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Proceeds from initial public offering,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underwriters' discounts and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commissions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and issuance costs of $3.3 million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Conversion of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(12,503,009)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(92,537)</w:t>
            </w: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0"/>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2020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3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35"/>
        </w:trPr>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r>
      <w:tr>
        <w:trPr>
          <w:trHeight w:val="157"/>
        </w:trPr>
        <w:tc>
          <w:tcPr>
            <w:tcW w:w="178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r>
      <w:tr>
        <w:trPr>
          <w:trHeight w:val="184"/>
        </w:trPr>
        <w:tc>
          <w:tcPr>
            <w:tcW w:w="840" w:type="dxa"/>
            <w:vAlign w:val="bottom"/>
          </w:tcPr>
          <w:p>
            <w:pPr>
              <w:jc w:val="right"/>
              <w:spacing w:after="0"/>
              <w:rPr>
                <w:sz w:val="20"/>
                <w:szCs w:val="20"/>
                <w:color w:val="auto"/>
              </w:rPr>
            </w:pPr>
            <w:r>
              <w:rPr>
                <w:rFonts w:ascii="Arial" w:cs="Arial" w:eastAsia="Arial" w:hAnsi="Arial"/>
                <w:sz w:val="14"/>
                <w:szCs w:val="14"/>
                <w:color w:val="auto"/>
              </w:rPr>
              <w:t>3,565,789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1,166</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(18,583)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(17,417)</w:t>
            </w: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6,305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4"/>
                <w:szCs w:val="24"/>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5"/>
                <w:szCs w:val="15"/>
                <w:color w:val="auto"/>
              </w:rPr>
            </w:pPr>
          </w:p>
        </w:tc>
      </w:tr>
      <w:tr>
        <w:trPr>
          <w:trHeight w:val="161"/>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(1,530)</w:t>
            </w: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3,572,094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(20,113)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(18,872)</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6"/>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35"/>
        </w:trPr>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r>
      <w:tr>
        <w:trPr>
          <w:trHeight w:val="157"/>
        </w:trPr>
        <w:tc>
          <w:tcPr>
            <w:tcW w:w="178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r>
      <w:tr>
        <w:trPr>
          <w:trHeight w:val="184"/>
        </w:trPr>
        <w:tc>
          <w:tcPr>
            <w:tcW w:w="840" w:type="dxa"/>
            <w:vAlign w:val="bottom"/>
          </w:tcPr>
          <w:p>
            <w:pPr>
              <w:jc w:val="right"/>
              <w:spacing w:after="0"/>
              <w:rPr>
                <w:sz w:val="20"/>
                <w:szCs w:val="20"/>
                <w:color w:val="auto"/>
              </w:rPr>
            </w:pPr>
            <w:r>
              <w:rPr>
                <w:rFonts w:ascii="Arial" w:cs="Arial" w:eastAsia="Arial" w:hAnsi="Arial"/>
                <w:sz w:val="14"/>
                <w:szCs w:val="14"/>
                <w:color w:val="auto"/>
              </w:rPr>
              <w:t>4,607,565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12,355</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(24,884)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(12,529)</w:t>
            </w: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262,285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40" w:type="dxa"/>
            <w:vAlign w:val="bottom"/>
          </w:tcPr>
          <w:p>
            <w:pPr>
              <w:spacing w:after="0"/>
              <w:rPr>
                <w:sz w:val="24"/>
                <w:szCs w:val="24"/>
                <w:color w:val="auto"/>
              </w:rPr>
            </w:pPr>
          </w:p>
        </w:tc>
      </w:tr>
      <w:tr>
        <w:trPr>
          <w:trHeight w:val="824"/>
        </w:trPr>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186,445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186,446</w:t>
            </w:r>
          </w:p>
        </w:tc>
        <w:tc>
          <w:tcPr>
            <w:tcW w:w="40" w:type="dxa"/>
            <w:vAlign w:val="bottom"/>
          </w:tcPr>
          <w:p>
            <w:pPr>
              <w:spacing w:after="0"/>
              <w:rPr>
                <w:sz w:val="24"/>
                <w:szCs w:val="24"/>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92,535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92,537</w:t>
            </w:r>
          </w:p>
        </w:tc>
        <w:tc>
          <w:tcPr>
            <w:tcW w:w="40" w:type="dxa"/>
            <w:vAlign w:val="bottom"/>
          </w:tcPr>
          <w:p>
            <w:pPr>
              <w:spacing w:after="0"/>
              <w:rPr>
                <w:sz w:val="15"/>
                <w:szCs w:val="15"/>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1,714,536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5"/>
                <w:szCs w:val="15"/>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15"/>
                <w:szCs w:val="15"/>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r>
      <w:tr>
        <w:trPr>
          <w:trHeight w:val="160"/>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(8,456)</w:t>
            </w: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(8,456)</w:t>
            </w: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31,087,395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292,800</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(33,340)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259,470</w:t>
            </w:r>
          </w:p>
        </w:tc>
        <w:tc>
          <w:tcPr>
            <w:tcW w:w="40" w:type="dxa"/>
            <w:vAlign w:val="bottom"/>
          </w:tcPr>
          <w:p>
            <w:pPr>
              <w:spacing w:after="0"/>
              <w:rPr>
                <w:sz w:val="14"/>
                <w:szCs w:val="14"/>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-3239770</wp:posOffset>
            </wp:positionV>
            <wp:extent cx="7132320" cy="32404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2404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920" w:space="280"/>
            <w:col w:w="6020"/>
          </w:cols>
          <w:pgMar w:left="320" w:top="134"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type w:val="continuous"/>
        </w:sectPr>
      </w:pPr>
    </w:p>
    <w:bookmarkStart w:id="231" w:name="page232"/>
    <w:bookmarkEnd w:id="231"/>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Deficit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2019 and 2020</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20" w:top="134"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38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r>
      <w:tr>
        <w:trPr>
          <w:trHeight w:val="184"/>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6"/>
                <w:szCs w:val="16"/>
                <w:color w:val="auto"/>
              </w:rPr>
            </w:pP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1"/>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1"/>
        </w:trPr>
        <w:tc>
          <w:tcPr>
            <w:tcW w:w="3040" w:type="dxa"/>
            <w:vAlign w:val="bottom"/>
          </w:tcPr>
          <w:p>
            <w:pPr>
              <w:spacing w:after="0"/>
              <w:rPr>
                <w:sz w:val="24"/>
                <w:szCs w:val="24"/>
                <w:color w:val="auto"/>
              </w:rPr>
            </w:pPr>
          </w:p>
        </w:tc>
        <w:tc>
          <w:tcPr>
            <w:tcW w:w="138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7"/>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304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r>
      <w:tr>
        <w:trPr>
          <w:trHeight w:val="184"/>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6"/>
                <w:szCs w:val="16"/>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6"/>
                <w:szCs w:val="16"/>
                <w:color w:val="auto"/>
              </w:rPr>
            </w:pP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Series B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preferred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stock and common stock warrants,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of issuance costs of $3.5 million</w:t>
            </w:r>
          </w:p>
        </w:tc>
        <w:tc>
          <w:tcPr>
            <w:tcW w:w="880" w:type="dxa"/>
            <w:vAlign w:val="bottom"/>
          </w:tcPr>
          <w:p>
            <w:pPr>
              <w:jc w:val="right"/>
              <w:spacing w:after="0"/>
              <w:rPr>
                <w:sz w:val="20"/>
                <w:szCs w:val="20"/>
                <w:color w:val="auto"/>
              </w:rPr>
            </w:pPr>
            <w:r>
              <w:rPr>
                <w:rFonts w:ascii="Arial" w:cs="Arial" w:eastAsia="Arial" w:hAnsi="Arial"/>
                <w:sz w:val="14"/>
                <w:szCs w:val="14"/>
                <w:color w:val="auto"/>
              </w:rPr>
              <w:t>9,372,765</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70,971</w:t>
            </w:r>
          </w:p>
        </w:tc>
        <w:tc>
          <w:tcPr>
            <w:tcW w:w="60" w:type="dxa"/>
            <w:vAlign w:val="bottom"/>
          </w:tcPr>
          <w:p>
            <w:pPr>
              <w:spacing w:after="0"/>
              <w:rPr>
                <w:sz w:val="14"/>
                <w:szCs w:val="14"/>
                <w:color w:val="auto"/>
              </w:rPr>
            </w:pP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the Series B-1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preferred stock upon conversion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notes</w:t>
            </w:r>
          </w:p>
        </w:tc>
        <w:tc>
          <w:tcPr>
            <w:tcW w:w="880" w:type="dxa"/>
            <w:vAlign w:val="bottom"/>
          </w:tcPr>
          <w:p>
            <w:pPr>
              <w:jc w:val="right"/>
              <w:spacing w:after="0"/>
              <w:rPr>
                <w:sz w:val="20"/>
                <w:szCs w:val="20"/>
                <w:color w:val="auto"/>
              </w:rPr>
            </w:pPr>
            <w:r>
              <w:rPr>
                <w:rFonts w:ascii="Arial" w:cs="Arial" w:eastAsia="Arial" w:hAnsi="Arial"/>
                <w:sz w:val="14"/>
                <w:szCs w:val="14"/>
                <w:color w:val="auto"/>
              </w:rPr>
              <w:t>512,858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4,515</w:t>
            </w:r>
          </w:p>
        </w:tc>
        <w:tc>
          <w:tcPr>
            <w:tcW w:w="60" w:type="dxa"/>
            <w:vAlign w:val="bottom"/>
          </w:tcPr>
          <w:p>
            <w:pPr>
              <w:spacing w:after="0"/>
              <w:rPr>
                <w:sz w:val="14"/>
                <w:szCs w:val="14"/>
                <w:color w:val="auto"/>
              </w:rPr>
            </w:pPr>
          </w:p>
        </w:tc>
      </w:tr>
      <w:tr>
        <w:trPr>
          <w:trHeight w:val="165"/>
        </w:trPr>
        <w:tc>
          <w:tcPr>
            <w:tcW w:w="3040" w:type="dxa"/>
            <w:vAlign w:val="bottom"/>
          </w:tcPr>
          <w:p>
            <w:pPr>
              <w:ind w:left="260"/>
              <w:spacing w:after="0"/>
              <w:rPr>
                <w:sz w:val="20"/>
                <w:szCs w:val="20"/>
                <w:color w:val="auto"/>
              </w:rPr>
            </w:pPr>
            <w:r>
              <w:rPr>
                <w:rFonts w:ascii="Arial" w:cs="Arial" w:eastAsia="Arial" w:hAnsi="Arial"/>
                <w:sz w:val="14"/>
                <w:szCs w:val="14"/>
                <w:color w:val="auto"/>
              </w:rPr>
              <w:t>Proceeds from initial public offering,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underwriters' discounts and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commissions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3040" w:type="dxa"/>
            <w:vAlign w:val="bottom"/>
          </w:tcPr>
          <w:p>
            <w:pPr>
              <w:ind w:left="380"/>
              <w:spacing w:after="0"/>
              <w:rPr>
                <w:sz w:val="20"/>
                <w:szCs w:val="20"/>
                <w:color w:val="auto"/>
              </w:rPr>
            </w:pPr>
            <w:r>
              <w:rPr>
                <w:rFonts w:ascii="Arial" w:cs="Arial" w:eastAsia="Arial" w:hAnsi="Arial"/>
                <w:sz w:val="14"/>
                <w:szCs w:val="14"/>
                <w:color w:val="auto"/>
              </w:rPr>
              <w:t>and issuance costs of $3.3 million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Conversion of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(12,503,009)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(92,537)</w:t>
            </w: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0"/>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2020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3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35"/>
        </w:trPr>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r>
      <w:tr>
        <w:trPr>
          <w:trHeight w:val="157"/>
        </w:trPr>
        <w:tc>
          <w:tcPr>
            <w:tcW w:w="178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r>
      <w:tr>
        <w:trPr>
          <w:trHeight w:val="184"/>
        </w:trPr>
        <w:tc>
          <w:tcPr>
            <w:tcW w:w="840" w:type="dxa"/>
            <w:vAlign w:val="bottom"/>
          </w:tcPr>
          <w:p>
            <w:pPr>
              <w:jc w:val="right"/>
              <w:spacing w:after="0"/>
              <w:rPr>
                <w:sz w:val="20"/>
                <w:szCs w:val="20"/>
                <w:color w:val="auto"/>
              </w:rPr>
            </w:pPr>
            <w:r>
              <w:rPr>
                <w:rFonts w:ascii="Arial" w:cs="Arial" w:eastAsia="Arial" w:hAnsi="Arial"/>
                <w:sz w:val="14"/>
                <w:szCs w:val="14"/>
                <w:color w:val="auto"/>
              </w:rPr>
              <w:t>3,559,484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1,039</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(15,926)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(14,887)</w:t>
            </w: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24"/>
                <w:szCs w:val="24"/>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c>
          <w:tcPr>
            <w:tcW w:w="40" w:type="dxa"/>
            <w:vAlign w:val="bottom"/>
          </w:tcPr>
          <w:p>
            <w:pPr>
              <w:spacing w:after="0"/>
              <w:rPr>
                <w:sz w:val="15"/>
                <w:szCs w:val="15"/>
                <w:color w:val="auto"/>
              </w:rPr>
            </w:pPr>
          </w:p>
        </w:tc>
      </w:tr>
      <w:tr>
        <w:trPr>
          <w:trHeight w:val="161"/>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(4,187)</w:t>
            </w: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(4,187)</w:t>
            </w: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3,572,094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(20,113)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(18,872)</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6"/>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35"/>
        </w:trPr>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r>
      <w:tr>
        <w:trPr>
          <w:trHeight w:val="157"/>
        </w:trPr>
        <w:tc>
          <w:tcPr>
            <w:tcW w:w="1780" w:type="dxa"/>
            <w:vAlign w:val="bottom"/>
            <w:tcBorders>
              <w:bottom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r>
      <w:tr>
        <w:trPr>
          <w:trHeight w:val="184"/>
        </w:trPr>
        <w:tc>
          <w:tcPr>
            <w:tcW w:w="840" w:type="dxa"/>
            <w:vAlign w:val="bottom"/>
          </w:tcPr>
          <w:p>
            <w:pPr>
              <w:jc w:val="right"/>
              <w:spacing w:after="0"/>
              <w:rPr>
                <w:sz w:val="20"/>
                <w:szCs w:val="20"/>
                <w:color w:val="auto"/>
              </w:rPr>
            </w:pPr>
            <w:r>
              <w:rPr>
                <w:rFonts w:ascii="Arial" w:cs="Arial" w:eastAsia="Arial" w:hAnsi="Arial"/>
                <w:sz w:val="14"/>
                <w:szCs w:val="14"/>
                <w:color w:val="auto"/>
              </w:rPr>
              <w:t>3,641,449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(21,087)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(19,723)</w:t>
            </w: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540,334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542</w:t>
            </w:r>
          </w:p>
        </w:tc>
        <w:tc>
          <w:tcPr>
            <w:tcW w:w="40" w:type="dxa"/>
            <w:vAlign w:val="bottom"/>
          </w:tcPr>
          <w:p>
            <w:pPr>
              <w:spacing w:after="0"/>
              <w:rPr>
                <w:sz w:val="24"/>
                <w:szCs w:val="24"/>
                <w:color w:val="auto"/>
              </w:rPr>
            </w:pPr>
          </w:p>
        </w:tc>
      </w:tr>
      <w:tr>
        <w:trPr>
          <w:trHeight w:val="662"/>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10,591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10,591</w:t>
            </w:r>
          </w:p>
        </w:tc>
        <w:tc>
          <w:tcPr>
            <w:tcW w:w="40" w:type="dxa"/>
            <w:vAlign w:val="bottom"/>
          </w:tcPr>
          <w:p>
            <w:pPr>
              <w:spacing w:after="0"/>
              <w:rPr>
                <w:sz w:val="24"/>
                <w:szCs w:val="24"/>
                <w:color w:val="auto"/>
              </w:rPr>
            </w:pPr>
          </w:p>
        </w:tc>
      </w:tr>
      <w:tr>
        <w:trPr>
          <w:trHeight w:val="662"/>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823"/>
        </w:trPr>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186,445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186,446</w:t>
            </w:r>
          </w:p>
        </w:tc>
        <w:tc>
          <w:tcPr>
            <w:tcW w:w="40" w:type="dxa"/>
            <w:vAlign w:val="bottom"/>
          </w:tcPr>
          <w:p>
            <w:pPr>
              <w:spacing w:after="0"/>
              <w:rPr>
                <w:sz w:val="24"/>
                <w:szCs w:val="24"/>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92,535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92,537</w:t>
            </w:r>
          </w:p>
        </w:tc>
        <w:tc>
          <w:tcPr>
            <w:tcW w:w="40" w:type="dxa"/>
            <w:vAlign w:val="bottom"/>
          </w:tcPr>
          <w:p>
            <w:pPr>
              <w:spacing w:after="0"/>
              <w:rPr>
                <w:sz w:val="15"/>
                <w:szCs w:val="15"/>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2,402,603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1,105</w:t>
            </w:r>
          </w:p>
        </w:tc>
        <w:tc>
          <w:tcPr>
            <w:tcW w:w="40" w:type="dxa"/>
            <w:vAlign w:val="bottom"/>
          </w:tcPr>
          <w:p>
            <w:pPr>
              <w:spacing w:after="0"/>
              <w:rPr>
                <w:sz w:val="15"/>
                <w:szCs w:val="15"/>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5"/>
                <w:szCs w:val="15"/>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r>
      <w:tr>
        <w:trPr>
          <w:trHeight w:val="160"/>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(12,253)</w:t>
            </w: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(12,253)</w:t>
            </w: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31,087,395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292,800</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(33,340)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259,470</w:t>
            </w:r>
          </w:p>
        </w:tc>
        <w:tc>
          <w:tcPr>
            <w:tcW w:w="40" w:type="dxa"/>
            <w:vAlign w:val="bottom"/>
          </w:tcPr>
          <w:p>
            <w:pPr>
              <w:spacing w:after="0"/>
              <w:rPr>
                <w:sz w:val="14"/>
                <w:szCs w:val="14"/>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-4079875</wp:posOffset>
            </wp:positionV>
            <wp:extent cx="7132320" cy="4080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408051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4920" w:space="280"/>
            <w:col w:w="6020"/>
          </w:cols>
          <w:pgMar w:left="320" w:top="134"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type w:val="continuous"/>
        </w:sectPr>
      </w:pPr>
    </w:p>
    <w:bookmarkStart w:id="232" w:name="page233"/>
    <w:bookmarkEnd w:id="232"/>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jc w:val="right"/>
              <w:ind w:right="50"/>
              <w:spacing w:after="0" w:line="142" w:lineRule="exact"/>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1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2200" w:type="dxa"/>
            <w:vAlign w:val="bottom"/>
            <w:gridSpan w:val="2"/>
          </w:tcPr>
          <w:p>
            <w:pPr>
              <w:jc w:val="right"/>
              <w:ind w:right="91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(4,187)</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(12,253)</w:t>
            </w: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fair value of derivative liability</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500"/>
              <w:spacing w:after="0"/>
              <w:rPr>
                <w:sz w:val="20"/>
                <w:szCs w:val="20"/>
                <w:color w:val="auto"/>
              </w:rPr>
            </w:pPr>
            <w:r>
              <w:rPr>
                <w:rFonts w:ascii="Arial" w:cs="Arial" w:eastAsia="Arial" w:hAnsi="Arial"/>
                <w:sz w:val="14"/>
                <w:szCs w:val="14"/>
                <w:color w:val="auto"/>
              </w:rPr>
              <w:t>Change in fair value of convertible preferred stock warrant liability</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fair value of grant liability</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Accretion of discounts on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Non-cash interest expense</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Gain on extinguishment of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available-for-sale securities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(5,919)</w:t>
            </w:r>
          </w:p>
        </w:tc>
        <w:tc>
          <w:tcPr>
            <w:tcW w:w="0" w:type="dxa"/>
            <w:vAlign w:val="bottom"/>
          </w:tcPr>
          <w:p>
            <w:pPr>
              <w:spacing w:after="0"/>
              <w:rPr>
                <w:sz w:val="1"/>
                <w:szCs w:val="1"/>
                <w:color w:val="auto"/>
              </w:rPr>
            </w:pPr>
          </w:p>
        </w:tc>
      </w:tr>
      <w:tr>
        <w:trPr>
          <w:trHeight w:val="176"/>
        </w:trPr>
        <w:tc>
          <w:tcPr>
            <w:tcW w:w="6460" w:type="dxa"/>
            <w:vAlign w:val="bottom"/>
          </w:tcPr>
          <w:p>
            <w:pPr>
              <w:ind w:left="620"/>
              <w:spacing w:after="0"/>
              <w:rPr>
                <w:sz w:val="20"/>
                <w:szCs w:val="20"/>
                <w:color w:val="auto"/>
              </w:rPr>
            </w:pPr>
            <w:r>
              <w:rPr>
                <w:rFonts w:ascii="Arial" w:cs="Arial" w:eastAsia="Arial" w:hAnsi="Arial"/>
                <w:sz w:val="14"/>
                <w:szCs w:val="14"/>
                <w:color w:val="auto"/>
              </w:rPr>
              <w:t>Accounts payable and accrued expenses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Operating lease liability</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880"/>
              <w:spacing w:after="0"/>
              <w:rPr>
                <w:sz w:val="20"/>
                <w:szCs w:val="20"/>
                <w:color w:val="auto"/>
              </w:rPr>
            </w:pPr>
            <w:r>
              <w:rPr>
                <w:rFonts w:ascii="Arial" w:cs="Arial" w:eastAsia="Arial" w:hAnsi="Arial"/>
                <w:sz w:val="14"/>
                <w:szCs w:val="14"/>
                <w:color w:val="auto"/>
              </w:rPr>
              <w:t>Net cash (used in) operating activities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(2,684)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(13,448)</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available-for-sale securities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(94,281)</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Maturities of available-for-sale securities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received on stockholder note receivable</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880"/>
              <w:spacing w:after="0"/>
              <w:rPr>
                <w:sz w:val="20"/>
                <w:szCs w:val="20"/>
                <w:color w:val="auto"/>
              </w:rPr>
            </w:pPr>
            <w:r>
              <w:rPr>
                <w:rFonts w:ascii="Arial" w:cs="Arial" w:eastAsia="Arial" w:hAnsi="Arial"/>
                <w:sz w:val="14"/>
                <w:szCs w:val="14"/>
                <w:color w:val="auto"/>
              </w:rPr>
              <w:t>Net cash (used in) provided by investing activities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(94,310)</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4"/>
                <w:szCs w:val="14"/>
                <w:color w:val="auto"/>
              </w:rPr>
              <w:t>Proceeds from exercise of common stock options and common stock warrants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 net of issuance costs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60"/>
              <w:spacing w:after="0"/>
              <w:rPr>
                <w:sz w:val="20"/>
                <w:szCs w:val="20"/>
                <w:color w:val="auto"/>
              </w:rPr>
            </w:pPr>
            <w:r>
              <w:rPr>
                <w:rFonts w:ascii="Arial" w:cs="Arial" w:eastAsia="Arial" w:hAnsi="Arial"/>
                <w:sz w:val="14"/>
                <w:szCs w:val="14"/>
                <w:color w:val="auto"/>
              </w:rPr>
              <w:t>Proceeds from sales of convertible preferred stock and stock warrants, net of</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460" w:type="dxa"/>
            <w:vAlign w:val="bottom"/>
          </w:tcPr>
          <w:p>
            <w:pPr>
              <w:ind w:left="420"/>
              <w:spacing w:after="0" w:line="157" w:lineRule="exact"/>
              <w:rPr>
                <w:sz w:val="20"/>
                <w:szCs w:val="20"/>
                <w:color w:val="auto"/>
              </w:rPr>
            </w:pPr>
            <w:r>
              <w:rPr>
                <w:rFonts w:ascii="Arial" w:cs="Arial" w:eastAsia="Arial" w:hAnsi="Arial"/>
                <w:sz w:val="14"/>
                <w:szCs w:val="14"/>
                <w:color w:val="auto"/>
              </w:rPr>
              <w:t>issuance costs</w:t>
            </w: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81,926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convertible notes, including derivative</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4"/>
                <w:szCs w:val="14"/>
                <w:color w:val="auto"/>
              </w:rPr>
              <w:t>Issuance costs of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Paycheck Protection Program loan</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4"/>
                <w:szCs w:val="14"/>
                <w:color w:val="auto"/>
              </w:rPr>
              <w:t>Repayment of Paycheck Protection Program loan</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892</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271,427</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beginning of period</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200" w:type="dxa"/>
            <w:vAlign w:val="bottom"/>
            <w:gridSpan w:val="2"/>
          </w:tcPr>
          <w:p>
            <w:pPr>
              <w:jc w:val="right"/>
              <w:ind w:right="91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2,280</w:t>
            </w:r>
          </w:p>
        </w:tc>
        <w:tc>
          <w:tcPr>
            <w:tcW w:w="160" w:type="dxa"/>
            <w:vAlign w:val="bottom"/>
          </w:tcPr>
          <w:p>
            <w:pPr>
              <w:spacing w:after="0"/>
              <w:rPr>
                <w:sz w:val="18"/>
                <w:szCs w:val="18"/>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165,725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140" w:type="dxa"/>
            <w:vAlign w:val="bottom"/>
            <w:tcBorders>
              <w:top w:val="single" w:sz="8" w:color="CFF0FC"/>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property and equipment included in accounts payable and</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60" w:type="dxa"/>
            <w:vAlign w:val="bottom"/>
          </w:tcPr>
          <w:p>
            <w:pPr>
              <w:ind w:left="380"/>
              <w:spacing w:after="0" w:line="157" w:lineRule="exact"/>
              <w:rPr>
                <w:sz w:val="20"/>
                <w:szCs w:val="20"/>
                <w:color w:val="auto"/>
              </w:rPr>
            </w:pPr>
            <w:r>
              <w:rPr>
                <w:rFonts w:ascii="Arial" w:cs="Arial" w:eastAsia="Arial" w:hAnsi="Arial"/>
                <w:sz w:val="14"/>
                <w:szCs w:val="14"/>
                <w:color w:val="auto"/>
              </w:rPr>
              <w:t>accrued liabilities</w:t>
            </w:r>
          </w:p>
        </w:tc>
        <w:tc>
          <w:tcPr>
            <w:tcW w:w="1140" w:type="dxa"/>
            <w:vAlign w:val="bottom"/>
          </w:tcPr>
          <w:p>
            <w:pPr>
              <w:spacing w:after="0"/>
              <w:rPr>
                <w:sz w:val="15"/>
                <w:szCs w:val="15"/>
                <w:color w:val="auto"/>
              </w:rPr>
            </w:pPr>
          </w:p>
        </w:tc>
        <w:tc>
          <w:tcPr>
            <w:tcW w:w="1060" w:type="dxa"/>
            <w:vAlign w:val="bottom"/>
          </w:tcPr>
          <w:p>
            <w:pPr>
              <w:jc w:val="right"/>
              <w:ind w:right="910"/>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940"/>
              <w:spacing w:after="0" w:line="15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940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shd w:val="clear" w:color="auto" w:fill="CFF0FC"/>
          </w:tcPr>
          <w:p>
            <w:pPr>
              <w:ind w:left="260"/>
              <w:spacing w:after="0" w:line="156" w:lineRule="exact"/>
              <w:rPr>
                <w:sz w:val="20"/>
                <w:szCs w:val="20"/>
                <w:color w:val="auto"/>
              </w:rPr>
            </w:pPr>
            <w:r>
              <w:rPr>
                <w:rFonts w:ascii="Arial" w:cs="Arial" w:eastAsia="Arial" w:hAnsi="Arial"/>
                <w:sz w:val="14"/>
                <w:szCs w:val="14"/>
                <w:color w:val="auto"/>
              </w:rPr>
              <w:t>Deferred offering costs included in accounts payable and accrued liabilities</w:t>
            </w: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of common stock warrants in connection with Series B convertible</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460" w:type="dxa"/>
            <w:vAlign w:val="bottom"/>
          </w:tcPr>
          <w:p>
            <w:pPr>
              <w:ind w:left="380"/>
              <w:spacing w:after="0" w:line="157" w:lineRule="exact"/>
              <w:rPr>
                <w:sz w:val="20"/>
                <w:szCs w:val="20"/>
                <w:color w:val="auto"/>
              </w:rPr>
            </w:pPr>
            <w:r>
              <w:rPr>
                <w:rFonts w:ascii="Arial" w:cs="Arial" w:eastAsia="Arial" w:hAnsi="Arial"/>
                <w:sz w:val="14"/>
                <w:szCs w:val="14"/>
                <w:color w:val="auto"/>
              </w:rPr>
              <w:t>preferred stock financing</w:t>
            </w:r>
          </w:p>
        </w:tc>
        <w:tc>
          <w:tcPr>
            <w:tcW w:w="1140" w:type="dxa"/>
            <w:vAlign w:val="bottom"/>
          </w:tcPr>
          <w:p>
            <w:pPr>
              <w:spacing w:after="0"/>
              <w:rPr>
                <w:sz w:val="15"/>
                <w:szCs w:val="15"/>
                <w:color w:val="auto"/>
              </w:rPr>
            </w:pPr>
          </w:p>
        </w:tc>
        <w:tc>
          <w:tcPr>
            <w:tcW w:w="1060" w:type="dxa"/>
            <w:vAlign w:val="bottom"/>
          </w:tcPr>
          <w:p>
            <w:pPr>
              <w:jc w:val="right"/>
              <w:ind w:right="910"/>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940"/>
              <w:spacing w:after="0" w:line="15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10,591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shd w:val="clear" w:color="auto" w:fill="CFF0FC"/>
          </w:tcPr>
          <w:p>
            <w:pPr>
              <w:ind w:left="260"/>
              <w:spacing w:after="0" w:line="156" w:lineRule="exact"/>
              <w:rPr>
                <w:sz w:val="20"/>
                <w:szCs w:val="20"/>
                <w:color w:val="auto"/>
              </w:rPr>
            </w:pPr>
            <w:r>
              <w:rPr>
                <w:rFonts w:ascii="Arial" w:cs="Arial" w:eastAsia="Arial" w:hAnsi="Arial"/>
                <w:sz w:val="14"/>
                <w:szCs w:val="14"/>
                <w:color w:val="auto"/>
              </w:rPr>
              <w:t>Issuance of Series B preferred stock upon conversion of promissory notes</w:t>
            </w: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4,515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Recognition of warrant liability in connection with Series B convertible preferred</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4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460" w:type="dxa"/>
            <w:vAlign w:val="bottom"/>
          </w:tcPr>
          <w:p>
            <w:pPr>
              <w:ind w:left="380"/>
              <w:spacing w:after="0" w:line="157" w:lineRule="exact"/>
              <w:rPr>
                <w:sz w:val="20"/>
                <w:szCs w:val="20"/>
                <w:color w:val="auto"/>
              </w:rPr>
            </w:pPr>
            <w:r>
              <w:rPr>
                <w:rFonts w:ascii="Arial" w:cs="Arial" w:eastAsia="Arial" w:hAnsi="Arial"/>
                <w:sz w:val="14"/>
                <w:szCs w:val="14"/>
                <w:color w:val="auto"/>
              </w:rPr>
              <w:t>stock financing</w:t>
            </w:r>
          </w:p>
        </w:tc>
        <w:tc>
          <w:tcPr>
            <w:tcW w:w="1140" w:type="dxa"/>
            <w:vAlign w:val="bottom"/>
          </w:tcPr>
          <w:p>
            <w:pPr>
              <w:spacing w:after="0"/>
              <w:rPr>
                <w:sz w:val="15"/>
                <w:szCs w:val="15"/>
                <w:color w:val="auto"/>
              </w:rPr>
            </w:pPr>
          </w:p>
        </w:tc>
        <w:tc>
          <w:tcPr>
            <w:tcW w:w="1060" w:type="dxa"/>
            <w:vAlign w:val="bottom"/>
          </w:tcPr>
          <w:p>
            <w:pPr>
              <w:jc w:val="right"/>
              <w:ind w:right="910"/>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940"/>
              <w:spacing w:after="0" w:line="15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364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shd w:val="clear" w:color="auto" w:fill="CFF0FC"/>
          </w:tcPr>
          <w:p>
            <w:pPr>
              <w:ind w:left="260"/>
              <w:spacing w:after="0" w:line="156" w:lineRule="exact"/>
              <w:rPr>
                <w:sz w:val="20"/>
                <w:szCs w:val="20"/>
                <w:color w:val="auto"/>
              </w:rPr>
            </w:pPr>
            <w:r>
              <w:rPr>
                <w:rFonts w:ascii="Arial" w:cs="Arial" w:eastAsia="Arial" w:hAnsi="Arial"/>
                <w:sz w:val="14"/>
                <w:szCs w:val="14"/>
                <w:color w:val="auto"/>
              </w:rPr>
              <w:t>Derivative liability recorded upon issuance of convertible notes</w:t>
            </w: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390</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tcPr>
          <w:p>
            <w:pPr>
              <w:ind w:left="260"/>
              <w:spacing w:after="0" w:line="156" w:lineRule="exact"/>
              <w:rPr>
                <w:sz w:val="20"/>
                <w:szCs w:val="20"/>
                <w:color w:val="auto"/>
              </w:rPr>
            </w:pPr>
            <w:r>
              <w:rPr>
                <w:rFonts w:ascii="Arial" w:cs="Arial" w:eastAsia="Arial" w:hAnsi="Arial"/>
                <w:sz w:val="14"/>
                <w:szCs w:val="14"/>
                <w:color w:val="auto"/>
              </w:rPr>
              <w:t>Conversion of convertible preferred stock upon closing of initial public offering</w:t>
            </w:r>
          </w:p>
        </w:tc>
        <w:tc>
          <w:tcPr>
            <w:tcW w:w="1140" w:type="dxa"/>
            <w:vAlign w:val="bottom"/>
          </w:tcPr>
          <w:p>
            <w:pPr>
              <w:spacing w:after="0"/>
              <w:rPr>
                <w:sz w:val="15"/>
                <w:szCs w:val="15"/>
                <w:color w:val="auto"/>
              </w:rPr>
            </w:pPr>
          </w:p>
        </w:tc>
        <w:tc>
          <w:tcPr>
            <w:tcW w:w="1060" w:type="dxa"/>
            <w:vAlign w:val="bottom"/>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92,537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shd w:val="clear" w:color="auto" w:fill="CFF0FC"/>
          </w:tcPr>
          <w:p>
            <w:pPr>
              <w:ind w:left="260"/>
              <w:spacing w:after="0" w:line="156" w:lineRule="exact"/>
              <w:rPr>
                <w:sz w:val="20"/>
                <w:szCs w:val="20"/>
                <w:color w:val="auto"/>
              </w:rPr>
            </w:pPr>
            <w:r>
              <w:rPr>
                <w:rFonts w:ascii="Arial" w:cs="Arial" w:eastAsia="Arial" w:hAnsi="Arial"/>
                <w:sz w:val="14"/>
                <w:szCs w:val="14"/>
                <w:color w:val="auto"/>
              </w:rPr>
              <w:t>Right-of-use asset obtained in exchange for new operating lease liability</w:t>
            </w: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1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298" w:lineRule="exact"/>
        <w:rPr>
          <w:sz w:val="20"/>
          <w:szCs w:val="20"/>
          <w:color w:val="auto"/>
        </w:rPr>
      </w:pPr>
    </w:p>
    <w:p>
      <w:pPr>
        <w:ind w:right="8540" w:firstLine="8"/>
        <w:spacing w:after="0" w:line="372" w:lineRule="auto"/>
        <w:tabs>
          <w:tab w:leader="none" w:pos="567"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and Bothell Washington. The Company is a late clinical-stage biopharmaceutical company focused on developing small molecules to restore neuronal health and stop neurodegeneration.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6" w:lineRule="exact"/>
        <w:rPr>
          <w:sz w:val="20"/>
          <w:szCs w:val="20"/>
          <w:color w:val="auto"/>
        </w:rPr>
      </w:pPr>
    </w:p>
    <w:p>
      <w:pPr>
        <w:ind w:right="180" w:firstLine="576"/>
        <w:spacing w:after="0" w:line="238" w:lineRule="auto"/>
        <w:rPr>
          <w:sz w:val="20"/>
          <w:szCs w:val="20"/>
          <w:color w:val="auto"/>
        </w:rPr>
      </w:pPr>
      <w:r>
        <w:rPr>
          <w:rFonts w:ascii="Arial" w:cs="Arial" w:eastAsia="Arial" w:hAnsi="Arial"/>
          <w:sz w:val="18"/>
          <w:szCs w:val="18"/>
          <w:color w:val="auto"/>
        </w:rPr>
        <w:t>On September 11, 2020, the Company effected a one-for-7.9302 reverse split of its issued and outstanding common stock, convertible preferred stock, warrants, and stock options. The par value of the common stock and convertible preferred stock was not adjusted as a result of the reverse stock split. All share and per share amounts in the accompanying unaudited condensed financial statements and notes to the unaudited condensed financial statements have been retroactively adjusted for all periods presented to reflect the reverse stock split.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On September 17, 2020, the Company’s registration statement on Form S-1 (File No. 333-248428) for its initial public offering of common stock (“IPO”) was declared effective by the Securities and Exchange Commission (“SEC”). On September 22, 2020, the Company issued and sold 12,000,000 shares of common stock in the IPO at a public offering price of $17.00 per share, resulting in net proceeds of $186.4 million after deducting underwriting discounts and commissions and offering expenses paid by the Company.</w:t>
      </w:r>
    </w:p>
    <w:p>
      <w:pPr>
        <w:spacing w:after="0" w:line="205" w:lineRule="exact"/>
        <w:rPr>
          <w:sz w:val="20"/>
          <w:szCs w:val="20"/>
          <w:color w:val="auto"/>
        </w:rPr>
      </w:pPr>
    </w:p>
    <w:p>
      <w:pPr>
        <w:ind w:right="100" w:firstLine="576"/>
        <w:spacing w:after="0" w:line="236" w:lineRule="auto"/>
        <w:rPr>
          <w:sz w:val="20"/>
          <w:szCs w:val="20"/>
          <w:color w:val="auto"/>
        </w:rPr>
      </w:pPr>
      <w:r>
        <w:rPr>
          <w:rFonts w:ascii="Arial" w:cs="Arial" w:eastAsia="Arial" w:hAnsi="Arial"/>
          <w:sz w:val="18"/>
          <w:szCs w:val="18"/>
          <w:color w:val="auto"/>
        </w:rPr>
        <w:t>In connection with the closing of the IPO, all of the Company’s outstanding shares of convertible preferred stock were automatically converted into 12,503,009 shares of common stock. Immediately prior to the Company’s IPO, all outstanding common stock warrants were exercised into 1,085,334 shares of common stock. Additionally, all outstanding Series B convertible preferred stock warrants were remeasured to their fair value. The final remeasurement of the Series B convertible preferred stock warrant liability resulted in a $0.6 million loss which was recorded to other income (expense), net. Following remeasurement, all Series B convertible preferred stock warrants automatically net exercised into 59,093 shares of common stock and the corresponding liability was reclassified to additional paid in capital. Following the IPO, there are no shares of convertible preferred stock, common stock warrants, or Series B convertible preferred stock warrants outstanding.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2020, it has raised aggregate net cash proceeds of $ 288.5 million primarily from the issuance of its common stock, convertible preferred stock, common stock warrants, and convertible notes. As of September 30, 2020, the Company had $259.9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234" w:name="page235"/>
    <w:bookmarkEnd w:id="23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activities, establishing and maintaining the Company’s intellectual property portfolio, hiring personnel, raising capital, and providing general and administrative support for these operations.</w:t>
      </w:r>
    </w:p>
    <w:p>
      <w:pPr>
        <w:spacing w:after="0" w:line="197"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Based upon the Company’s current operating plan, it estimates that its $ 259.9 million of cash, cash equivalents, and investments at September 30, 2020 will be sufficient to fund its operating expenses and capital expenditure requirements through at least the 12 months following the date of the Company’s Quarterly Report on Form 10-Q for the period ending September 30, 2020.</w:t>
      </w:r>
    </w:p>
    <w:p>
      <w:pPr>
        <w:spacing w:after="0" w:line="289" w:lineRule="exact"/>
        <w:rPr>
          <w:sz w:val="20"/>
          <w:szCs w:val="20"/>
          <w:color w:val="auto"/>
        </w:rPr>
      </w:pPr>
    </w:p>
    <w:p>
      <w:pPr>
        <w:ind w:right="7980" w:firstLine="8"/>
        <w:spacing w:after="0" w:line="372" w:lineRule="auto"/>
        <w:tabs>
          <w:tab w:leader="none" w:pos="567"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condensed consolidated financial statements have been prepared in conformity with U.S. generally accepted accounting principles (“U.S. GAAP”). During the third quarter of 2020, the Company incorporated Athira Pharma Australia PTY LTD in Australia and as of September 30, 2020, operations have yet to commence.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26" w:lineRule="exact"/>
        <w:rPr>
          <w:sz w:val="20"/>
          <w:szCs w:val="20"/>
          <w:color w:val="auto"/>
        </w:rPr>
      </w:pPr>
    </w:p>
    <w:p>
      <w:pPr>
        <w:ind w:right="40" w:firstLine="576"/>
        <w:spacing w:after="0" w:line="236" w:lineRule="auto"/>
        <w:rPr>
          <w:sz w:val="20"/>
          <w:szCs w:val="20"/>
          <w:color w:val="auto"/>
        </w:rPr>
      </w:pPr>
      <w:r>
        <w:rPr>
          <w:rFonts w:ascii="Arial" w:cs="Arial" w:eastAsia="Arial" w:hAnsi="Arial"/>
          <w:sz w:val="18"/>
          <w:szCs w:val="18"/>
          <w:color w:val="auto"/>
        </w:rPr>
        <w:t>The accompanying unaudited condensed balance sheet as of September 30, 2020, and condensed statements of operations and comprehensive loss, condensed statements of cash flows, and condensed statements of convertible preferred stock and stockholders’ deficit for the three and nine months ended September 30, 2020 and 2019,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September 30, 2020, and the condensed results of its operations and its cash flows for the three and nine months ended September 30, 2020 and 2019. The financial data and other information disclosed in these notes related to the three and nine months ended September 30, 2020 and 2019 are also unaudited. The condensed results of operations for the three and nine months ended September 30, 2020 are not necessarily indicative of the results to be expected for the full year ending December 31, 2020 or any other period. These interim condensed financial statements should be read in conjunction with the Company’s audited financial statements included elsewhere in this prospectus.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right="100" w:firstLine="576"/>
        <w:spacing w:after="0" w:line="261"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payable and accrued expenses approximate their fair values due to the short-term nature of those amounts. The fair values of the grant liability to Life Sciences Discovery Fund (“LSDF”), the derivative liability, and the convertible preferred stock warrant liability were estimated using Level 3 unobservable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26" w:lineRule="exact"/>
        <w:rPr>
          <w:sz w:val="20"/>
          <w:szCs w:val="20"/>
          <w:color w:val="auto"/>
        </w:rPr>
      </w:pPr>
    </w:p>
    <w:p>
      <w:pPr>
        <w:ind w:right="120" w:firstLine="569"/>
        <w:spacing w:after="0" w:line="237" w:lineRule="auto"/>
        <w:rPr>
          <w:sz w:val="20"/>
          <w:szCs w:val="20"/>
          <w:color w:val="auto"/>
        </w:rPr>
      </w:pPr>
      <w:r>
        <w:rPr>
          <w:rFonts w:ascii="Arial" w:cs="Arial" w:eastAsia="Arial" w:hAnsi="Arial"/>
          <w:sz w:val="18"/>
          <w:szCs w:val="18"/>
          <w:color w:val="auto"/>
        </w:rPr>
        <w:t>Freestanding warrants to purchase shares of the Company’s convertible preferred stock are accounted for as liabilities at fair value, because the shares underlying the warrants contain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5" w:name="page236"/>
    <w:bookmarkEnd w:id="235"/>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26" w:lineRule="exact"/>
        <w:rPr>
          <w:sz w:val="20"/>
          <w:szCs w:val="20"/>
          <w:color w:val="auto"/>
        </w:rPr>
      </w:pPr>
    </w:p>
    <w:p>
      <w:pPr>
        <w:ind w:right="440" w:firstLine="576"/>
        <w:spacing w:after="0" w:line="238"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Realized gains and losses on the sale of these securities are recognized in net loss.</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our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ind w:right="280" w:firstLine="576"/>
        <w:spacing w:after="0" w:line="26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Recently Adopted Accounting Standards</w:t>
      </w:r>
      <w:r>
        <w:rPr>
          <w:rFonts w:ascii="Arial" w:cs="Arial" w:eastAsia="Arial" w:hAnsi="Arial"/>
          <w:sz w:val="18"/>
          <w:szCs w:val="18"/>
          <w:color w:val="auto"/>
        </w:rPr>
        <w:t xml:space="preserve"> below, 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on July 1, 2020, effective January 1, 2020.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6" w:name="page237"/>
    <w:bookmarkEnd w:id="236"/>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 generally does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07" w:lineRule="exact"/>
        <w:rPr>
          <w:sz w:val="20"/>
          <w:szCs w:val="20"/>
          <w:color w:val="auto"/>
        </w:rPr>
      </w:pPr>
    </w:p>
    <w:p>
      <w:pPr>
        <w:ind w:right="80" w:firstLine="576"/>
        <w:spacing w:after="0" w:line="274" w:lineRule="auto"/>
        <w:rPr>
          <w:sz w:val="20"/>
          <w:szCs w:val="20"/>
          <w:color w:val="auto"/>
        </w:rPr>
      </w:pPr>
      <w:r>
        <w:rPr>
          <w:rFonts w:ascii="Arial" w:cs="Arial" w:eastAsia="Arial" w:hAnsi="Arial"/>
          <w:sz w:val="17"/>
          <w:szCs w:val="17"/>
          <w:color w:val="auto"/>
        </w:rPr>
        <w:t>The Company’s lease contains an option to extend the lease; lease terms are adjusted for these options only when it is reasonably certain the Company will exercise these options. The Company’s lease agreement does not contain residual value guarantees or covenants.</w:t>
      </w:r>
    </w:p>
    <w:p>
      <w:pPr>
        <w:spacing w:after="0" w:line="175"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05" w:lineRule="exact"/>
        <w:rPr>
          <w:sz w:val="20"/>
          <w:szCs w:val="20"/>
          <w:color w:val="auto"/>
        </w:rPr>
      </w:pPr>
    </w:p>
    <w:p>
      <w:pPr>
        <w:jc w:val="both"/>
        <w:ind w:right="60" w:firstLine="576"/>
        <w:spacing w:after="0"/>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05"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05" w:lineRule="exact"/>
        <w:rPr>
          <w:sz w:val="20"/>
          <w:szCs w:val="20"/>
          <w:color w:val="auto"/>
        </w:rPr>
      </w:pPr>
    </w:p>
    <w:p>
      <w:pPr>
        <w:ind w:right="160" w:firstLine="576"/>
        <w:spacing w:after="0" w:line="238"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6" w:lineRule="exact"/>
        <w:rPr>
          <w:sz w:val="20"/>
          <w:szCs w:val="20"/>
          <w:color w:val="auto"/>
        </w:rPr>
      </w:pPr>
    </w:p>
    <w:p>
      <w:pPr>
        <w:ind w:right="400" w:firstLine="576"/>
        <w:spacing w:after="0"/>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7" w:name="page238"/>
    <w:bookmarkEnd w:id="237"/>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4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share attributable to common stockholders is the same as basic net loss per share attributable to common stockholders since the effect of potentially dilutive securities is anti-dilutive given the net loss of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2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intended to increase transparency and comparability among organizations by recognizing lease assets and lease liabilities on the balance sheets and disclosing key information about leasing arrangements. The Company adopted the guidance on July 1, 2020, effective January 1, 2020, using the optional transition method described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Prior to adoption, the Company did not have any leases with initial terms longer than 12 months. The Company will continue to account for leases with initial terms of 12 months or less as operating expenses on a straight-line basis over the lease term.</w:t>
      </w:r>
    </w:p>
    <w:p>
      <w:pPr>
        <w:spacing w:after="0" w:line="202" w:lineRule="exact"/>
        <w:rPr>
          <w:sz w:val="20"/>
          <w:szCs w:val="20"/>
          <w:color w:val="auto"/>
        </w:rPr>
      </w:pPr>
    </w:p>
    <w:p>
      <w:pPr>
        <w:ind w:right="60" w:firstLine="576"/>
        <w:spacing w:after="0" w:line="248" w:lineRule="auto"/>
        <w:rPr>
          <w:sz w:val="20"/>
          <w:szCs w:val="20"/>
          <w:color w:val="auto"/>
        </w:rPr>
      </w:pPr>
      <w:r>
        <w:rPr>
          <w:rFonts w:ascii="Arial" w:cs="Arial" w:eastAsia="Arial" w:hAnsi="Arial"/>
          <w:sz w:val="17"/>
          <w:szCs w:val="17"/>
          <w:color w:val="auto"/>
        </w:rPr>
        <w:t>In adopting the new standard, the Company utilized certain practical expedients available. These practical expedients include waiving reassessment of 1) whether any expired or existing contracts are or contain leases; 2) lease classification of expired or existing leases; and</w:t>
      </w:r>
    </w:p>
    <w:p>
      <w:pPr>
        <w:spacing w:after="0" w:line="1" w:lineRule="exact"/>
        <w:rPr>
          <w:sz w:val="20"/>
          <w:szCs w:val="20"/>
          <w:color w:val="auto"/>
        </w:rPr>
      </w:pPr>
    </w:p>
    <w:p>
      <w:pPr>
        <w:ind w:right="180" w:firstLine="8"/>
        <w:spacing w:after="0" w:line="238" w:lineRule="auto"/>
        <w:tabs>
          <w:tab w:leader="none" w:pos="2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initial direct costs for existing leases. The Company also elected to use hindsight in determining the lease term and in assessing impairment of its ROU assets. Furthermore, the Company has made a policy decision regarding its real estate leases not to separate nonlease components from lease components, to the extent they are fixed. The Company has also elected not to record on the balance sheet a lease that has a lease term of 12 months or less and does not contain a purchase option that the Company is reasonably certain to exercise.</w:t>
      </w:r>
    </w:p>
    <w:p>
      <w:pPr>
        <w:spacing w:after="0" w:line="2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 standard had a material impact on the Company’s unaudited condensed balance sheets but did not have a material impact on its unaudited condensed statements of operations or unaudited condensed statements of cash flows. The most significant impact was the recognition of $1.0 million and $1.0 million of operating lease ROU assets and liabilities, respectively. Refer to Note 8, Leases, for additional information regarding leases.</w:t>
      </w:r>
    </w:p>
    <w:p>
      <w:pPr>
        <w:spacing w:after="0" w:line="187"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ASU simplified the accounting for share-based payments to non-employees by aligning 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share-based payments to employees, with certain exceptions. The Company adopted the standard on January 1, 2020 and it did not have a material impact on its financial condition, results of operations and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8" w:name="page239"/>
    <w:bookmarkEnd w:id="238"/>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37"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8" w:lineRule="exact"/>
        <w:rPr>
          <w:sz w:val="20"/>
          <w:szCs w:val="20"/>
          <w:color w:val="auto"/>
        </w:rPr>
      </w:pPr>
    </w:p>
    <w:p>
      <w:pPr>
        <w:ind w:right="80" w:firstLine="576"/>
        <w:spacing w:after="0" w:line="242"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03" w:lineRule="exact"/>
        <w:rPr>
          <w:sz w:val="20"/>
          <w:szCs w:val="20"/>
          <w:color w:val="auto"/>
        </w:rPr>
      </w:pPr>
    </w:p>
    <w:p>
      <w:pPr>
        <w:ind w:right="80" w:firstLine="576"/>
        <w:spacing w:after="0" w:line="246" w:lineRule="auto"/>
        <w:rPr>
          <w:sz w:val="20"/>
          <w:szCs w:val="20"/>
          <w:color w:val="auto"/>
        </w:rPr>
      </w:pPr>
      <w:r>
        <w:rPr>
          <w:rFonts w:ascii="Arial" w:cs="Arial" w:eastAsia="Arial" w:hAnsi="Arial"/>
          <w:sz w:val="18"/>
          <w:szCs w:val="18"/>
          <w:color w:val="auto"/>
        </w:rPr>
        <w:t>Although there were several other new accounting pronouncements issued or proposed by the FASB, we do not believe any of these have had or will have material impact on our condensed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26" w:lineRule="exact"/>
        <w:rPr>
          <w:sz w:val="20"/>
          <w:szCs w:val="20"/>
          <w:color w:val="auto"/>
        </w:rPr>
      </w:pPr>
    </w:p>
    <w:p>
      <w:pPr>
        <w:ind w:right="60" w:firstLine="576"/>
        <w:spacing w:after="0" w:line="274"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49" w:lineRule="exact"/>
        <w:rPr>
          <w:sz w:val="20"/>
          <w:szCs w:val="20"/>
          <w:color w:val="auto"/>
        </w:rPr>
      </w:pPr>
    </w:p>
    <w:p>
      <w:pPr>
        <w:ind w:right="40" w:firstLine="576"/>
        <w:spacing w:after="0" w:line="26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2" w:lineRule="exact"/>
        <w:rPr>
          <w:sz w:val="20"/>
          <w:szCs w:val="20"/>
          <w:color w:val="auto"/>
        </w:rPr>
      </w:pPr>
    </w:p>
    <w:p>
      <w:pPr>
        <w:ind w:right="320" w:firstLine="576"/>
        <w:spacing w:after="0" w:line="26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2" w:lineRule="exact"/>
        <w:rPr>
          <w:sz w:val="20"/>
          <w:szCs w:val="20"/>
          <w:color w:val="auto"/>
        </w:rPr>
      </w:pPr>
    </w:p>
    <w:p>
      <w:pPr>
        <w:ind w:firstLine="576"/>
        <w:spacing w:after="0" w:line="250"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95" w:lineRule="exact"/>
        <w:rPr>
          <w:sz w:val="20"/>
          <w:szCs w:val="20"/>
          <w:color w:val="auto"/>
        </w:rPr>
      </w:pPr>
    </w:p>
    <w:p>
      <w:pPr>
        <w:jc w:val="both"/>
        <w:ind w:right="60" w:firstLine="576"/>
        <w:spacing w:after="0" w:line="23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39" w:name="page240"/>
    <w:bookmarkEnd w:id="239"/>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95" w:lineRule="exact"/>
        <w:rPr>
          <w:sz w:val="20"/>
          <w:szCs w:val="20"/>
          <w:color w:val="auto"/>
        </w:rPr>
      </w:pPr>
    </w:p>
    <w:p>
      <w:pPr>
        <w:ind w:right="480" w:firstLine="576"/>
        <w:spacing w:after="0" w:line="246" w:lineRule="auto"/>
        <w:rPr>
          <w:sz w:val="20"/>
          <w:szCs w:val="20"/>
          <w:color w:val="auto"/>
        </w:rPr>
      </w:pPr>
      <w:r>
        <w:rPr>
          <w:rFonts w:ascii="Arial" w:cs="Arial" w:eastAsia="Arial" w:hAnsi="Arial"/>
          <w:sz w:val="18"/>
          <w:szCs w:val="18"/>
          <w:color w:val="auto"/>
        </w:rPr>
        <w:t>The following table reflects the Company’s financial asset balances measured on a recurring basis as of September 30, 2020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5"/>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462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66,596</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70,389</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FF0FC"/>
          </w:tcPr>
          <w:p>
            <w:pPr>
              <w:spacing w:after="0"/>
              <w:rPr>
                <w:sz w:val="18"/>
                <w:szCs w:val="18"/>
                <w:color w:val="auto"/>
              </w:rPr>
            </w:pPr>
          </w:p>
        </w:tc>
      </w:tr>
      <w:tr>
        <w:trPr>
          <w:trHeight w:val="249"/>
        </w:trPr>
        <w:tc>
          <w:tcPr>
            <w:tcW w:w="462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152,822</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152,819</w:t>
            </w:r>
          </w:p>
        </w:tc>
        <w:tc>
          <w:tcPr>
            <w:tcW w:w="100" w:type="dxa"/>
            <w:vAlign w:val="bottom"/>
          </w:tcPr>
          <w:p>
            <w:pPr>
              <w:spacing w:after="0"/>
              <w:rPr>
                <w:sz w:val="21"/>
                <w:szCs w:val="21"/>
                <w:color w:val="auto"/>
              </w:rPr>
            </w:pPr>
          </w:p>
        </w:tc>
      </w:tr>
      <w:tr>
        <w:trPr>
          <w:trHeight w:val="197"/>
        </w:trPr>
        <w:tc>
          <w:tcPr>
            <w:tcW w:w="462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30,394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bonds</w:t>
            </w:r>
          </w:p>
        </w:tc>
        <w:tc>
          <w:tcPr>
            <w:tcW w:w="13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FF0FC"/>
            </w:tcBorders>
          </w:tcPr>
          <w:p>
            <w:pPr>
              <w:spacing w:after="0"/>
              <w:rPr>
                <w:sz w:val="18"/>
                <w:szCs w:val="18"/>
                <w:color w:val="auto"/>
              </w:rPr>
            </w:pPr>
          </w:p>
        </w:tc>
      </w:tr>
      <w:tr>
        <w:trPr>
          <w:trHeight w:val="24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60,539</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60,547</w:t>
            </w:r>
          </w:p>
        </w:tc>
        <w:tc>
          <w:tcPr>
            <w:tcW w:w="100" w:type="dxa"/>
            <w:vAlign w:val="bottom"/>
            <w:shd w:val="clear" w:color="auto" w:fill="CFF0FC"/>
          </w:tcPr>
          <w:p>
            <w:pPr>
              <w:spacing w:after="0"/>
              <w:rPr>
                <w:sz w:val="21"/>
                <w:szCs w:val="21"/>
                <w:color w:val="auto"/>
              </w:rPr>
            </w:pPr>
          </w:p>
        </w:tc>
      </w:tr>
      <w:tr>
        <w:trPr>
          <w:trHeight w:val="197"/>
        </w:trPr>
        <w:tc>
          <w:tcPr>
            <w:tcW w:w="4620" w:type="dxa"/>
            <w:vAlign w:val="bottom"/>
            <w:tcBorders>
              <w:top w:val="single" w:sz="8" w:color="CFF0FC"/>
              <w:bottom w:val="single" w:sz="8" w:color="auto"/>
            </w:tcBorders>
          </w:tcPr>
          <w:p>
            <w:pPr>
              <w:spacing w:after="0" w:line="196" w:lineRule="exact"/>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bottom w:val="single" w:sz="8" w:color="CFF0FC"/>
            </w:tcBorders>
          </w:tcPr>
          <w:p>
            <w:pPr>
              <w:spacing w:after="0"/>
              <w:rPr>
                <w:sz w:val="17"/>
                <w:szCs w:val="17"/>
                <w:color w:val="auto"/>
              </w:rPr>
            </w:pPr>
          </w:p>
        </w:tc>
        <w:tc>
          <w:tcPr>
            <w:tcW w:w="118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CFF0FC"/>
              <w:bottom w:val="single" w:sz="8" w:color="CFF0FC"/>
            </w:tcBorders>
          </w:tcPr>
          <w:p>
            <w:pPr>
              <w:spacing w:after="0"/>
              <w:rPr>
                <w:sz w:val="17"/>
                <w:szCs w:val="17"/>
                <w:color w:val="auto"/>
              </w:rPr>
            </w:pPr>
          </w:p>
        </w:tc>
        <w:tc>
          <w:tcPr>
            <w:tcW w:w="14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4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6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88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r>
      <w:tr>
        <w:trPr>
          <w:trHeight w:val="209"/>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32,636</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 S. treasury bills</w:t>
            </w:r>
          </w:p>
        </w:tc>
        <w:tc>
          <w:tcPr>
            <w:tcW w:w="13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FF0FC"/>
            </w:tcBorders>
          </w:tcPr>
          <w:p>
            <w:pPr>
              <w:spacing w:after="0"/>
              <w:rPr>
                <w:sz w:val="18"/>
                <w:szCs w:val="18"/>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investments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33,654</w:t>
            </w: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33,656</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300" w:firstLine="576"/>
        <w:spacing w:after="0" w:line="238"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5" w:lineRule="exact"/>
        <w:rPr>
          <w:sz w:val="20"/>
          <w:szCs w:val="20"/>
          <w:color w:val="auto"/>
        </w:rPr>
      </w:pPr>
    </w:p>
    <w:p>
      <w:pPr>
        <w:ind w:right="320" w:firstLine="576"/>
        <w:spacing w:after="0" w:line="236" w:lineRule="auto"/>
        <w:rPr>
          <w:sz w:val="20"/>
          <w:szCs w:val="20"/>
          <w:color w:val="auto"/>
        </w:rPr>
      </w:pPr>
      <w:r>
        <w:rPr>
          <w:rFonts w:ascii="Arial" w:cs="Arial" w:eastAsia="Arial" w:hAnsi="Arial"/>
          <w:sz w:val="18"/>
          <w:szCs w:val="18"/>
          <w:color w:val="auto"/>
        </w:rPr>
        <w:t>Prior to the IPO, the Company’s level 3 financial liabilities carried at fair value and remeasured on a recurring basis are the grant liability, derivative liability, and the convertible preferred stock warrant liability. In the third quarter the Company recorded an additional $464,000 to bring the total grant liability to $1.5 million as the Company’s IPO triggered the repayment obligation (see Note 6), and the derivative was settled upon the Company’s conversion of its convertible notes in May 2020 (see Note 7). The losses resulting from the change in fair value of the grant liability, the bifurcated conversion and redemption features related to the derivative liability, and the convertible preferred stock warrant liability are classified as other income (expense), net in the accompanying condensed consolidated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the grant liability for the year ended December 31, 2019 and nine months ended</w:t>
      </w:r>
    </w:p>
    <w:p>
      <w:pPr>
        <w:spacing w:after="0"/>
        <w:rPr>
          <w:sz w:val="20"/>
          <w:szCs w:val="20"/>
          <w:color w:val="auto"/>
        </w:rPr>
      </w:pPr>
      <w:r>
        <w:rPr>
          <w:rFonts w:ascii="Arial" w:cs="Arial" w:eastAsia="Arial" w:hAnsi="Arial"/>
          <w:sz w:val="18"/>
          <w:szCs w:val="18"/>
          <w:color w:val="auto"/>
        </w:rPr>
        <w:t>September 30, 2020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5"/>
        </w:trPr>
        <w:tc>
          <w:tcPr>
            <w:tcW w:w="4140" w:type="dxa"/>
            <w:vAlign w:val="bottom"/>
            <w:tcBorders>
              <w:bottom w:val="single" w:sz="8" w:color="CFF0FC"/>
            </w:tcBorders>
          </w:tcPr>
          <w:p>
            <w:pPr>
              <w:spacing w:after="0"/>
              <w:rPr>
                <w:sz w:val="15"/>
                <w:szCs w:val="15"/>
                <w:color w:val="auto"/>
              </w:rPr>
            </w:pPr>
          </w:p>
        </w:tc>
        <w:tc>
          <w:tcPr>
            <w:tcW w:w="2300" w:type="dxa"/>
            <w:vAlign w:val="bottom"/>
            <w:tcBorders>
              <w:bottom w:val="single" w:sz="8" w:color="CFF0FC"/>
            </w:tcBorders>
          </w:tcPr>
          <w:p>
            <w:pPr>
              <w:spacing w:after="0"/>
              <w:rPr>
                <w:sz w:val="15"/>
                <w:szCs w:val="15"/>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324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23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324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23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3240" w:type="dxa"/>
            <w:vAlign w:val="bottom"/>
            <w:gridSpan w:val="2"/>
          </w:tcPr>
          <w:p>
            <w:pPr>
              <w:jc w:val="right"/>
              <w:ind w:right="1508"/>
              <w:spacing w:after="0"/>
              <w:rPr>
                <w:sz w:val="20"/>
                <w:szCs w:val="20"/>
                <w:color w:val="auto"/>
              </w:rPr>
            </w:pPr>
            <w:r>
              <w:rPr>
                <w:rFonts w:ascii="Arial" w:cs="Arial" w:eastAsia="Arial" w:hAnsi="Arial"/>
                <w:sz w:val="18"/>
                <w:szCs w:val="18"/>
                <w:color w:val="auto"/>
              </w:rPr>
              <w:t>F-38</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240" w:name="page241"/>
    <w:bookmarkEnd w:id="240"/>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activity for the derivative liability for the year ended December 31, 2019 and nine months ended</w:t>
      </w:r>
    </w:p>
    <w:p>
      <w:pPr>
        <w:spacing w:after="0"/>
        <w:rPr>
          <w:sz w:val="20"/>
          <w:szCs w:val="20"/>
          <w:color w:val="auto"/>
        </w:rPr>
      </w:pPr>
      <w:r>
        <w:rPr>
          <w:rFonts w:ascii="Arial" w:cs="Arial" w:eastAsia="Arial" w:hAnsi="Arial"/>
          <w:sz w:val="18"/>
          <w:szCs w:val="18"/>
          <w:color w:val="auto"/>
        </w:rPr>
        <w:t>September 30, 2020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44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Year Ended December 31, 2019</w:t>
            </w:r>
          </w:p>
        </w:tc>
        <w:tc>
          <w:tcPr>
            <w:tcW w:w="3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FF0FC"/>
            </w:tcBorders>
          </w:tcPr>
          <w:p>
            <w:pPr>
              <w:spacing w:after="0"/>
              <w:rPr>
                <w:sz w:val="15"/>
                <w:szCs w:val="15"/>
                <w:color w:val="auto"/>
              </w:rPr>
            </w:pPr>
          </w:p>
        </w:tc>
      </w:tr>
      <w:tr>
        <w:trPr>
          <w:trHeight w:val="21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Derivative liability recorded upon issuance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440" w:type="dxa"/>
            <w:vAlign w:val="bottom"/>
          </w:tcPr>
          <w:p>
            <w:pPr>
              <w:ind w:left="160"/>
              <w:spacing w:after="0" w:line="203" w:lineRule="exact"/>
              <w:rPr>
                <w:sz w:val="20"/>
                <w:szCs w:val="20"/>
                <w:color w:val="auto"/>
              </w:rPr>
            </w:pPr>
            <w:r>
              <w:rPr>
                <w:rFonts w:ascii="Arial" w:cs="Arial" w:eastAsia="Arial" w:hAnsi="Arial"/>
                <w:sz w:val="18"/>
                <w:szCs w:val="18"/>
                <w:color w:val="auto"/>
              </w:rPr>
              <w:t>convertible notes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Arial" w:cs="Arial" w:eastAsia="Arial" w:hAnsi="Arial"/>
                <w:sz w:val="18"/>
                <w:szCs w:val="18"/>
                <w:color w:val="auto"/>
              </w:rPr>
              <w:t>389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Arial" w:cs="Arial" w:eastAsia="Arial" w:hAnsi="Arial"/>
                <w:sz w:val="18"/>
                <w:szCs w:val="18"/>
                <w:color w:val="auto"/>
              </w:rPr>
              <w:t>774</w:t>
            </w:r>
          </w:p>
        </w:tc>
        <w:tc>
          <w:tcPr>
            <w:tcW w:w="100" w:type="dxa"/>
            <w:vAlign w:val="bottom"/>
          </w:tcPr>
          <w:p>
            <w:pPr>
              <w:spacing w:after="0"/>
              <w:rPr>
                <w:sz w:val="17"/>
                <w:szCs w:val="17"/>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8"/>
                <w:szCs w:val="18"/>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Derivative liability settled upon conversion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440" w:type="dxa"/>
            <w:vAlign w:val="bottom"/>
          </w:tcPr>
          <w:p>
            <w:pPr>
              <w:ind w:left="160"/>
              <w:spacing w:after="0" w:line="203" w:lineRule="exact"/>
              <w:rPr>
                <w:sz w:val="20"/>
                <w:szCs w:val="20"/>
                <w:color w:val="auto"/>
              </w:rPr>
            </w:pPr>
            <w:r>
              <w:rPr>
                <w:rFonts w:ascii="Arial" w:cs="Arial" w:eastAsia="Arial" w:hAnsi="Arial"/>
                <w:sz w:val="18"/>
                <w:szCs w:val="18"/>
                <w:color w:val="auto"/>
              </w:rPr>
              <w:t>convertible notes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(1,905)</w:t>
            </w:r>
          </w:p>
        </w:tc>
      </w:tr>
      <w:tr>
        <w:trPr>
          <w:trHeight w:val="20"/>
        </w:trPr>
        <w:tc>
          <w:tcPr>
            <w:tcW w:w="54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Borders>
              <w:top w:val="single" w:sz="8" w:color="CFF0FC"/>
            </w:tcBorders>
            <w:gridSpan w:val="2"/>
          </w:tcPr>
          <w:p>
            <w:pPr>
              <w:spacing w:after="0" w:line="20" w:lineRule="exact"/>
              <w:rPr>
                <w:sz w:val="1"/>
                <w:szCs w:val="1"/>
                <w:color w:val="auto"/>
              </w:rPr>
            </w:pPr>
          </w:p>
        </w:tc>
        <w:tc>
          <w:tcPr>
            <w:tcW w:w="23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2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5"/>
        </w:trPr>
        <w:tc>
          <w:tcPr>
            <w:tcW w:w="11240" w:type="dxa"/>
            <w:vAlign w:val="bottom"/>
            <w:gridSpan w:val="10"/>
          </w:tcPr>
          <w:p>
            <w:pPr>
              <w:ind w:left="580"/>
              <w:spacing w:after="0"/>
              <w:rPr>
                <w:sz w:val="20"/>
                <w:szCs w:val="20"/>
                <w:color w:val="auto"/>
              </w:rPr>
            </w:pPr>
            <w:r>
              <w:rPr>
                <w:rFonts w:ascii="Arial" w:cs="Arial" w:eastAsia="Arial" w:hAnsi="Arial"/>
                <w:sz w:val="18"/>
                <w:szCs w:val="18"/>
                <w:color w:val="auto"/>
              </w:rPr>
              <w:t>The following table presents the activity for the convertible preferred stock warrant liability for the nine months ended September 30,</w:t>
            </w: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2020 (in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5"/>
        </w:trPr>
        <w:tc>
          <w:tcPr>
            <w:tcW w:w="5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44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60" w:type="dxa"/>
            <w:vAlign w:val="bottom"/>
            <w:tcBorders>
              <w:bottom w:val="single" w:sz="8" w:color="CFF0FC"/>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FF0FC"/>
            </w:tcBorders>
          </w:tcPr>
          <w:p>
            <w:pPr>
              <w:spacing w:after="0"/>
              <w:rPr>
                <w:sz w:val="15"/>
                <w:szCs w:val="15"/>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Recognition of convertible preferred stock warrant liability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Settlement upon IPO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(1,005)</w:t>
            </w:r>
          </w:p>
        </w:tc>
      </w:tr>
      <w:tr>
        <w:trPr>
          <w:trHeight w:val="209"/>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40" w:firstLine="576"/>
        <w:spacing w:after="0"/>
        <w:rPr>
          <w:sz w:val="20"/>
          <w:szCs w:val="20"/>
          <w:color w:val="auto"/>
        </w:rPr>
      </w:pPr>
      <w:r>
        <w:rPr>
          <w:rFonts w:ascii="Arial" w:cs="Arial" w:eastAsia="Arial" w:hAnsi="Arial"/>
          <w:sz w:val="18"/>
          <w:szCs w:val="18"/>
          <w:color w:val="auto"/>
        </w:rPr>
        <w:t>Prior to the IPO, the activity for the convertible preferred stock warrant liability presented in the table above was shown in the Company’s financial statements as level 3. Following the IPO, the preferred stock warrant liability was revalued based on the IPO price of $17.00 per share.</w:t>
      </w:r>
    </w:p>
    <w:p>
      <w:pPr>
        <w:spacing w:after="0" w:line="289"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40" w:type="dxa"/>
            <w:vAlign w:val="bottom"/>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September 30,</w:t>
            </w:r>
          </w:p>
        </w:tc>
        <w:tc>
          <w:tcPr>
            <w:tcW w:w="20" w:type="dxa"/>
            <w:vAlign w:val="bottom"/>
          </w:tcPr>
          <w:p>
            <w:pPr>
              <w:spacing w:after="0"/>
              <w:rPr>
                <w:sz w:val="14"/>
                <w:szCs w:val="14"/>
                <w:color w:val="auto"/>
              </w:rPr>
            </w:pPr>
          </w:p>
        </w:tc>
      </w:tr>
      <w:tr>
        <w:trPr>
          <w:trHeight w:val="175"/>
        </w:trPr>
        <w:tc>
          <w:tcPr>
            <w:tcW w:w="4240" w:type="dxa"/>
            <w:vAlign w:val="bottom"/>
            <w:tcBorders>
              <w:bottom w:val="single" w:sz="8" w:color="CFF0FC"/>
            </w:tcBorders>
          </w:tcPr>
          <w:p>
            <w:pPr>
              <w:spacing w:after="0"/>
              <w:rPr>
                <w:sz w:val="15"/>
                <w:szCs w:val="15"/>
                <w:color w:val="auto"/>
              </w:rPr>
            </w:pPr>
          </w:p>
        </w:tc>
        <w:tc>
          <w:tcPr>
            <w:tcW w:w="2080" w:type="dxa"/>
            <w:vAlign w:val="bottom"/>
            <w:tcBorders>
              <w:bottom w:val="single" w:sz="8" w:color="CFF0FC"/>
            </w:tcBorders>
          </w:tcPr>
          <w:p>
            <w:pPr>
              <w:spacing w:after="0"/>
              <w:rPr>
                <w:sz w:val="15"/>
                <w:szCs w:val="15"/>
                <w:color w:val="auto"/>
              </w:rPr>
            </w:pPr>
          </w:p>
        </w:tc>
        <w:tc>
          <w:tcPr>
            <w:tcW w:w="19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4020" w:type="dxa"/>
            <w:vAlign w:val="bottom"/>
            <w:gridSpan w:val="2"/>
            <w:shd w:val="clear" w:color="auto" w:fill="CFF0FC"/>
          </w:tcPr>
          <w:p>
            <w:pPr>
              <w:jc w:val="right"/>
              <w:ind w:right="17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080" w:type="dxa"/>
            <w:vAlign w:val="bottom"/>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4020" w:type="dxa"/>
            <w:vAlign w:val="bottom"/>
            <w:gridSpan w:val="2"/>
          </w:tcPr>
          <w:p>
            <w:pPr>
              <w:jc w:val="right"/>
              <w:ind w:right="176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852</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240" w:type="dxa"/>
            <w:vAlign w:val="bottom"/>
          </w:tcPr>
          <w:p>
            <w:pPr>
              <w:spacing w:after="0"/>
              <w:rPr>
                <w:sz w:val="24"/>
                <w:szCs w:val="24"/>
                <w:color w:val="auto"/>
              </w:rPr>
            </w:pPr>
          </w:p>
        </w:tc>
        <w:tc>
          <w:tcPr>
            <w:tcW w:w="4020" w:type="dxa"/>
            <w:vAlign w:val="bottom"/>
            <w:gridSpan w:val="2"/>
          </w:tcPr>
          <w:p>
            <w:pPr>
              <w:jc w:val="right"/>
              <w:ind w:right="2388"/>
              <w:spacing w:after="0"/>
              <w:rPr>
                <w:sz w:val="20"/>
                <w:szCs w:val="20"/>
                <w:color w:val="auto"/>
              </w:rPr>
            </w:pPr>
            <w:r>
              <w:rPr>
                <w:rFonts w:ascii="Arial" w:cs="Arial" w:eastAsia="Arial" w:hAnsi="Arial"/>
                <w:sz w:val="18"/>
                <w:szCs w:val="18"/>
                <w:color w:val="auto"/>
              </w:rPr>
              <w:t>F-39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241" w:name="page242"/>
    <w:bookmarkEnd w:id="241"/>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365"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2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60" w:type="dxa"/>
            <w:vAlign w:val="bottom"/>
            <w:tcBorders>
              <w:bottom w:val="single" w:sz="8" w:color="auto"/>
            </w:tcBorders>
            <w:gridSpan w:val="6"/>
          </w:tcPr>
          <w:p>
            <w:pPr>
              <w:jc w:val="right"/>
              <w:ind w:right="332"/>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69"/>
        </w:trPr>
        <w:tc>
          <w:tcPr>
            <w:tcW w:w="368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70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Change in fair value of derivative</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680" w:type="dxa"/>
            <w:vAlign w:val="bottom"/>
          </w:tcPr>
          <w:p>
            <w:pPr>
              <w:ind w:left="160"/>
              <w:spacing w:after="0" w:line="203" w:lineRule="exact"/>
              <w:rPr>
                <w:sz w:val="20"/>
                <w:szCs w:val="20"/>
                <w:color w:val="auto"/>
              </w:rPr>
            </w:pPr>
            <w:r>
              <w:rPr>
                <w:rFonts w:ascii="Arial" w:cs="Arial" w:eastAsia="Arial" w:hAnsi="Arial"/>
                <w:sz w:val="18"/>
                <w:szCs w:val="18"/>
                <w:color w:val="auto"/>
              </w:rPr>
              <w:t>liability</w:t>
            </w: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5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(84)</w:t>
            </w:r>
          </w:p>
        </w:tc>
        <w:tc>
          <w:tcPr>
            <w:tcW w:w="340" w:type="dxa"/>
            <w:vAlign w:val="bottom"/>
          </w:tcPr>
          <w:p>
            <w:pPr>
              <w:spacing w:after="0"/>
              <w:rPr>
                <w:sz w:val="17"/>
                <w:szCs w:val="17"/>
                <w:color w:val="auto"/>
              </w:rPr>
            </w:pPr>
          </w:p>
        </w:tc>
        <w:tc>
          <w:tcPr>
            <w:tcW w:w="12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(132)</w:t>
            </w: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w:t>
            </w:r>
          </w:p>
        </w:tc>
      </w:t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Change in convertible preferred stock</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680" w:type="dxa"/>
            <w:vAlign w:val="bottom"/>
          </w:tcPr>
          <w:p>
            <w:pPr>
              <w:ind w:left="160"/>
              <w:spacing w:after="0" w:line="203" w:lineRule="exact"/>
              <w:rPr>
                <w:sz w:val="20"/>
                <w:szCs w:val="20"/>
                <w:color w:val="auto"/>
              </w:rPr>
            </w:pPr>
            <w:r>
              <w:rPr>
                <w:rFonts w:ascii="Arial" w:cs="Arial" w:eastAsia="Arial" w:hAnsi="Arial"/>
                <w:sz w:val="18"/>
                <w:szCs w:val="18"/>
                <w:color w:val="auto"/>
              </w:rPr>
              <w:t>warrant liability</w:t>
            </w: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(641)</w:t>
            </w:r>
          </w:p>
        </w:tc>
        <w:tc>
          <w:tcPr>
            <w:tcW w:w="280" w:type="dxa"/>
            <w:vAlign w:val="bottom"/>
          </w:tcPr>
          <w:p>
            <w:pPr>
              <w:spacing w:after="0"/>
              <w:rPr>
                <w:sz w:val="17"/>
                <w:szCs w:val="17"/>
                <w:color w:val="auto"/>
              </w:rPr>
            </w:pPr>
          </w:p>
        </w:tc>
        <w:tc>
          <w:tcPr>
            <w:tcW w:w="15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(641)</w:t>
            </w:r>
          </w:p>
        </w:tc>
      </w:tr>
      <w:tr>
        <w:trPr>
          <w:trHeight w:val="215"/>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Gain on extinguishment of convertible</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36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notes</w:t>
            </w:r>
          </w:p>
        </w:tc>
        <w:tc>
          <w:tcPr>
            <w:tcW w:w="660" w:type="dxa"/>
            <w:vAlign w:val="bottom"/>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7"/>
                <w:szCs w:val="17"/>
                <w:color w:val="auto"/>
              </w:rPr>
            </w:pPr>
          </w:p>
        </w:tc>
      </w:tr>
      <w:tr>
        <w:trPr>
          <w:trHeight w:val="209"/>
        </w:trPr>
        <w:tc>
          <w:tcPr>
            <w:tcW w:w="368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170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left="580" w:hanging="572"/>
        <w:spacing w:after="0"/>
        <w:tabs>
          <w:tab w:leader="none" w:pos="5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26" w:lineRule="exact"/>
        <w:rPr>
          <w:sz w:val="20"/>
          <w:szCs w:val="20"/>
          <w:color w:val="auto"/>
        </w:rPr>
      </w:pPr>
    </w:p>
    <w:p>
      <w:pPr>
        <w:ind w:right="280" w:firstLine="576"/>
        <w:spacing w:after="0" w:line="23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a chemical compound that forms the underlying technology of the drug therapies being developed by the Company.</w:t>
      </w:r>
    </w:p>
    <w:p>
      <w:pPr>
        <w:spacing w:after="0" w:line="202" w:lineRule="exact"/>
        <w:rPr>
          <w:sz w:val="20"/>
          <w:szCs w:val="20"/>
          <w:color w:val="auto"/>
        </w:rPr>
      </w:pPr>
    </w:p>
    <w:p>
      <w:pPr>
        <w:ind w:right="820" w:firstLine="576"/>
        <w:spacing w:after="0" w:line="24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September 30, 2020.</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2020, the Phase 2 clinical trial milestone had been reached and a $50,000 liability to WSU was recorded.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5" w:lineRule="exact"/>
        <w:rPr>
          <w:sz w:val="20"/>
          <w:szCs w:val="20"/>
          <w:color w:val="auto"/>
        </w:rPr>
      </w:pPr>
    </w:p>
    <w:p>
      <w:pPr>
        <w:jc w:val="both"/>
        <w:ind w:right="260" w:firstLine="576"/>
        <w:spacing w:after="0"/>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September 30, 2020, the Company had not incurred a royalty obligation under this agreement.</w:t>
      </w:r>
    </w:p>
    <w:p>
      <w:pPr>
        <w:spacing w:after="0" w:line="203" w:lineRule="exact"/>
        <w:rPr>
          <w:sz w:val="20"/>
          <w:szCs w:val="20"/>
          <w:color w:val="auto"/>
        </w:rPr>
      </w:pPr>
    </w:p>
    <w:p>
      <w:pPr>
        <w:ind w:right="140" w:firstLine="576"/>
        <w:spacing w:after="0" w:line="23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mid-teens of any non-sales based payments received, and low twenties of net sales based sublicense royalties. As of September 30, 2020, the Company has not entered into or incurred any liability from a sublicense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2" w:name="page243"/>
    <w:bookmarkEnd w:id="242"/>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5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26" w:lineRule="exact"/>
        <w:rPr>
          <w:sz w:val="20"/>
          <w:szCs w:val="20"/>
          <w:color w:val="auto"/>
        </w:rPr>
      </w:pPr>
    </w:p>
    <w:p>
      <w:pPr>
        <w:ind w:right="20" w:firstLine="589"/>
        <w:spacing w:after="0"/>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95" w:lineRule="exact"/>
        <w:rPr>
          <w:sz w:val="20"/>
          <w:szCs w:val="20"/>
          <w:color w:val="auto"/>
        </w:rPr>
      </w:pPr>
    </w:p>
    <w:p>
      <w:pPr>
        <w:ind w:left="800" w:hanging="225"/>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transfers the underlying IP without receiving consideration;</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relocation of the Company from Washington state;</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third-party acquisition of a controlling interest in the Company, and;</w:t>
      </w:r>
    </w:p>
    <w:p>
      <w:pPr>
        <w:spacing w:after="0" w:line="117" w:lineRule="exact"/>
        <w:rPr>
          <w:rFonts w:ascii="Arial" w:cs="Arial" w:eastAsia="Arial" w:hAnsi="Arial"/>
          <w:sz w:val="18"/>
          <w:szCs w:val="18"/>
          <w:color w:val="auto"/>
        </w:rPr>
      </w:pPr>
    </w:p>
    <w:p>
      <w:pPr>
        <w:ind w:left="800" w:hanging="225"/>
        <w:spacing w:after="0"/>
        <w:tabs>
          <w:tab w:leader="none" w:pos="8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termination of the agreements.</w:t>
      </w:r>
    </w:p>
    <w:p>
      <w:pPr>
        <w:spacing w:after="0" w:line="207"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0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estimated fair value of the grant liability was $1.0 million as of December 31, 2019. The consummation of the Company’s IPO in September 2020 was a triggering event under the terms of the grant and the liability was remeasured to the pay-off amount of $1.5 million as of September 30, 2020. The changes in the fair value of the liability resulted in expense of approximately $453,000 and $21,000 for the three months ended September 30, 2020 and 2019, respectively, and $464,000 and $51,000 for the nine months ended September 30, 2020 and 2019, respectively, which were included in other income (expense), net in the accompanying condensed consolidated statements of operations and comprehensive loss.</w:t>
      </w:r>
    </w:p>
    <w:p>
      <w:pPr>
        <w:spacing w:after="0" w:line="291" w:lineRule="exact"/>
        <w:rPr>
          <w:sz w:val="20"/>
          <w:szCs w:val="20"/>
          <w:color w:val="auto"/>
        </w:rPr>
      </w:pPr>
    </w:p>
    <w:p>
      <w:pPr>
        <w:ind w:left="580" w:hanging="572"/>
        <w:spacing w:after="0"/>
        <w:tabs>
          <w:tab w:leader="none" w:pos="5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ind w:right="200" w:firstLine="576"/>
        <w:spacing w:after="0" w:line="236" w:lineRule="auto"/>
        <w:rPr>
          <w:sz w:val="20"/>
          <w:szCs w:val="20"/>
          <w:color w:val="auto"/>
        </w:rPr>
      </w:pPr>
      <w:r>
        <w:rPr>
          <w:rFonts w:ascii="Arial" w:cs="Arial" w:eastAsia="Arial" w:hAnsi="Arial"/>
          <w:sz w:val="18"/>
          <w:szCs w:val="18"/>
          <w:color w:val="auto"/>
        </w:rPr>
        <w:t>The Company issued unsecured convertible notes with an aggregate principal amount of $1.7 million in 2020. Previously, the Company issued unsecured convertible notes with aggregate principal amounts of $884,000 and $1.3 million and in 2019 and 2018,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207" w:lineRule="exact"/>
        <w:rPr>
          <w:sz w:val="20"/>
          <w:szCs w:val="20"/>
          <w:color w:val="auto"/>
        </w:rPr>
      </w:pPr>
    </w:p>
    <w:p>
      <w:pPr>
        <w:jc w:val="both"/>
        <w:ind w:right="60" w:firstLine="576"/>
        <w:spacing w:after="0"/>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43" w:name="page244"/>
    <w:bookmarkEnd w:id="243"/>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05" w:lineRule="exact"/>
        <w:rPr>
          <w:sz w:val="20"/>
          <w:szCs w:val="20"/>
          <w:color w:val="auto"/>
        </w:rPr>
      </w:pPr>
    </w:p>
    <w:p>
      <w:pPr>
        <w:ind w:right="20" w:firstLine="576"/>
        <w:spacing w:after="0" w:line="24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97" w:lineRule="exact"/>
        <w:rPr>
          <w:sz w:val="20"/>
          <w:szCs w:val="20"/>
          <w:color w:val="auto"/>
        </w:rPr>
      </w:pPr>
    </w:p>
    <w:p>
      <w:pPr>
        <w:ind w:right="320" w:firstLine="576"/>
        <w:spacing w:after="0" w:line="24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26" w:lineRule="exact"/>
        <w:rPr>
          <w:sz w:val="20"/>
          <w:szCs w:val="20"/>
          <w:color w:val="auto"/>
        </w:rPr>
      </w:pPr>
    </w:p>
    <w:p>
      <w:pPr>
        <w:ind w:right="240" w:firstLine="576"/>
        <w:spacing w:after="0" w:line="237"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novel coronavirus disease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91"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Operating Leases</w:t>
      </w:r>
    </w:p>
    <w:p>
      <w:pPr>
        <w:spacing w:after="0" w:line="126" w:lineRule="exact"/>
        <w:rPr>
          <w:sz w:val="20"/>
          <w:szCs w:val="20"/>
          <w:color w:val="auto"/>
        </w:rPr>
      </w:pPr>
    </w:p>
    <w:p>
      <w:pPr>
        <w:ind w:right="120" w:firstLine="576"/>
        <w:spacing w:after="0" w:line="237" w:lineRule="auto"/>
        <w:rPr>
          <w:sz w:val="20"/>
          <w:szCs w:val="20"/>
          <w:color w:val="auto"/>
        </w:rPr>
      </w:pPr>
      <w:r>
        <w:rPr>
          <w:rFonts w:ascii="Arial" w:cs="Arial" w:eastAsia="Arial" w:hAnsi="Arial"/>
          <w:sz w:val="18"/>
          <w:szCs w:val="18"/>
          <w:color w:val="auto"/>
        </w:rPr>
        <w:t>The Company has an operating lease for laboratory and office facilities in Bothell, Washington that expires in August 2027. The initial term of the lease is seven years and the Company has an option to extend the lease for an additional five years that it is not reasonably certain to exercise. As of September 30, 2020, the remaining lease term for the Company’s operating lease was 6.9 years. The Company discounted future operating lease payments using an incremental borrowing rate of 8.2%. Additionally, the Company has a lease agreement for laboratory and office facilities at the University of Washington in Seattle, Washington with an initial term of 12 months for which the Company recognizes expense on a straight-line basis within operating expenses. As of September 30, 2020, the Company was not party to any finance leases.</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75"/>
        </w:trPr>
        <w:tc>
          <w:tcPr>
            <w:tcW w:w="50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r>
      <w:tr>
        <w:trPr>
          <w:trHeight w:val="175"/>
        </w:trPr>
        <w:tc>
          <w:tcPr>
            <w:tcW w:w="5060" w:type="dxa"/>
            <w:vAlign w:val="bottom"/>
            <w:tcBorders>
              <w:bottom w:val="single" w:sz="8" w:color="CFF0FC"/>
            </w:tcBorders>
          </w:tcPr>
          <w:p>
            <w:pPr>
              <w:spacing w:after="0"/>
              <w:rPr>
                <w:sz w:val="15"/>
                <w:szCs w:val="15"/>
                <w:color w:val="auto"/>
              </w:rPr>
            </w:pPr>
          </w:p>
        </w:tc>
        <w:tc>
          <w:tcPr>
            <w:tcW w:w="358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Remaining 2020</w:t>
            </w:r>
          </w:p>
        </w:tc>
        <w:tc>
          <w:tcPr>
            <w:tcW w:w="4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35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060" w:type="dxa"/>
            <w:vAlign w:val="bottom"/>
          </w:tcPr>
          <w:p>
            <w:pPr>
              <w:ind w:left="260"/>
              <w:spacing w:after="0"/>
              <w:rPr>
                <w:sz w:val="20"/>
                <w:szCs w:val="20"/>
                <w:color w:val="auto"/>
              </w:rPr>
            </w:pPr>
            <w:r>
              <w:rPr>
                <w:rFonts w:ascii="Arial" w:cs="Arial" w:eastAsia="Arial" w:hAnsi="Arial"/>
                <w:sz w:val="18"/>
                <w:szCs w:val="18"/>
                <w:color w:val="auto"/>
              </w:rPr>
              <w:t>Net lease liability</w:t>
            </w:r>
          </w:p>
        </w:tc>
        <w:tc>
          <w:tcPr>
            <w:tcW w:w="4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5060" w:type="dxa"/>
            <w:vAlign w:val="bottom"/>
          </w:tcPr>
          <w:p>
            <w:pPr>
              <w:spacing w:after="0"/>
              <w:rPr>
                <w:sz w:val="24"/>
                <w:szCs w:val="24"/>
                <w:color w:val="auto"/>
              </w:rPr>
            </w:pPr>
          </w:p>
        </w:tc>
        <w:tc>
          <w:tcPr>
            <w:tcW w:w="4000" w:type="dxa"/>
            <w:vAlign w:val="bottom"/>
            <w:gridSpan w:val="2"/>
          </w:tcPr>
          <w:p>
            <w:pPr>
              <w:jc w:val="right"/>
              <w:ind w:right="3260"/>
              <w:spacing w:after="0"/>
              <w:rPr>
                <w:sz w:val="20"/>
                <w:szCs w:val="20"/>
                <w:color w:val="auto"/>
              </w:rPr>
            </w:pPr>
            <w:r>
              <w:rPr>
                <w:rFonts w:ascii="Arial" w:cs="Arial" w:eastAsia="Arial" w:hAnsi="Arial"/>
                <w:sz w:val="18"/>
                <w:szCs w:val="18"/>
                <w:color w:val="auto"/>
              </w:rPr>
              <w:t>F-42</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244" w:name="page245"/>
    <w:bookmarkEnd w:id="244"/>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79"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Operating lease expense was $34,000 for the three and nine months ended September 30, 2020. The Company did not incur variable lease expense for operating leases during the three and nine months ended September 30, 2020. Rent expense recognized for short term leases was $18,000 and $57,000 for the three and nine months ended September 30, 2020, respectively.</w:t>
      </w:r>
    </w:p>
    <w:p>
      <w:pPr>
        <w:spacing w:after="0" w:line="203" w:lineRule="exact"/>
        <w:rPr>
          <w:sz w:val="20"/>
          <w:szCs w:val="20"/>
          <w:color w:val="auto"/>
        </w:rPr>
      </w:pPr>
    </w:p>
    <w:p>
      <w:pPr>
        <w:ind w:right="740" w:firstLine="576"/>
        <w:spacing w:after="0" w:line="246" w:lineRule="auto"/>
        <w:rPr>
          <w:sz w:val="20"/>
          <w:szCs w:val="20"/>
          <w:color w:val="auto"/>
        </w:rPr>
      </w:pPr>
      <w:r>
        <w:rPr>
          <w:rFonts w:ascii="Arial" w:cs="Arial" w:eastAsia="Arial" w:hAnsi="Arial"/>
          <w:sz w:val="18"/>
          <w:szCs w:val="18"/>
          <w:color w:val="auto"/>
        </w:rPr>
        <w:t>Cash paid for amounts included in the measurement of the lease liability for the nine months ended September 30, 2020 was $21,000.</w:t>
      </w:r>
    </w:p>
    <w:p>
      <w:pPr>
        <w:spacing w:after="0" w:line="310" w:lineRule="exact"/>
        <w:rPr>
          <w:sz w:val="20"/>
          <w:szCs w:val="20"/>
          <w:color w:val="auto"/>
        </w:rPr>
      </w:pPr>
    </w:p>
    <w:p>
      <w:pPr>
        <w:ind w:left="580" w:hanging="572"/>
        <w:spacing w:after="0"/>
        <w:tabs>
          <w:tab w:leader="none" w:pos="5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3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2019 consisted of the following (in thousands,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Issued and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Authorized</w:t>
            </w:r>
          </w:p>
        </w:tc>
        <w:tc>
          <w:tcPr>
            <w:tcW w:w="2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Preference</w:t>
            </w:r>
          </w:p>
        </w:tc>
        <w:tc>
          <w:tcPr>
            <w:tcW w:w="120" w:type="dxa"/>
            <w:vAlign w:val="bottom"/>
            <w:tcBorders>
              <w:bottom w:val="single" w:sz="8" w:color="CFF0FC"/>
            </w:tcBorders>
          </w:tcPr>
          <w:p>
            <w:pPr>
              <w:spacing w:after="0"/>
              <w:rPr>
                <w:sz w:val="15"/>
                <w:szCs w:val="15"/>
                <w:color w:val="auto"/>
              </w:rPr>
            </w:pPr>
          </w:p>
        </w:tc>
      </w:tr>
      <w:tr>
        <w:trPr>
          <w:trHeight w:val="209"/>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A</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09"/>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203" w:lineRule="exact"/>
        <w:rPr>
          <w:sz w:val="20"/>
          <w:szCs w:val="20"/>
          <w:color w:val="auto"/>
        </w:rPr>
      </w:pPr>
    </w:p>
    <w:p>
      <w:pPr>
        <w:ind w:right="260" w:firstLine="576"/>
        <w:spacing w:after="0" w:line="246"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283" w:lineRule="exact"/>
        <w:rPr>
          <w:sz w:val="20"/>
          <w:szCs w:val="20"/>
          <w:color w:val="auto"/>
        </w:rPr>
      </w:pPr>
    </w:p>
    <w:p>
      <w:pPr>
        <w:ind w:left="580" w:hanging="572"/>
        <w:spacing w:after="0"/>
        <w:tabs>
          <w:tab w:leader="none" w:pos="5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6"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2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r>
      <w:tr>
        <w:trPr>
          <w:trHeight w:val="175"/>
        </w:trPr>
        <w:tc>
          <w:tcPr>
            <w:tcW w:w="5080" w:type="dxa"/>
            <w:vAlign w:val="bottom"/>
            <w:tcBorders>
              <w:bottom w:val="single" w:sz="8" w:color="CFF0FC"/>
            </w:tcBorders>
          </w:tcPr>
          <w:p>
            <w:pPr>
              <w:spacing w:after="0"/>
              <w:rPr>
                <w:sz w:val="15"/>
                <w:szCs w:val="15"/>
                <w:color w:val="auto"/>
              </w:rPr>
            </w:pPr>
          </w:p>
        </w:tc>
        <w:tc>
          <w:tcPr>
            <w:tcW w:w="264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4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1,514,770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1,927,428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 under the 2020 Equity</w:t>
            </w:r>
          </w:p>
        </w:tc>
        <w:tc>
          <w:tcPr>
            <w:tcW w:w="26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0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Incentive Plan</w:t>
            </w:r>
          </w:p>
        </w:tc>
        <w:tc>
          <w:tcPr>
            <w:tcW w:w="4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399,737</w:t>
            </w:r>
          </w:p>
        </w:tc>
        <w:tc>
          <w:tcPr>
            <w:tcW w:w="2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3,790,279</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rPr>
              <w:t>Shares available for future grant under the Employee Stock</w:t>
            </w:r>
          </w:p>
        </w:tc>
        <w:tc>
          <w:tcPr>
            <w:tcW w:w="2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080" w:type="dxa"/>
            <w:vAlign w:val="bottom"/>
          </w:tcPr>
          <w:p>
            <w:pPr>
              <w:ind w:left="160"/>
              <w:spacing w:after="0" w:line="203" w:lineRule="exact"/>
              <w:rPr>
                <w:sz w:val="20"/>
                <w:szCs w:val="20"/>
                <w:color w:val="auto"/>
              </w:rPr>
            </w:pPr>
            <w:r>
              <w:rPr>
                <w:rFonts w:ascii="Arial" w:cs="Arial" w:eastAsia="Arial" w:hAnsi="Arial"/>
                <w:sz w:val="18"/>
                <w:szCs w:val="18"/>
                <w:color w:val="auto"/>
              </w:rPr>
              <w:t>Purchase Plan</w:t>
            </w:r>
          </w:p>
        </w:tc>
        <w:tc>
          <w:tcPr>
            <w:tcW w:w="2640" w:type="dxa"/>
            <w:vAlign w:val="bottom"/>
          </w:tcPr>
          <w:p>
            <w:pPr>
              <w:spacing w:after="0"/>
              <w:rPr>
                <w:sz w:val="17"/>
                <w:szCs w:val="17"/>
                <w:color w:val="auto"/>
              </w:rPr>
            </w:pPr>
          </w:p>
        </w:tc>
        <w:tc>
          <w:tcPr>
            <w:tcW w:w="18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323,000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264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280" w:type="dxa"/>
            <w:vAlign w:val="bottom"/>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080" w:type="dxa"/>
            <w:vAlign w:val="bottom"/>
          </w:tcPr>
          <w:p>
            <w:pPr>
              <w:ind w:left="260"/>
              <w:spacing w:after="0"/>
              <w:rPr>
                <w:sz w:val="20"/>
                <w:szCs w:val="20"/>
                <w:color w:val="auto"/>
              </w:rPr>
            </w:pPr>
            <w:r>
              <w:rPr>
                <w:rFonts w:ascii="Arial" w:cs="Arial" w:eastAsia="Arial" w:hAnsi="Arial"/>
                <w:sz w:val="18"/>
                <w:szCs w:val="18"/>
                <w:color w:val="auto"/>
              </w:rPr>
              <w:t>Total</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4,535,203</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6,040,707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4480" w:type="dxa"/>
            <w:vAlign w:val="bottom"/>
            <w:gridSpan w:val="3"/>
          </w:tcPr>
          <w:p>
            <w:pPr>
              <w:ind w:left="360"/>
              <w:spacing w:after="0"/>
              <w:rPr>
                <w:sz w:val="20"/>
                <w:szCs w:val="20"/>
                <w:color w:val="auto"/>
              </w:rPr>
            </w:pPr>
            <w:r>
              <w:rPr>
                <w:rFonts w:ascii="Arial" w:cs="Arial" w:eastAsia="Arial" w:hAnsi="Arial"/>
                <w:sz w:val="18"/>
                <w:szCs w:val="18"/>
                <w:color w:val="auto"/>
              </w:rPr>
              <w:t>F-43</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245" w:name="page246"/>
    <w:bookmarkEnd w:id="245"/>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0" w:hanging="572"/>
        <w:spacing w:after="0"/>
        <w:tabs>
          <w:tab w:leader="none" w:pos="5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5" w:lineRule="exact"/>
        <w:rPr>
          <w:rFonts w:ascii="Arial" w:cs="Arial" w:eastAsia="Arial" w:hAnsi="Arial"/>
          <w:sz w:val="18"/>
          <w:szCs w:val="18"/>
          <w:b w:val="1"/>
          <w:bCs w:val="1"/>
          <w:color w:val="auto"/>
        </w:rPr>
      </w:pPr>
    </w:p>
    <w:p>
      <w:pPr>
        <w:ind w:left="5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6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3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386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tcPr>
          <w:p>
            <w:pPr>
              <w:spacing w:after="0"/>
              <w:rPr>
                <w:sz w:val="18"/>
                <w:szCs w:val="18"/>
                <w:color w:val="auto"/>
              </w:rPr>
            </w:pPr>
          </w:p>
        </w:tc>
      </w:tr>
      <w:tr>
        <w:trPr>
          <w:trHeight w:val="209"/>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0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38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expense</w:t>
            </w:r>
          </w:p>
        </w:tc>
        <w:tc>
          <w:tcPr>
            <w:tcW w:w="1960" w:type="dxa"/>
            <w:vAlign w:val="bottom"/>
            <w:gridSpan w:val="2"/>
            <w:shd w:val="clear" w:color="auto" w:fill="CFF0FC"/>
          </w:tcPr>
          <w:p>
            <w:pPr>
              <w:jc w:val="right"/>
              <w:ind w:right="748"/>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56"/>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189</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7"/>
                <w:szCs w:val="17"/>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26" w:lineRule="exact"/>
        <w:rPr>
          <w:sz w:val="20"/>
          <w:szCs w:val="20"/>
          <w:color w:val="auto"/>
        </w:rPr>
      </w:pPr>
    </w:p>
    <w:p>
      <w:pPr>
        <w:ind w:right="380" w:firstLine="576"/>
        <w:spacing w:after="0" w:line="24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ind w:left="800" w:right="60" w:hanging="225"/>
        <w:spacing w:after="0" w:line="238" w:lineRule="auto"/>
        <w:tabs>
          <w:tab w:leader="none" w:pos="80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83" w:lineRule="exact"/>
        <w:rPr>
          <w:rFonts w:ascii="Arial" w:cs="Arial" w:eastAsia="Arial" w:hAnsi="Arial"/>
          <w:sz w:val="18"/>
          <w:szCs w:val="18"/>
          <w:color w:val="auto"/>
        </w:rPr>
      </w:pPr>
    </w:p>
    <w:p>
      <w:pPr>
        <w:ind w:left="800" w:right="140" w:hanging="225"/>
        <w:spacing w:after="0" w:line="267" w:lineRule="auto"/>
        <w:tabs>
          <w:tab w:leader="none" w:pos="80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52" w:lineRule="exact"/>
        <w:rPr>
          <w:rFonts w:ascii="Arial" w:cs="Arial" w:eastAsia="Arial" w:hAnsi="Arial"/>
          <w:sz w:val="18"/>
          <w:szCs w:val="18"/>
          <w:color w:val="auto"/>
        </w:rPr>
      </w:pPr>
    </w:p>
    <w:p>
      <w:pPr>
        <w:ind w:left="800" w:right="100" w:hanging="225"/>
        <w:spacing w:after="0" w:line="242" w:lineRule="auto"/>
        <w:tabs>
          <w:tab w:leader="none" w:pos="80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6" w:lineRule="exact"/>
        <w:rPr>
          <w:rFonts w:ascii="Arial" w:cs="Arial" w:eastAsia="Arial" w:hAnsi="Arial"/>
          <w:sz w:val="18"/>
          <w:szCs w:val="18"/>
          <w:color w:val="auto"/>
        </w:rPr>
      </w:pPr>
    </w:p>
    <w:p>
      <w:pPr>
        <w:ind w:left="800" w:right="240" w:hanging="225"/>
        <w:spacing w:after="0" w:line="250" w:lineRule="auto"/>
        <w:tabs>
          <w:tab w:leader="none" w:pos="80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8" w:lineRule="exact"/>
        <w:rPr>
          <w:rFonts w:ascii="Arial" w:cs="Arial" w:eastAsia="Arial" w:hAnsi="Arial"/>
          <w:sz w:val="18"/>
          <w:szCs w:val="18"/>
          <w:color w:val="auto"/>
        </w:rPr>
      </w:pPr>
    </w:p>
    <w:p>
      <w:pPr>
        <w:ind w:left="800" w:right="180" w:hanging="225"/>
        <w:spacing w:after="0" w:line="267" w:lineRule="auto"/>
        <w:tabs>
          <w:tab w:leader="none" w:pos="80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going</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Therefore, it used an expected dividend yield of zero.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6" w:name="page247"/>
    <w:bookmarkEnd w:id="246"/>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180" w:firstLine="576"/>
        <w:spacing w:after="0" w:line="210"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57"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Nine Months Ended September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20" w:type="dxa"/>
            <w:vAlign w:val="bottom"/>
            <w:tcBorders>
              <w:bottom w:val="single" w:sz="8" w:color="CFF0FC"/>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CFF0FC"/>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8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1.58%</w:t>
            </w: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0.49%</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74.59%</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80.11%</w:t>
            </w:r>
          </w:p>
        </w:tc>
      </w:tr>
      <w:tr>
        <w:trPr>
          <w:trHeight w:val="216"/>
        </w:trPr>
        <w:tc>
          <w:tcPr>
            <w:tcW w:w="8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4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FF0FC"/>
          </w:tcPr>
          <w:p>
            <w:pPr>
              <w:spacing w:after="0"/>
              <w:rPr>
                <w:sz w:val="18"/>
                <w:szCs w:val="18"/>
                <w:color w:val="auto"/>
              </w:rPr>
            </w:pPr>
          </w:p>
        </w:tc>
      </w:tr>
      <w:tr>
        <w:trPr>
          <w:trHeight w:val="243"/>
        </w:trPr>
        <w:tc>
          <w:tcPr>
            <w:tcW w:w="81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ind w:right="100" w:firstLine="576"/>
        <w:spacing w:after="0" w:line="23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nine months ended September 30, 2019 and 2020 were $259,000 and $2.1 million respectively. The remeasured weighted-average fair value of options granted to advisors during the nine months ended September 30, 2019 was $46,000. The weighted-average grant-date fair value of options granted to advisors during the nine months ended September 30, 2020 was $727,000.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for the nine months ended September 30, 2020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r>
      <w:tr>
        <w:trPr>
          <w:trHeight w:val="175"/>
        </w:trPr>
        <w:tc>
          <w:tcPr>
            <w:tcW w:w="5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for Grant</w:t>
            </w: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5"/>
                <w:szCs w:val="15"/>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4,343,534</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(994,293)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994,293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(540,334)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41,301</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(41,301)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3,790,279</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1,927,428</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Borders>
              <w:bottom w:val="single" w:sz="8" w:color="CFF0FC"/>
            </w:tcBorders>
          </w:tcPr>
          <w:p>
            <w:pPr>
              <w:spacing w:after="0"/>
              <w:rPr>
                <w:sz w:val="21"/>
                <w:szCs w:val="2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1,298,059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12.71</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629,373</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0.89</w:t>
            </w: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5.43</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11,061</w:t>
            </w:r>
          </w:p>
        </w:tc>
        <w:tc>
          <w:tcPr>
            <w:tcW w:w="10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nine months ended September 30, 2020 was $219,000, which included $144,000 for options granted to employees and directors and $75,000 for options granted to advisors. The total fair value of options that vested during the nine months ended September 30, 2019 was $123,000, which included $64,000 for options granted to employees and directors and $59,000 for options granted to advisors.</w:t>
      </w:r>
    </w:p>
    <w:p>
      <w:pPr>
        <w:spacing w:after="0" w:line="205" w:lineRule="exact"/>
        <w:rPr>
          <w:sz w:val="20"/>
          <w:szCs w:val="20"/>
          <w:color w:val="auto"/>
        </w:rPr>
      </w:pPr>
    </w:p>
    <w:p>
      <w:pPr>
        <w:ind w:right="260" w:firstLine="576"/>
        <w:spacing w:after="0" w:line="237"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September 30, 2020. The aggregate intrinsic value of options exercised was $4,000 and $ 9.4 million during the nine months ended September 30, 2019 and 2020, respectively, determined as of the date of option exercise. As of September 30, 2020, there was $2.9 million of total unrecognized compensation cost related to unvested stock options. The Company expects to recognize this cost over a remaining weighted-average period of 1.95 years. The Company utilizes newly issued shares to satisfy option exercises.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7" w:name="page248"/>
    <w:bookmarkEnd w:id="247"/>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20"/>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September 30,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5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5"/>
                <w:szCs w:val="15"/>
                <w:color w:val="auto"/>
              </w:rPr>
            </w:pPr>
          </w:p>
        </w:tc>
        <w:tc>
          <w:tcPr>
            <w:tcW w:w="254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5"/>
                <w:szCs w:val="15"/>
                <w:color w:val="auto"/>
              </w:rPr>
            </w:pPr>
          </w:p>
        </w:tc>
      </w:tr>
      <w:tr>
        <w:trPr>
          <w:trHeight w:val="156"/>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Shares</w:t>
            </w: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rPr>
              <w:t>Shares</w:t>
            </w:r>
          </w:p>
        </w:tc>
      </w:tr>
      <w:tr>
        <w:trPr>
          <w:trHeight w:val="169"/>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16"/>
        </w:trPr>
        <w:tc>
          <w:tcPr>
            <w:tcW w:w="1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12,611</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294,754</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27,529</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116,642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63,049</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17.00</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747,770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195,453</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1,498,690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449,681</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428,738</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179,692</w:t>
            </w:r>
          </w:p>
        </w:tc>
        <w:tc>
          <w:tcPr>
            <w:tcW w:w="1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26" w:lineRule="exact"/>
        <w:rPr>
          <w:sz w:val="20"/>
          <w:szCs w:val="20"/>
          <w:color w:val="auto"/>
        </w:rPr>
      </w:pPr>
    </w:p>
    <w:p>
      <w:pPr>
        <w:ind w:right="200" w:firstLine="576"/>
        <w:spacing w:after="0" w:line="238"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Shares subject to repurchase as of December 31, 2019 and September 30, 2020 were 8,407 shares and 4,204 shares, respectively, all of which were related to non-employee RSAs.</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for the nine months ended September 30, 2020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Non-vested at September 30,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0" w:hanging="572"/>
        <w:spacing w:after="0"/>
        <w:tabs>
          <w:tab w:leader="none" w:pos="5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4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840" w:type="dxa"/>
            <w:vAlign w:val="bottom"/>
            <w:tcBorders>
              <w:bottom w:val="single" w:sz="8" w:color="CFF0FC"/>
            </w:tcBorders>
          </w:tcPr>
          <w:p>
            <w:pPr>
              <w:spacing w:after="0"/>
              <w:rPr>
                <w:sz w:val="14"/>
                <w:szCs w:val="14"/>
                <w:color w:val="auto"/>
              </w:rPr>
            </w:pPr>
          </w:p>
        </w:tc>
        <w:tc>
          <w:tcPr>
            <w:tcW w:w="28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4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Unvested RSAs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8,407</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4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1,498,377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1,927,428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28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4,127,480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1,931,632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7"/>
        </w:trPr>
        <w:tc>
          <w:tcPr>
            <w:tcW w:w="4840" w:type="dxa"/>
            <w:vAlign w:val="bottom"/>
          </w:tcPr>
          <w:p>
            <w:pPr>
              <w:spacing w:after="0"/>
              <w:rPr>
                <w:sz w:val="24"/>
                <w:szCs w:val="24"/>
                <w:color w:val="auto"/>
              </w:rPr>
            </w:pPr>
          </w:p>
        </w:tc>
        <w:tc>
          <w:tcPr>
            <w:tcW w:w="4720" w:type="dxa"/>
            <w:vAlign w:val="bottom"/>
            <w:gridSpan w:val="3"/>
          </w:tcPr>
          <w:p>
            <w:pPr>
              <w:ind w:left="600"/>
              <w:spacing w:after="0"/>
              <w:rPr>
                <w:sz w:val="20"/>
                <w:szCs w:val="20"/>
                <w:color w:val="auto"/>
              </w:rPr>
            </w:pPr>
            <w:r>
              <w:rPr>
                <w:rFonts w:ascii="Arial" w:cs="Arial" w:eastAsia="Arial" w:hAnsi="Arial"/>
                <w:sz w:val="18"/>
                <w:szCs w:val="18"/>
                <w:color w:val="auto"/>
              </w:rPr>
              <w:t>F-46</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84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4" w:right="319" w:bottom="1440" w:gutter="0" w:footer="0" w:header="0"/>
        </w:sectPr>
      </w:pPr>
    </w:p>
    <w:bookmarkStart w:id="248" w:name="page249"/>
    <w:bookmarkEnd w:id="248"/>
    <w:p>
      <w:pPr>
        <w:jc w:val="center"/>
        <w:ind w:right="-7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19"/>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ind w:left="580" w:hanging="572"/>
        <w:spacing w:after="0"/>
        <w:tabs>
          <w:tab w:leader="none" w:pos="5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Exercise of Underwriters’ Option</w:t>
      </w:r>
    </w:p>
    <w:p>
      <w:pPr>
        <w:spacing w:after="0" w:line="12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On October 16, 2020, the Company sold an additional 1,397,712 shares of common stock to the underwriters of the IPO upon partial exercise of the underwriters’ option to purchase additional shares at the initial public offering price of $17.00 per share, less underwriting discounts and commissions, resulting in net proceeds to the Company of approximately $22.1 million.</w:t>
      </w: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34" w:right="459" w:bottom="1440" w:gutter="0" w:footer="0" w:header="0"/>
        </w:sectPr>
      </w:pPr>
    </w:p>
    <w:bookmarkStart w:id="249" w:name="page250"/>
    <w:bookmarkEnd w:id="249"/>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194945</wp:posOffset>
            </wp:positionV>
            <wp:extent cx="713232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280670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618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562610</wp:posOffset>
            </wp:positionV>
            <wp:extent cx="11830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2002790</wp:posOffset>
            </wp:positionV>
            <wp:extent cx="118300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708025</wp:posOffset>
            </wp:positionV>
            <wp:extent cx="2143125" cy="1071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4312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5080" w:val="left"/>
          <w:tab w:leader="none" w:pos="105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4"/>
          <w:szCs w:val="24"/>
          <w:b w:val="1"/>
          <w:bCs w:val="1"/>
          <w:color w:val="auto"/>
        </w:rPr>
        <w:t>Stifel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240030</wp:posOffset>
            </wp:positionV>
            <wp:extent cx="11830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1482725</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1543050</wp:posOffset>
            </wp:positionV>
            <wp:extent cx="713232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2108835</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80" w:top="134" w:right="399" w:bottom="1440" w:gutter="0" w:footer="0" w:header="0"/>
        </w:sectPr>
      </w:pPr>
    </w:p>
    <w:bookmarkStart w:id="250" w:name="page251"/>
    <w:bookmarkEnd w:id="250"/>
    <w:p>
      <w:pPr>
        <w:jc w:val="center"/>
        <w:ind w:right="4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6" w:lineRule="exact"/>
        <w:rPr>
          <w:sz w:val="20"/>
          <w:szCs w:val="20"/>
          <w:color w:val="auto"/>
        </w:rPr>
      </w:pPr>
    </w:p>
    <w:p>
      <w:pPr>
        <w:ind w:right="120" w:firstLine="576"/>
        <w:spacing w:after="0" w:line="246" w:lineRule="auto"/>
        <w:rPr>
          <w:sz w:val="20"/>
          <w:szCs w:val="20"/>
          <w:color w:val="auto"/>
        </w:rPr>
      </w:pPr>
      <w:r>
        <w:rPr>
          <w:rFonts w:ascii="Arial" w:cs="Arial" w:eastAsia="Arial" w:hAnsi="Arial"/>
          <w:sz w:val="18"/>
          <w:szCs w:val="18"/>
          <w:color w:val="auto"/>
        </w:rPr>
        <w:t>Estimated expenses, other than underwriting discounts and commissions, payable by the registrant in connection with the sale of the common stock being registered under this registration statement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jc w:val="right"/>
              <w:ind w:right="393"/>
              <w:spacing w:after="0"/>
              <w:rPr>
                <w:sz w:val="20"/>
                <w:szCs w:val="20"/>
                <w:color w:val="auto"/>
              </w:rPr>
            </w:pPr>
            <w:r>
              <w:rPr>
                <w:rFonts w:ascii="Arial" w:cs="Arial" w:eastAsia="Arial" w:hAnsi="Arial"/>
                <w:sz w:val="14"/>
                <w:szCs w:val="14"/>
                <w:b w:val="1"/>
                <w:bCs w:val="1"/>
                <w:color w:val="auto"/>
              </w:rPr>
              <w:t>Amount Paid or</w:t>
            </w:r>
          </w:p>
        </w:tc>
      </w:tr>
      <w:tr>
        <w:trPr>
          <w:trHeight w:val="175"/>
        </w:trPr>
        <w:tc>
          <w:tcPr>
            <w:tcW w:w="1160" w:type="dxa"/>
            <w:vAlign w:val="bottom"/>
            <w:tcBorders>
              <w:bottom w:val="single" w:sz="8" w:color="CFF0FC"/>
            </w:tcBorders>
          </w:tcPr>
          <w:p>
            <w:pPr>
              <w:spacing w:after="0"/>
              <w:rPr>
                <w:sz w:val="15"/>
                <w:szCs w:val="15"/>
                <w:color w:val="auto"/>
              </w:rPr>
            </w:pPr>
          </w:p>
        </w:tc>
        <w:tc>
          <w:tcPr>
            <w:tcW w:w="786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Exchange listing fee</w:t>
            </w:r>
          </w:p>
        </w:tc>
        <w:tc>
          <w:tcPr>
            <w:tcW w:w="4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Legal fees and expenses</w:t>
            </w:r>
          </w:p>
        </w:tc>
        <w:tc>
          <w:tcPr>
            <w:tcW w:w="4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4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 agent and registrar fees and expenses</w:t>
            </w:r>
          </w:p>
        </w:tc>
        <w:tc>
          <w:tcPr>
            <w:tcW w:w="4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Miscellaneous</w:t>
            </w: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90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7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45" w:lineRule="exact"/>
        <w:rPr>
          <w:sz w:val="20"/>
          <w:szCs w:val="20"/>
          <w:color w:val="auto"/>
        </w:rPr>
      </w:pPr>
    </w:p>
    <w:p>
      <w:pPr>
        <w:ind w:left="480" w:hanging="472"/>
        <w:spacing w:after="0"/>
        <w:tabs>
          <w:tab w:leader="none" w:pos="4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6"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its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Delaware General Corporation Law.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203" w:lineRule="exact"/>
        <w:rPr>
          <w:sz w:val="20"/>
          <w:szCs w:val="20"/>
          <w:color w:val="auto"/>
        </w:rPr>
      </w:pPr>
    </w:p>
    <w:p>
      <w:pPr>
        <w:ind w:right="20" w:firstLine="576"/>
        <w:spacing w:after="0" w:line="236"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redemptions or other distributions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1" w:name="page252"/>
    <w:bookmarkEnd w:id="251"/>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202" w:lineRule="exact"/>
        <w:rPr>
          <w:sz w:val="20"/>
          <w:szCs w:val="20"/>
          <w:color w:val="auto"/>
        </w:rPr>
      </w:pPr>
    </w:p>
    <w:p>
      <w:pPr>
        <w:jc w:val="both"/>
        <w:ind w:right="300" w:firstLine="576"/>
        <w:spacing w:after="0"/>
        <w:rPr>
          <w:sz w:val="20"/>
          <w:szCs w:val="20"/>
          <w:color w:val="auto"/>
        </w:rPr>
      </w:pPr>
      <w:r>
        <w:rPr>
          <w:rFonts w:ascii="Arial" w:cs="Arial" w:eastAsia="Arial" w:hAnsi="Arial"/>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20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202"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w:t>
      </w:r>
    </w:p>
    <w:p>
      <w:pPr>
        <w:spacing w:after="0" w:line="20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 sets forth information regarding all unregistered securities sold by us since January 1, 2018:</w:t>
      </w:r>
    </w:p>
    <w:p>
      <w:pPr>
        <w:spacing w:after="0" w:line="212" w:lineRule="exact"/>
        <w:rPr>
          <w:sz w:val="20"/>
          <w:szCs w:val="20"/>
          <w:color w:val="auto"/>
        </w:rPr>
      </w:pPr>
    </w:p>
    <w:p>
      <w:pPr>
        <w:ind w:right="40" w:firstLine="584"/>
        <w:spacing w:after="0" w:line="237" w:lineRule="auto"/>
        <w:tabs>
          <w:tab w:leader="none" w:pos="8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From January 1, 2018 through September 17, 2020, we granted 742,727 options to purchase shares of our common stock to our employees, directors and consultants at a weighted-average exercise price of $1.35 per share under our 2014 Equity Incentive Plan, or 2014 Plan. We also issued and sold an aggregate of 925,882 shares of our common stock to our employees, directors and consultants at a weighted-average exercise price of $0.79 per share pursuant to exercises of options granted under our 2014 Plan. On September 3, 2020, the board of directors authorized the grant of 943,223 options to purchase common stock to certain of our executives, employees, advisors and non-employee directors under the 2020 Equity Incentive Plan, at an exercise price equal to the initial public offering price as of the effective date of the registration statement.</w:t>
      </w:r>
    </w:p>
    <w:p>
      <w:pPr>
        <w:spacing w:after="0" w:line="202" w:lineRule="exact"/>
        <w:rPr>
          <w:rFonts w:ascii="Arial" w:cs="Arial" w:eastAsia="Arial" w:hAnsi="Arial"/>
          <w:sz w:val="18"/>
          <w:szCs w:val="18"/>
          <w:color w:val="auto"/>
        </w:rPr>
      </w:pPr>
    </w:p>
    <w:p>
      <w:pPr>
        <w:ind w:right="740" w:firstLine="584"/>
        <w:spacing w:after="0" w:line="246" w:lineRule="auto"/>
        <w:tabs>
          <w:tab w:leader="none" w:pos="8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From December 17, 2018 through January 13, 2020, we issued and sold subordinated convertible promissory notes in an aggregate principal amount of $3.8 million.</w:t>
      </w:r>
    </w:p>
    <w:p>
      <w:pPr>
        <w:spacing w:after="0" w:line="196" w:lineRule="exact"/>
        <w:rPr>
          <w:rFonts w:ascii="Arial" w:cs="Arial" w:eastAsia="Arial" w:hAnsi="Arial"/>
          <w:sz w:val="18"/>
          <w:szCs w:val="18"/>
          <w:color w:val="auto"/>
        </w:rPr>
      </w:pPr>
    </w:p>
    <w:p>
      <w:pPr>
        <w:ind w:right="60" w:firstLine="584"/>
        <w:spacing w:after="0" w:line="246" w:lineRule="auto"/>
        <w:tabs>
          <w:tab w:leader="none" w:pos="8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From January 1, 2018 to March 13, 2018, we issued and sold an aggregate of 10,088 shares of our Series A convertible preferred stock at a purchase price of $9.92 per share, for aggregate consideration of approximately $0.1 million.</w:t>
      </w:r>
    </w:p>
    <w:p>
      <w:pPr>
        <w:spacing w:after="0" w:line="196" w:lineRule="exact"/>
        <w:rPr>
          <w:rFonts w:ascii="Arial" w:cs="Arial" w:eastAsia="Arial" w:hAnsi="Arial"/>
          <w:sz w:val="18"/>
          <w:szCs w:val="18"/>
          <w:color w:val="auto"/>
        </w:rPr>
      </w:pPr>
    </w:p>
    <w:p>
      <w:pPr>
        <w:ind w:right="240" w:firstLine="584"/>
        <w:spacing w:after="0" w:line="246" w:lineRule="auto"/>
        <w:tabs>
          <w:tab w:leader="none" w:pos="8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November 2018, we issued 12,610 restricted shares of our common stock to an advisory board member as compensation for services provided to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2" w:name="page253"/>
    <w:bookmarkEnd w:id="252"/>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right="760" w:firstLine="584"/>
        <w:spacing w:after="0" w:line="246" w:lineRule="auto"/>
        <w:tabs>
          <w:tab w:leader="none" w:pos="8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May 29, 2020, we issued and sold an aggregate of 512,858 shares of our Series B-1 convertible preferred stock upon conversion of approximately $4.0 million in outstanding convertible notes, at a conversion price of $7.752 per share.</w:t>
      </w:r>
    </w:p>
    <w:p>
      <w:pPr>
        <w:spacing w:after="0" w:line="196" w:lineRule="exact"/>
        <w:rPr>
          <w:rFonts w:ascii="Arial" w:cs="Arial" w:eastAsia="Arial" w:hAnsi="Arial"/>
          <w:sz w:val="18"/>
          <w:szCs w:val="18"/>
          <w:color w:val="auto"/>
        </w:rPr>
      </w:pPr>
    </w:p>
    <w:p>
      <w:pPr>
        <w:ind w:right="200" w:firstLine="584"/>
        <w:spacing w:after="0" w:line="237" w:lineRule="auto"/>
        <w:tabs>
          <w:tab w:leader="none" w:pos="7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From May 29, 2020 through June 23, 2020, we issued and sold an aggregate of 9,372,765 shares of our Series B convertible preferred stock at a purchase price of $9.12 per share, for aggregate consideration of approximately $85.5 million. Concurrently with these issuances, we also issued and sold warrants to purchase 2,343,168 shares of our common stock at an exercise price of $0.08 per share to the purchasers of our Series B convertible preferred stock. Each purchaser of our Series B convertible preferred stock received warrants to purchase a number of shares of our common stock equal to 25% of the number of shares of our Series B convertible preferred stock purchased by such purchaser in the transaction.</w:t>
      </w:r>
    </w:p>
    <w:p>
      <w:pPr>
        <w:spacing w:after="0" w:line="204" w:lineRule="exact"/>
        <w:rPr>
          <w:rFonts w:ascii="Arial" w:cs="Arial" w:eastAsia="Arial" w:hAnsi="Arial"/>
          <w:sz w:val="18"/>
          <w:szCs w:val="18"/>
          <w:color w:val="auto"/>
        </w:rPr>
      </w:pPr>
    </w:p>
    <w:p>
      <w:pPr>
        <w:ind w:right="60" w:firstLine="584"/>
        <w:spacing w:after="0"/>
        <w:tabs>
          <w:tab w:leader="none" w:pos="8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May 29, 2020, we issued warrants to purchase up to 127,481 shares of our Series B convertible preferred stock at an exercise price of $9.12 per share to JMP Securities LLC, in partial consideration for their services in connection with the sale and issuance of our Series B convertible preferred stock.</w:t>
      </w:r>
    </w:p>
    <w:p>
      <w:pPr>
        <w:spacing w:after="0" w:line="202" w:lineRule="exact"/>
        <w:rPr>
          <w:rFonts w:ascii="Arial" w:cs="Arial" w:eastAsia="Arial" w:hAnsi="Arial"/>
          <w:sz w:val="18"/>
          <w:szCs w:val="18"/>
          <w:color w:val="auto"/>
        </w:rPr>
      </w:pPr>
    </w:p>
    <w:p>
      <w:pPr>
        <w:ind w:right="200" w:firstLine="584"/>
        <w:spacing w:after="0" w:line="246" w:lineRule="auto"/>
        <w:tabs>
          <w:tab w:leader="none" w:pos="8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From May 29, 2020 to September 17, 2020, we issued an aggregate of 1,258,253 shares of our common stock upon exercise of warrants to purchase shares of our common stock, at an exercise price of $0.08 per share.</w:t>
      </w:r>
    </w:p>
    <w:p>
      <w:pPr>
        <w:spacing w:after="0" w:line="192" w:lineRule="exact"/>
        <w:rPr>
          <w:rFonts w:ascii="Arial" w:cs="Arial" w:eastAsia="Arial" w:hAnsi="Arial"/>
          <w:sz w:val="18"/>
          <w:szCs w:val="18"/>
          <w:color w:val="auto"/>
        </w:rPr>
      </w:pPr>
    </w:p>
    <w:p>
      <w:pPr>
        <w:ind w:left="800" w:hanging="216"/>
        <w:spacing w:after="0"/>
        <w:tabs>
          <w:tab w:leader="none" w:pos="8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On August 26, 2020, we issued a warrant to purchase up to 6,935 shares of our common stock at an exercise price per share of</w:t>
      </w:r>
    </w:p>
    <w:p>
      <w:pPr>
        <w:spacing w:after="0"/>
        <w:rPr>
          <w:sz w:val="20"/>
          <w:szCs w:val="20"/>
          <w:color w:val="auto"/>
        </w:rPr>
      </w:pPr>
      <w:r>
        <w:rPr>
          <w:rFonts w:ascii="Arial" w:cs="Arial" w:eastAsia="Arial" w:hAnsi="Arial"/>
          <w:sz w:val="18"/>
          <w:szCs w:val="18"/>
          <w:color w:val="auto"/>
        </w:rPr>
        <w:t>$9.52.</w:t>
      </w:r>
    </w:p>
    <w:p>
      <w:pPr>
        <w:spacing w:after="0" w:line="212" w:lineRule="exact"/>
        <w:rPr>
          <w:sz w:val="20"/>
          <w:szCs w:val="20"/>
          <w:color w:val="auto"/>
        </w:rPr>
      </w:pPr>
    </w:p>
    <w:p>
      <w:pPr>
        <w:ind w:right="120" w:firstLine="584"/>
        <w:spacing w:after="0" w:line="238" w:lineRule="auto"/>
        <w:tabs>
          <w:tab w:leader="none" w:pos="78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On September 22, 2020, upon the closing of our initial public offering, all shares of convertible preferred stock then outstanding automatically converted into 12,503,009 shares of common stock. In addition, warrants to purchase 127,481 shares of convertible preferred stock automatically converted into warrants to purchase 127,481 shares of our common stock. Such warrants were then automatically net exercised in 59,093 shares of common stock. In addition, warrants to purchase 1,095,159 shares of our common stock were cash exercised or automatically net exercised into an aggregate of 1,085,334 shares of our common stock.</w:t>
      </w:r>
    </w:p>
    <w:p>
      <w:pPr>
        <w:spacing w:after="0" w:line="202" w:lineRule="exact"/>
        <w:rPr>
          <w:sz w:val="20"/>
          <w:szCs w:val="20"/>
          <w:color w:val="auto"/>
        </w:rPr>
      </w:pPr>
    </w:p>
    <w:p>
      <w:pPr>
        <w:ind w:right="60" w:firstLine="576"/>
        <w:spacing w:after="0" w:line="246" w:lineRule="auto"/>
        <w:rPr>
          <w:sz w:val="20"/>
          <w:szCs w:val="20"/>
          <w:color w:val="auto"/>
        </w:rPr>
      </w:pPr>
      <w:r>
        <w:rPr>
          <w:rFonts w:ascii="Arial" w:cs="Arial" w:eastAsia="Arial" w:hAnsi="Arial"/>
          <w:sz w:val="18"/>
          <w:szCs w:val="18"/>
          <w:color w:val="auto"/>
        </w:rPr>
        <w:t>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7"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The offers, sales and issuances of the securities described in Items 15(b), (c), (e), (f), (g), (h) and (i)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and had adequate access, through employment, business or other relationships, to information about the registrant.</w:t>
      </w:r>
    </w:p>
    <w:p>
      <w:pPr>
        <w:spacing w:after="0" w:line="20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offers, sales and issuances of the securities described in Item 15(a) and (d) were exempt from registration under the Securities Act under Section 4(a)(2) of the Securities Act in that such sales did not involve a public offering or under Rule 701 in that the transactions were under compensatory benefit plans and contracts relating to compensation as provided under Rule 701. The recipients of such securities were the registrant’s employees, consultants or directors and received the securities under the registrant’s 2014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3" w:name="page254"/>
    <w:bookmarkEnd w:id="253"/>
    <w:p>
      <w:pPr>
        <w:jc w:val="center"/>
        <w:ind w:right="2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39"/>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255"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 issuance of common stock upon conversion of the convertible preferred stock, the issuance of common stock warrants upon conversion of the convertible preferred stock warrants and the issuance of common stock on the net exercise of common stock warrants described in Item 15(j) were exempt from the registration requirements of the Securities Act, pursuant to Section 3(a)(9) thereof, involving an exchange of securities exchanged by the issuer with its existing security holders exclusively where no commission or other remuneration is paid or given directly or indirectly for soliciting such exchange. The issuance of the common stock upon the cash exercise of common stock warrants was exempt from registration under the Securities Act pursuant to Section 4(a)(2) thereof as a transaction by an issuer not involving a public offering. No underwriters were involved in the issuance of the shares of common stock or common stock warrants.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54" w:name="page255"/>
    <w:bookmarkEnd w:id="254"/>
    <w:p>
      <w:pPr>
        <w:jc w:val="center"/>
        <w:ind w:right="1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00"/>
        <w:spacing w:after="0"/>
        <w:rPr>
          <w:sz w:val="20"/>
          <w:szCs w:val="20"/>
          <w:color w:val="auto"/>
        </w:rPr>
      </w:pPr>
      <w:r>
        <w:rPr>
          <w:rFonts w:ascii="Arial" w:cs="Arial" w:eastAsia="Arial" w:hAnsi="Arial"/>
          <w:sz w:val="18"/>
          <w:szCs w:val="18"/>
          <w:color w:val="auto"/>
        </w:rPr>
        <w:t>Pursuant to 17 C.F.R. Section 200.83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jc w:val="right"/>
              <w:ind w:right="212"/>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Incorporated by Reference</w:t>
            </w:r>
          </w:p>
        </w:tc>
      </w:tr>
      <w:tr>
        <w:trPr>
          <w:trHeight w:val="155"/>
        </w:trPr>
        <w:tc>
          <w:tcPr>
            <w:tcW w:w="10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40" w:type="dxa"/>
            <w:vAlign w:val="bottom"/>
            <w:gridSpan w:val="3"/>
          </w:tcPr>
          <w:p>
            <w:pPr>
              <w:ind w:left="1140"/>
              <w:spacing w:after="0" w:line="155" w:lineRule="exact"/>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3"/>
                <w:szCs w:val="13"/>
                <w:color w:val="auto"/>
              </w:rPr>
            </w:pPr>
          </w:p>
        </w:tc>
        <w:tc>
          <w:tcPr>
            <w:tcW w:w="6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Form</w:t>
            </w:r>
          </w:p>
        </w:tc>
        <w:tc>
          <w:tcPr>
            <w:tcW w:w="132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File No.</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Exhibit</w:t>
            </w:r>
          </w:p>
        </w:tc>
        <w:tc>
          <w:tcPr>
            <w:tcW w:w="158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31"/>
        </w:trPr>
        <w:tc>
          <w:tcPr>
            <w:tcW w:w="1080" w:type="dxa"/>
            <w:vAlign w:val="bottom"/>
          </w:tcPr>
          <w:p>
            <w:pPr>
              <w:jc w:val="right"/>
              <w:ind w:right="572"/>
              <w:spacing w:after="0"/>
              <w:rPr>
                <w:sz w:val="20"/>
                <w:szCs w:val="20"/>
                <w:color w:val="auto"/>
              </w:rPr>
            </w:pPr>
            <w:r>
              <w:rPr>
                <w:rFonts w:ascii="Arial" w:cs="Arial" w:eastAsia="Arial" w:hAnsi="Arial"/>
                <w:sz w:val="18"/>
                <w:szCs w:val="18"/>
                <w:color w:val="auto"/>
              </w:rPr>
              <w:t>1.1*</w:t>
            </w:r>
          </w:p>
        </w:tc>
        <w:tc>
          <w:tcPr>
            <w:tcW w:w="5700" w:type="dxa"/>
            <w:vAlign w:val="bottom"/>
            <w:gridSpan w:val="8"/>
          </w:tcPr>
          <w:p>
            <w:pPr>
              <w:ind w:left="200"/>
              <w:spacing w:after="0"/>
              <w:rPr>
                <w:sz w:val="20"/>
                <w:szCs w:val="20"/>
                <w:color w:val="auto"/>
              </w:rPr>
            </w:pPr>
            <w:r>
              <w:rPr>
                <w:rFonts w:ascii="Arial" w:cs="Arial" w:eastAsia="Arial" w:hAnsi="Arial"/>
                <w:sz w:val="18"/>
                <w:szCs w:val="18"/>
                <w:color w:val="auto"/>
              </w:rPr>
              <w:t>Form of Underwriting Agreement</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3"/>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58">
              <w:r>
                <w:rPr>
                  <w:rFonts w:ascii="Arial" w:cs="Arial" w:eastAsia="Arial" w:hAnsi="Arial"/>
                  <w:sz w:val="18"/>
                  <w:szCs w:val="18"/>
                  <w:u w:val="single" w:color="auto"/>
                  <w:color w:val="0000EE"/>
                </w:rPr>
                <w:t>Amended and Restated Certificate of Incorporation</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10-Q</w:t>
            </w:r>
          </w:p>
        </w:tc>
        <w:tc>
          <w:tcPr>
            <w:tcW w:w="1320" w:type="dxa"/>
            <w:vAlign w:val="bottom"/>
          </w:tcPr>
          <w:p>
            <w:pPr>
              <w:ind w:left="440"/>
              <w:spacing w:after="0"/>
              <w:rPr>
                <w:sz w:val="20"/>
                <w:szCs w:val="20"/>
                <w:color w:val="auto"/>
              </w:rPr>
            </w:pPr>
            <w:r>
              <w:rPr>
                <w:rFonts w:ascii="Arial" w:cs="Arial" w:eastAsia="Arial" w:hAnsi="Arial"/>
                <w:sz w:val="18"/>
                <w:szCs w:val="18"/>
                <w:color w:val="auto"/>
                <w:w w:val="99"/>
              </w:rPr>
              <w:t>001-39503</w:t>
            </w:r>
          </w:p>
        </w:tc>
        <w:tc>
          <w:tcPr>
            <w:tcW w:w="1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3.1</w:t>
            </w:r>
          </w:p>
        </w:tc>
        <w:tc>
          <w:tcPr>
            <w:tcW w:w="1580" w:type="dxa"/>
            <w:vAlign w:val="bottom"/>
          </w:tcPr>
          <w:p>
            <w:pPr>
              <w:ind w:left="700"/>
              <w:spacing w:after="0"/>
              <w:rPr>
                <w:sz w:val="20"/>
                <w:szCs w:val="20"/>
                <w:color w:val="auto"/>
              </w:rPr>
            </w:pPr>
            <w:r>
              <w:rPr>
                <w:rFonts w:ascii="Arial" w:cs="Arial" w:eastAsia="Arial" w:hAnsi="Arial"/>
                <w:sz w:val="18"/>
                <w:szCs w:val="18"/>
                <w:color w:val="auto"/>
              </w:rPr>
              <w:t>November</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12, 2020</w:t>
            </w:r>
          </w:p>
        </w:tc>
      </w:tr>
      <w:tr>
        <w:trPr>
          <w:trHeight w:val="310"/>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59">
              <w:r>
                <w:rPr>
                  <w:rFonts w:ascii="Arial" w:cs="Arial" w:eastAsia="Arial" w:hAnsi="Arial"/>
                  <w:sz w:val="18"/>
                  <w:szCs w:val="18"/>
                  <w:u w:val="single" w:color="auto"/>
                  <w:color w:val="0000EE"/>
                </w:rPr>
                <w:t>Amended and Restated Bylaws</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10-Q</w:t>
            </w:r>
          </w:p>
        </w:tc>
        <w:tc>
          <w:tcPr>
            <w:tcW w:w="1320" w:type="dxa"/>
            <w:vAlign w:val="bottom"/>
          </w:tcPr>
          <w:p>
            <w:pPr>
              <w:ind w:left="440"/>
              <w:spacing w:after="0"/>
              <w:rPr>
                <w:sz w:val="20"/>
                <w:szCs w:val="20"/>
                <w:color w:val="auto"/>
              </w:rPr>
            </w:pPr>
            <w:r>
              <w:rPr>
                <w:rFonts w:ascii="Arial" w:cs="Arial" w:eastAsia="Arial" w:hAnsi="Arial"/>
                <w:sz w:val="18"/>
                <w:szCs w:val="18"/>
                <w:color w:val="auto"/>
                <w:w w:val="99"/>
              </w:rPr>
              <w:t>001-39503</w:t>
            </w:r>
          </w:p>
        </w:tc>
        <w:tc>
          <w:tcPr>
            <w:tcW w:w="160" w:type="dxa"/>
            <w:vAlign w:val="bottom"/>
          </w:tcPr>
          <w:p>
            <w:pPr>
              <w:spacing w:after="0"/>
              <w:rPr>
                <w:sz w:val="24"/>
                <w:szCs w:val="24"/>
                <w:color w:val="auto"/>
              </w:rPr>
            </w:pPr>
          </w:p>
        </w:tc>
        <w:tc>
          <w:tcPr>
            <w:tcW w:w="780" w:type="dxa"/>
            <w:vAlign w:val="bottom"/>
          </w:tcPr>
          <w:p>
            <w:pPr>
              <w:ind w:left="420"/>
              <w:spacing w:after="0"/>
              <w:rPr>
                <w:sz w:val="20"/>
                <w:szCs w:val="20"/>
                <w:color w:val="auto"/>
              </w:rPr>
            </w:pPr>
            <w:r>
              <w:rPr>
                <w:rFonts w:ascii="Arial" w:cs="Arial" w:eastAsia="Arial" w:hAnsi="Arial"/>
                <w:sz w:val="18"/>
                <w:szCs w:val="18"/>
                <w:color w:val="auto"/>
              </w:rPr>
              <w:t>3.2</w:t>
            </w:r>
          </w:p>
        </w:tc>
        <w:tc>
          <w:tcPr>
            <w:tcW w:w="1580" w:type="dxa"/>
            <w:vAlign w:val="bottom"/>
          </w:tcPr>
          <w:p>
            <w:pPr>
              <w:ind w:left="700"/>
              <w:spacing w:after="0"/>
              <w:rPr>
                <w:sz w:val="20"/>
                <w:szCs w:val="20"/>
                <w:color w:val="auto"/>
              </w:rPr>
            </w:pPr>
            <w:r>
              <w:rPr>
                <w:rFonts w:ascii="Arial" w:cs="Arial" w:eastAsia="Arial" w:hAnsi="Arial"/>
                <w:sz w:val="18"/>
                <w:szCs w:val="18"/>
                <w:color w:val="auto"/>
              </w:rPr>
              <w:t>November</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12, 2020</w:t>
            </w:r>
          </w:p>
        </w:tc>
      </w:tr>
      <w:tr>
        <w:trPr>
          <w:trHeight w:val="310"/>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60">
              <w:r>
                <w:rPr>
                  <w:rFonts w:ascii="Arial" w:cs="Arial" w:eastAsia="Arial" w:hAnsi="Arial"/>
                  <w:sz w:val="18"/>
                  <w:szCs w:val="18"/>
                  <w:u w:val="single" w:color="auto"/>
                  <w:color w:val="0000EE"/>
                </w:rPr>
                <w:t>Specimen Common Stock Certificate of the Registrant</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rPr>
              <w:t>4.1</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14, 2020</w:t>
            </w:r>
          </w:p>
        </w:tc>
      </w:tr>
      <w:tr>
        <w:trPr>
          <w:trHeight w:val="283"/>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color w:val="0000EE"/>
              </w:rPr>
            </w:pPr>
            <w:hyperlink r:id="rId361">
              <w:r>
                <w:rPr>
                  <w:rFonts w:ascii="Arial" w:cs="Arial" w:eastAsia="Arial" w:hAnsi="Arial"/>
                  <w:sz w:val="18"/>
                  <w:szCs w:val="18"/>
                  <w:color w:val="0000EE"/>
                </w:rPr>
                <w:t>Investors’ Rights Agreement, dated May 29, 2020, as amended, by</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rPr>
              <w:t>4.2</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60" w:type="dxa"/>
            <w:vAlign w:val="bottom"/>
            <w:gridSpan w:val="7"/>
          </w:tcPr>
          <w:p>
            <w:pPr>
              <w:spacing w:after="0" w:line="182" w:lineRule="exact"/>
              <w:rPr>
                <w:rFonts w:ascii="Arial" w:cs="Arial" w:eastAsia="Arial" w:hAnsi="Arial"/>
                <w:sz w:val="18"/>
                <w:szCs w:val="18"/>
                <w:color w:val="0000EE"/>
              </w:rPr>
            </w:pPr>
            <w:hyperlink r:id="rId361">
              <w:r>
                <w:rPr>
                  <w:rFonts w:ascii="Arial" w:cs="Arial" w:eastAsia="Arial" w:hAnsi="Arial"/>
                  <w:sz w:val="18"/>
                  <w:szCs w:val="18"/>
                  <w:color w:val="0000EE"/>
                </w:rPr>
                <w:t>and among the Registrant and the Investors and Key Holders party</w:t>
              </w:r>
            </w:hyperlink>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ind w:left="700"/>
              <w:spacing w:after="0" w:line="182" w:lineRule="exact"/>
              <w:rPr>
                <w:sz w:val="20"/>
                <w:szCs w:val="20"/>
                <w:color w:val="auto"/>
              </w:rPr>
            </w:pPr>
            <w:r>
              <w:rPr>
                <w:rFonts w:ascii="Arial" w:cs="Arial" w:eastAsia="Arial" w:hAnsi="Arial"/>
                <w:sz w:val="18"/>
                <w:szCs w:val="18"/>
                <w:color w:val="auto"/>
              </w:rPr>
              <w:t>9, 2020</w:t>
            </w:r>
          </w:p>
        </w:tc>
      </w:tr>
      <w:tr>
        <w:trPr>
          <w:trHeight w:val="183"/>
        </w:trPr>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r:id="rId361">
              <w:r>
                <w:rPr>
                  <w:rFonts w:ascii="Arial" w:cs="Arial" w:eastAsia="Arial" w:hAnsi="Arial"/>
                  <w:sz w:val="18"/>
                  <w:szCs w:val="18"/>
                  <w:color w:val="0000EE"/>
                  <w:w w:val="96"/>
                </w:rPr>
                <w:t>thereto</w:t>
              </w:r>
            </w:hyperlink>
          </w:p>
        </w:tc>
        <w:tc>
          <w:tcPr>
            <w:tcW w:w="4760" w:type="dxa"/>
            <w:vAlign w:val="bottom"/>
            <w:tcBorders>
              <w:top w:val="single" w:sz="8" w:color="0000EE"/>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30"/>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62">
              <w:r>
                <w:rPr>
                  <w:rFonts w:ascii="Arial" w:cs="Arial" w:eastAsia="Arial" w:hAnsi="Arial"/>
                  <w:sz w:val="18"/>
                  <w:szCs w:val="18"/>
                  <w:u w:val="single" w:color="auto"/>
                  <w:color w:val="0000EE"/>
                </w:rPr>
                <w:t>Form of Warrant to Purchase Series B Preferred Stock</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rPr>
              <w:t>4.3</w:t>
            </w:r>
          </w:p>
        </w:tc>
        <w:tc>
          <w:tcPr>
            <w:tcW w:w="1580" w:type="dxa"/>
            <w:vAlign w:val="bottom"/>
          </w:tcPr>
          <w:p>
            <w:pPr>
              <w:ind w:left="700"/>
              <w:spacing w:after="0"/>
              <w:rPr>
                <w:sz w:val="20"/>
                <w:szCs w:val="20"/>
                <w:color w:val="auto"/>
              </w:rPr>
            </w:pPr>
            <w:r>
              <w:rPr>
                <w:rFonts w:ascii="Arial" w:cs="Arial" w:eastAsia="Arial" w:hAnsi="Arial"/>
                <w:sz w:val="18"/>
                <w:szCs w:val="18"/>
                <w:color w:val="auto"/>
                <w:w w:val="99"/>
              </w:rPr>
              <w:t>August 26,</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2020</w:t>
            </w:r>
          </w:p>
        </w:tc>
      </w:tr>
      <w:tr>
        <w:trPr>
          <w:trHeight w:val="310"/>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Form of Warrant to Purchase Common Stock</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rPr>
              <w:t>4.4</w:t>
            </w:r>
          </w:p>
        </w:tc>
        <w:tc>
          <w:tcPr>
            <w:tcW w:w="1580" w:type="dxa"/>
            <w:vAlign w:val="bottom"/>
          </w:tcPr>
          <w:p>
            <w:pPr>
              <w:ind w:left="700"/>
              <w:spacing w:after="0"/>
              <w:rPr>
                <w:sz w:val="20"/>
                <w:szCs w:val="20"/>
                <w:color w:val="auto"/>
              </w:rPr>
            </w:pPr>
            <w:r>
              <w:rPr>
                <w:rFonts w:ascii="Arial" w:cs="Arial" w:eastAsia="Arial" w:hAnsi="Arial"/>
                <w:sz w:val="18"/>
                <w:szCs w:val="18"/>
                <w:color w:val="auto"/>
                <w:w w:val="99"/>
              </w:rPr>
              <w:t>August 26,</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2020</w:t>
            </w:r>
          </w:p>
        </w:tc>
      </w:tr>
      <w:tr>
        <w:trPr>
          <w:trHeight w:val="283"/>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6180" w:type="dxa"/>
            <w:vAlign w:val="bottom"/>
            <w:gridSpan w:val="9"/>
          </w:tcPr>
          <w:p>
            <w:pPr>
              <w:spacing w:after="0"/>
              <w:rPr>
                <w:rFonts w:ascii="Arial" w:cs="Arial" w:eastAsia="Arial" w:hAnsi="Arial"/>
                <w:sz w:val="18"/>
                <w:szCs w:val="18"/>
                <w:color w:val="0000EE"/>
              </w:rPr>
            </w:pPr>
            <w:hyperlink r:id="rId364">
              <w:r>
                <w:rPr>
                  <w:rFonts w:ascii="Arial" w:cs="Arial" w:eastAsia="Arial" w:hAnsi="Arial"/>
                  <w:sz w:val="18"/>
                  <w:szCs w:val="18"/>
                  <w:color w:val="0000EE"/>
                </w:rPr>
                <w:t>Warrant to Purchase Common Stock of the Registrant, dated April 8,</w:t>
              </w:r>
            </w:hyperlink>
            <w:r>
              <w:rPr>
                <w:rFonts w:ascii="Arial" w:cs="Arial" w:eastAsia="Arial" w:hAnsi="Arial"/>
                <w:sz w:val="18"/>
                <w:szCs w:val="18"/>
                <w:color w:val="000000"/>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rPr>
              <w:t>4.5</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640" w:type="dxa"/>
            <w:vAlign w:val="bottom"/>
            <w:gridSpan w:val="2"/>
          </w:tcPr>
          <w:p>
            <w:pPr>
              <w:ind w:left="240"/>
              <w:spacing w:after="0" w:line="182" w:lineRule="exact"/>
              <w:rPr>
                <w:rFonts w:ascii="Arial" w:cs="Arial" w:eastAsia="Arial" w:hAnsi="Arial"/>
                <w:sz w:val="18"/>
                <w:szCs w:val="18"/>
                <w:color w:val="0000EE"/>
                <w:w w:val="89"/>
              </w:rPr>
            </w:pPr>
            <w:hyperlink r:id="rId364">
              <w:r>
                <w:rPr>
                  <w:rFonts w:ascii="Arial" w:cs="Arial" w:eastAsia="Arial" w:hAnsi="Arial"/>
                  <w:sz w:val="18"/>
                  <w:szCs w:val="18"/>
                  <w:color w:val="0000EE"/>
                  <w:w w:val="89"/>
                </w:rPr>
                <w:t>2013</w:t>
              </w:r>
            </w:hyperlink>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ind w:left="700"/>
              <w:spacing w:after="0" w:line="182" w:lineRule="exact"/>
              <w:rPr>
                <w:sz w:val="20"/>
                <w:szCs w:val="20"/>
                <w:color w:val="auto"/>
              </w:rPr>
            </w:pPr>
            <w:r>
              <w:rPr>
                <w:rFonts w:ascii="Arial" w:cs="Arial" w:eastAsia="Arial" w:hAnsi="Arial"/>
                <w:sz w:val="18"/>
                <w:szCs w:val="18"/>
                <w:color w:val="auto"/>
              </w:rPr>
              <w:t>9, 2020</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6180" w:type="dxa"/>
            <w:vAlign w:val="bottom"/>
            <w:gridSpan w:val="9"/>
          </w:tcPr>
          <w:p>
            <w:pPr>
              <w:spacing w:after="0"/>
              <w:rPr>
                <w:rFonts w:ascii="Arial" w:cs="Arial" w:eastAsia="Arial" w:hAnsi="Arial"/>
                <w:sz w:val="18"/>
                <w:szCs w:val="18"/>
                <w:color w:val="0000EE"/>
              </w:rPr>
            </w:pPr>
            <w:hyperlink r:id="rId365">
              <w:r>
                <w:rPr>
                  <w:rFonts w:ascii="Arial" w:cs="Arial" w:eastAsia="Arial" w:hAnsi="Arial"/>
                  <w:sz w:val="18"/>
                  <w:szCs w:val="18"/>
                  <w:color w:val="0000EE"/>
                </w:rPr>
                <w:t>Warrant to Purchase Common Stock of the Registrant, dated August</w:t>
              </w:r>
            </w:hyperlink>
            <w:r>
              <w:rPr>
                <w:rFonts w:ascii="Arial" w:cs="Arial" w:eastAsia="Arial" w:hAnsi="Arial"/>
                <w:sz w:val="18"/>
                <w:szCs w:val="18"/>
                <w:color w:val="000000"/>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rPr>
              <w:t>4.6</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940" w:type="dxa"/>
            <w:vAlign w:val="bottom"/>
            <w:gridSpan w:val="4"/>
          </w:tcPr>
          <w:p>
            <w:pPr>
              <w:ind w:left="240"/>
              <w:spacing w:after="0" w:line="182" w:lineRule="exact"/>
              <w:rPr>
                <w:rFonts w:ascii="Arial" w:cs="Arial" w:eastAsia="Arial" w:hAnsi="Arial"/>
                <w:sz w:val="18"/>
                <w:szCs w:val="18"/>
                <w:color w:val="0000EE"/>
                <w:w w:val="96"/>
              </w:rPr>
            </w:pPr>
            <w:hyperlink r:id="rId365">
              <w:r>
                <w:rPr>
                  <w:rFonts w:ascii="Arial" w:cs="Arial" w:eastAsia="Arial" w:hAnsi="Arial"/>
                  <w:sz w:val="18"/>
                  <w:szCs w:val="18"/>
                  <w:color w:val="0000EE"/>
                  <w:w w:val="96"/>
                </w:rPr>
                <w:t>26, 2020</w:t>
              </w:r>
            </w:hyperlink>
          </w:p>
        </w:tc>
        <w:tc>
          <w:tcPr>
            <w:tcW w:w="4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ind w:left="700"/>
              <w:spacing w:after="0" w:line="182" w:lineRule="exact"/>
              <w:rPr>
                <w:sz w:val="20"/>
                <w:szCs w:val="20"/>
                <w:color w:val="auto"/>
              </w:rPr>
            </w:pPr>
            <w:r>
              <w:rPr>
                <w:rFonts w:ascii="Arial" w:cs="Arial" w:eastAsia="Arial" w:hAnsi="Arial"/>
                <w:sz w:val="18"/>
                <w:szCs w:val="18"/>
                <w:color w:val="auto"/>
              </w:rPr>
              <w:t>9, 2020</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30"/>
        </w:trPr>
        <w:tc>
          <w:tcPr>
            <w:tcW w:w="1080" w:type="dxa"/>
            <w:vAlign w:val="bottom"/>
          </w:tcPr>
          <w:p>
            <w:pPr>
              <w:jc w:val="right"/>
              <w:ind w:right="572"/>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Arial" w:cs="Arial" w:eastAsia="Arial" w:hAnsi="Arial"/>
                <w:sz w:val="18"/>
                <w:szCs w:val="18"/>
                <w:color w:val="auto"/>
              </w:rPr>
              <w:t>Opinion of Wilson Sonsini Goodrich &amp; Rosati, Professional</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gridSpan w:val="7"/>
          </w:tcPr>
          <w:p>
            <w:pPr>
              <w:spacing w:after="0"/>
              <w:rPr>
                <w:sz w:val="20"/>
                <w:szCs w:val="20"/>
                <w:color w:val="auto"/>
              </w:rPr>
            </w:pPr>
            <w:r>
              <w:rPr>
                <w:rFonts w:ascii="Arial" w:cs="Arial" w:eastAsia="Arial" w:hAnsi="Arial"/>
                <w:sz w:val="18"/>
                <w:szCs w:val="18"/>
                <w:color w:val="auto"/>
              </w:rPr>
              <w:t>Corporation</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10"/>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Form of Director and Executive Officer Indemnification Agreement</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w w:val="96"/>
              </w:rPr>
              <w:t>10.1</w:t>
            </w:r>
          </w:p>
        </w:tc>
        <w:tc>
          <w:tcPr>
            <w:tcW w:w="1580" w:type="dxa"/>
            <w:vAlign w:val="bottom"/>
          </w:tcPr>
          <w:p>
            <w:pPr>
              <w:ind w:left="700"/>
              <w:spacing w:after="0"/>
              <w:rPr>
                <w:sz w:val="20"/>
                <w:szCs w:val="20"/>
                <w:color w:val="auto"/>
              </w:rPr>
            </w:pPr>
            <w:r>
              <w:rPr>
                <w:rFonts w:ascii="Arial" w:cs="Arial" w:eastAsia="Arial" w:hAnsi="Arial"/>
                <w:sz w:val="18"/>
                <w:szCs w:val="18"/>
                <w:color w:val="auto"/>
                <w:w w:val="99"/>
              </w:rPr>
              <w:t>August 26,</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2020</w:t>
            </w:r>
          </w:p>
        </w:tc>
      </w:tr>
      <w:tr>
        <w:trPr>
          <w:trHeight w:val="310"/>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67">
              <w:r>
                <w:rPr>
                  <w:rFonts w:ascii="Arial" w:cs="Arial" w:eastAsia="Arial" w:hAnsi="Arial"/>
                  <w:sz w:val="18"/>
                  <w:szCs w:val="18"/>
                  <w:u w:val="single" w:color="auto"/>
                  <w:color w:val="0000EE"/>
                </w:rPr>
                <w:t>2014 Equity Incentive Plan, as amended</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w w:val="96"/>
              </w:rPr>
              <w:t>10.2</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9, 2020</w:t>
            </w:r>
          </w:p>
        </w:tc>
      </w:tr>
      <w:tr>
        <w:trPr>
          <w:trHeight w:val="283"/>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color w:val="0000EE"/>
              </w:rPr>
            </w:pPr>
            <w:hyperlink r:id="rId368">
              <w:r>
                <w:rPr>
                  <w:rFonts w:ascii="Arial" w:cs="Arial" w:eastAsia="Arial" w:hAnsi="Arial"/>
                  <w:sz w:val="18"/>
                  <w:szCs w:val="18"/>
                  <w:color w:val="0000EE"/>
                </w:rPr>
                <w:t>Form of Stock Option Agreement under the 2014 Equity Incentive</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w w:val="96"/>
              </w:rPr>
              <w:t>10.3</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183"/>
        </w:trPr>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368">
              <w:r>
                <w:rPr>
                  <w:rFonts w:ascii="Arial" w:cs="Arial" w:eastAsia="Arial" w:hAnsi="Arial"/>
                  <w:sz w:val="18"/>
                  <w:szCs w:val="18"/>
                  <w:color w:val="0000EE"/>
                  <w:w w:val="99"/>
                </w:rPr>
                <w:t>Plan</w:t>
              </w:r>
            </w:hyperlink>
          </w:p>
        </w:tc>
        <w:tc>
          <w:tcPr>
            <w:tcW w:w="4800" w:type="dxa"/>
            <w:vAlign w:val="bottom"/>
            <w:tcBorders>
              <w:top w:val="single" w:sz="8" w:color="0000EE"/>
            </w:tcBorders>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ind w:left="700"/>
              <w:spacing w:after="0" w:line="182" w:lineRule="exact"/>
              <w:rPr>
                <w:sz w:val="20"/>
                <w:szCs w:val="20"/>
                <w:color w:val="auto"/>
              </w:rPr>
            </w:pPr>
            <w:r>
              <w:rPr>
                <w:rFonts w:ascii="Arial" w:cs="Arial" w:eastAsia="Arial" w:hAnsi="Arial"/>
                <w:sz w:val="18"/>
                <w:szCs w:val="18"/>
                <w:color w:val="auto"/>
              </w:rPr>
              <w:t>9, 2020</w:t>
            </w:r>
          </w:p>
        </w:tc>
      </w:tr>
      <w:tr>
        <w:trPr>
          <w:trHeight w:val="345"/>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10.4+</w:t>
            </w:r>
          </w:p>
        </w:tc>
        <w:tc>
          <w:tcPr>
            <w:tcW w:w="6420" w:type="dxa"/>
            <w:vAlign w:val="bottom"/>
            <w:gridSpan w:val="10"/>
          </w:tcPr>
          <w:p>
            <w:pPr>
              <w:ind w:left="180"/>
              <w:spacing w:after="0"/>
              <w:rPr>
                <w:rFonts w:ascii="Arial" w:cs="Arial" w:eastAsia="Arial" w:hAnsi="Arial"/>
                <w:sz w:val="18"/>
                <w:szCs w:val="18"/>
                <w:color w:val="0000EE"/>
              </w:rPr>
            </w:pPr>
            <w:hyperlink r:id="rId369">
              <w:r>
                <w:rPr>
                  <w:rFonts w:ascii="Arial" w:cs="Arial" w:eastAsia="Arial" w:hAnsi="Arial"/>
                  <w:sz w:val="18"/>
                  <w:szCs w:val="18"/>
                  <w:u w:val="single" w:color="auto"/>
                  <w:color w:val="0000EE"/>
                </w:rPr>
                <w:t>Form of Restricted Share Award under the 2014 Equity Incentive Plan</w:t>
              </w:r>
            </w:hyperlink>
            <w:r>
              <w:rPr>
                <w:rFonts w:ascii="Arial" w:cs="Arial" w:eastAsia="Arial" w:hAnsi="Arial"/>
                <w:sz w:val="18"/>
                <w:szCs w:val="18"/>
                <w:color w:val="000000"/>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333-248428</w:t>
            </w:r>
          </w:p>
        </w:tc>
        <w:tc>
          <w:tcPr>
            <w:tcW w:w="940" w:type="dxa"/>
            <w:vAlign w:val="bottom"/>
            <w:gridSpan w:val="2"/>
          </w:tcPr>
          <w:p>
            <w:pPr>
              <w:jc w:val="right"/>
              <w:ind w:right="491"/>
              <w:spacing w:after="0"/>
              <w:rPr>
                <w:sz w:val="20"/>
                <w:szCs w:val="20"/>
                <w:color w:val="auto"/>
              </w:rPr>
            </w:pPr>
            <w:r>
              <w:rPr>
                <w:rFonts w:ascii="Arial" w:cs="Arial" w:eastAsia="Arial" w:hAnsi="Arial"/>
                <w:sz w:val="18"/>
                <w:szCs w:val="18"/>
                <w:color w:val="auto"/>
                <w:w w:val="96"/>
              </w:rPr>
              <w:t>10.4</w:t>
            </w:r>
          </w:p>
        </w:tc>
        <w:tc>
          <w:tcPr>
            <w:tcW w:w="1580" w:type="dxa"/>
            <w:vAlign w:val="bottom"/>
          </w:tcPr>
          <w:p>
            <w:pPr>
              <w:spacing w:after="0"/>
              <w:rPr>
                <w:sz w:val="20"/>
                <w:szCs w:val="20"/>
                <w:color w:val="auto"/>
              </w:rPr>
            </w:pPr>
            <w:r>
              <w:rPr>
                <w:rFonts w:ascii="Arial" w:cs="Arial" w:eastAsia="Arial" w:hAnsi="Arial"/>
                <w:sz w:val="18"/>
                <w:szCs w:val="18"/>
                <w:color w:val="auto"/>
              </w:rPr>
              <w:t>September 9, 2020</w:t>
            </w:r>
          </w:p>
        </w:tc>
      </w:tr>
      <w:tr>
        <w:trPr>
          <w:trHeight w:val="323"/>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u w:val="single" w:color="auto"/>
                <w:color w:val="0000EE"/>
              </w:rPr>
            </w:pPr>
            <w:hyperlink r:id="rId370">
              <w:r>
                <w:rPr>
                  <w:rFonts w:ascii="Arial" w:cs="Arial" w:eastAsia="Arial" w:hAnsi="Arial"/>
                  <w:sz w:val="18"/>
                  <w:szCs w:val="18"/>
                  <w:u w:val="single" w:color="auto"/>
                  <w:color w:val="0000EE"/>
                </w:rPr>
                <w:t>2020 Equity Incentive Plan</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w w:val="96"/>
              </w:rPr>
              <w:t>10.5</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217"/>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ind w:left="700"/>
              <w:spacing w:after="0"/>
              <w:rPr>
                <w:sz w:val="20"/>
                <w:szCs w:val="20"/>
                <w:color w:val="auto"/>
              </w:rPr>
            </w:pPr>
            <w:r>
              <w:rPr>
                <w:rFonts w:ascii="Arial" w:cs="Arial" w:eastAsia="Arial" w:hAnsi="Arial"/>
                <w:sz w:val="18"/>
                <w:szCs w:val="18"/>
                <w:color w:val="auto"/>
              </w:rPr>
              <w:t>9, 2020</w:t>
            </w:r>
          </w:p>
        </w:tc>
      </w:tr>
      <w:tr>
        <w:trPr>
          <w:trHeight w:val="283"/>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5460" w:type="dxa"/>
            <w:vAlign w:val="bottom"/>
            <w:gridSpan w:val="7"/>
          </w:tcPr>
          <w:p>
            <w:pPr>
              <w:spacing w:after="0"/>
              <w:rPr>
                <w:rFonts w:ascii="Arial" w:cs="Arial" w:eastAsia="Arial" w:hAnsi="Arial"/>
                <w:sz w:val="18"/>
                <w:szCs w:val="18"/>
                <w:color w:val="0000EE"/>
              </w:rPr>
            </w:pPr>
            <w:hyperlink r:id="rId371">
              <w:r>
                <w:rPr>
                  <w:rFonts w:ascii="Arial" w:cs="Arial" w:eastAsia="Arial" w:hAnsi="Arial"/>
                  <w:sz w:val="18"/>
                  <w:szCs w:val="18"/>
                  <w:color w:val="0000EE"/>
                </w:rPr>
                <w:t>Form of Stock Option Agreement under the 2020 Equity Incentive</w:t>
              </w:r>
            </w:hyperlink>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w w:val="96"/>
              </w:rPr>
              <w:t>10.6</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183"/>
        </w:trPr>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r:id="rId371">
              <w:r>
                <w:rPr>
                  <w:rFonts w:ascii="Arial" w:cs="Arial" w:eastAsia="Arial" w:hAnsi="Arial"/>
                  <w:sz w:val="18"/>
                  <w:szCs w:val="18"/>
                  <w:color w:val="0000EE"/>
                  <w:w w:val="99"/>
                </w:rPr>
                <w:t>Plan</w:t>
              </w:r>
            </w:hyperlink>
          </w:p>
        </w:tc>
        <w:tc>
          <w:tcPr>
            <w:tcW w:w="4800" w:type="dxa"/>
            <w:vAlign w:val="bottom"/>
            <w:tcBorders>
              <w:top w:val="single" w:sz="8" w:color="0000EE"/>
            </w:tcBorders>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ind w:left="700"/>
              <w:spacing w:after="0" w:line="182" w:lineRule="exact"/>
              <w:rPr>
                <w:sz w:val="20"/>
                <w:szCs w:val="20"/>
                <w:color w:val="auto"/>
              </w:rPr>
            </w:pPr>
            <w:r>
              <w:rPr>
                <w:rFonts w:ascii="Arial" w:cs="Arial" w:eastAsia="Arial" w:hAnsi="Arial"/>
                <w:sz w:val="18"/>
                <w:szCs w:val="18"/>
                <w:color w:val="auto"/>
              </w:rPr>
              <w:t>9, 2020</w:t>
            </w:r>
          </w:p>
        </w:tc>
      </w:tr>
      <w:tr>
        <w:trPr>
          <w:trHeight w:val="304"/>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5320" w:type="dxa"/>
            <w:vAlign w:val="bottom"/>
            <w:tcBorders>
              <w:bottom w:val="single" w:sz="8" w:color="0000EE"/>
            </w:tcBorders>
            <w:gridSpan w:val="6"/>
          </w:tcPr>
          <w:p>
            <w:pPr>
              <w:spacing w:after="0"/>
              <w:rPr>
                <w:rFonts w:ascii="Arial" w:cs="Arial" w:eastAsia="Arial" w:hAnsi="Arial"/>
                <w:sz w:val="18"/>
                <w:szCs w:val="18"/>
                <w:color w:val="0000EE"/>
                <w:w w:val="99"/>
              </w:rPr>
            </w:pPr>
            <w:hyperlink r:id="rId372">
              <w:r>
                <w:rPr>
                  <w:rFonts w:ascii="Arial" w:cs="Arial" w:eastAsia="Arial" w:hAnsi="Arial"/>
                  <w:sz w:val="18"/>
                  <w:szCs w:val="18"/>
                  <w:color w:val="0000EE"/>
                  <w:w w:val="99"/>
                </w:rPr>
                <w:t>Form of Restricted Stock Award Agreement under the 2020 Equity</w:t>
              </w:r>
            </w:hyperlink>
          </w:p>
        </w:tc>
        <w:tc>
          <w:tcPr>
            <w:tcW w:w="14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S-1/A</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333-248428</w:t>
            </w:r>
          </w:p>
        </w:tc>
        <w:tc>
          <w:tcPr>
            <w:tcW w:w="780" w:type="dxa"/>
            <w:vAlign w:val="bottom"/>
          </w:tcPr>
          <w:p>
            <w:pPr>
              <w:ind w:left="420"/>
              <w:spacing w:after="0"/>
              <w:rPr>
                <w:sz w:val="20"/>
                <w:szCs w:val="20"/>
                <w:color w:val="auto"/>
              </w:rPr>
            </w:pPr>
            <w:r>
              <w:rPr>
                <w:rFonts w:ascii="Arial" w:cs="Arial" w:eastAsia="Arial" w:hAnsi="Arial"/>
                <w:sz w:val="18"/>
                <w:szCs w:val="18"/>
                <w:color w:val="auto"/>
                <w:w w:val="96"/>
              </w:rPr>
              <w:t>10,7</w:t>
            </w:r>
          </w:p>
        </w:tc>
        <w:tc>
          <w:tcPr>
            <w:tcW w:w="1580" w:type="dxa"/>
            <w:vAlign w:val="bottom"/>
          </w:tcPr>
          <w:p>
            <w:pPr>
              <w:ind w:left="700"/>
              <w:spacing w:after="0"/>
              <w:rPr>
                <w:sz w:val="20"/>
                <w:szCs w:val="20"/>
                <w:color w:val="auto"/>
              </w:rPr>
            </w:pPr>
            <w:r>
              <w:rPr>
                <w:rFonts w:ascii="Arial" w:cs="Arial" w:eastAsia="Arial" w:hAnsi="Arial"/>
                <w:sz w:val="18"/>
                <w:szCs w:val="18"/>
                <w:color w:val="auto"/>
                <w:w w:val="97"/>
              </w:rPr>
              <w:t>September</w:t>
            </w:r>
          </w:p>
        </w:tc>
      </w:tr>
      <w:tr>
        <w:trPr>
          <w:trHeight w:val="183"/>
        </w:trPr>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60" w:type="dxa"/>
            <w:vAlign w:val="bottom"/>
            <w:gridSpan w:val="7"/>
          </w:tcPr>
          <w:p>
            <w:pPr>
              <w:spacing w:after="0" w:line="182" w:lineRule="exact"/>
              <w:rPr>
                <w:rFonts w:ascii="Arial" w:cs="Arial" w:eastAsia="Arial" w:hAnsi="Arial"/>
                <w:sz w:val="18"/>
                <w:szCs w:val="18"/>
                <w:color w:val="0000EE"/>
              </w:rPr>
            </w:pPr>
            <w:hyperlink r:id="rId372">
              <w:r>
                <w:rPr>
                  <w:rFonts w:ascii="Arial" w:cs="Arial" w:eastAsia="Arial" w:hAnsi="Arial"/>
                  <w:sz w:val="18"/>
                  <w:szCs w:val="18"/>
                  <w:color w:val="0000EE"/>
                </w:rPr>
                <w:t>Incentive Plan</w:t>
              </w:r>
            </w:hyperlink>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ind w:left="700"/>
              <w:spacing w:after="0" w:line="182" w:lineRule="exact"/>
              <w:rPr>
                <w:sz w:val="20"/>
                <w:szCs w:val="20"/>
                <w:color w:val="auto"/>
              </w:rPr>
            </w:pPr>
            <w:r>
              <w:rPr>
                <w:rFonts w:ascii="Arial" w:cs="Arial" w:eastAsia="Arial" w:hAnsi="Arial"/>
                <w:sz w:val="18"/>
                <w:szCs w:val="18"/>
                <w:color w:val="auto"/>
              </w:rPr>
              <w:t>9, 2020</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45"/>
        </w:trPr>
        <w:tc>
          <w:tcPr>
            <w:tcW w:w="1080" w:type="dxa"/>
            <w:vAlign w:val="bottom"/>
          </w:tcPr>
          <w:p>
            <w:pPr>
              <w:jc w:val="center"/>
              <w:ind w:right="532"/>
              <w:spacing w:after="0"/>
              <w:rPr>
                <w:sz w:val="20"/>
                <w:szCs w:val="20"/>
                <w:color w:val="auto"/>
              </w:rPr>
            </w:pPr>
            <w:r>
              <w:rPr>
                <w:rFonts w:ascii="Arial" w:cs="Arial" w:eastAsia="Arial" w:hAnsi="Arial"/>
                <w:sz w:val="18"/>
                <w:szCs w:val="18"/>
                <w:color w:val="auto"/>
              </w:rPr>
              <w:t>10.8+</w:t>
            </w:r>
          </w:p>
        </w:tc>
        <w:tc>
          <w:tcPr>
            <w:tcW w:w="5700" w:type="dxa"/>
            <w:vAlign w:val="bottom"/>
            <w:gridSpan w:val="8"/>
          </w:tcPr>
          <w:p>
            <w:pPr>
              <w:ind w:left="180"/>
              <w:spacing w:after="0"/>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Form of RSU Agreement under the 2020 Equity Incentive Plan</w:t>
              </w:r>
            </w:hyperlink>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S-1/A</w:t>
            </w:r>
          </w:p>
        </w:tc>
        <w:tc>
          <w:tcPr>
            <w:tcW w:w="1320" w:type="dxa"/>
            <w:vAlign w:val="bottom"/>
          </w:tcPr>
          <w:p>
            <w:pPr>
              <w:ind w:left="140"/>
              <w:spacing w:after="0"/>
              <w:rPr>
                <w:sz w:val="20"/>
                <w:szCs w:val="20"/>
                <w:color w:val="auto"/>
              </w:rPr>
            </w:pPr>
            <w:r>
              <w:rPr>
                <w:rFonts w:ascii="Arial" w:cs="Arial" w:eastAsia="Arial" w:hAnsi="Arial"/>
                <w:sz w:val="18"/>
                <w:szCs w:val="18"/>
                <w:color w:val="auto"/>
              </w:rPr>
              <w:t>333-248428</w:t>
            </w:r>
          </w:p>
        </w:tc>
        <w:tc>
          <w:tcPr>
            <w:tcW w:w="940" w:type="dxa"/>
            <w:vAlign w:val="bottom"/>
            <w:gridSpan w:val="2"/>
          </w:tcPr>
          <w:p>
            <w:pPr>
              <w:jc w:val="right"/>
              <w:ind w:right="491"/>
              <w:spacing w:after="0"/>
              <w:rPr>
                <w:sz w:val="20"/>
                <w:szCs w:val="20"/>
                <w:color w:val="auto"/>
              </w:rPr>
            </w:pPr>
            <w:r>
              <w:rPr>
                <w:rFonts w:ascii="Arial" w:cs="Arial" w:eastAsia="Arial" w:hAnsi="Arial"/>
                <w:sz w:val="18"/>
                <w:szCs w:val="18"/>
                <w:color w:val="auto"/>
                <w:w w:val="96"/>
              </w:rPr>
              <w:t>10.8</w:t>
            </w:r>
          </w:p>
        </w:tc>
        <w:tc>
          <w:tcPr>
            <w:tcW w:w="1580" w:type="dxa"/>
            <w:vAlign w:val="bottom"/>
          </w:tcPr>
          <w:p>
            <w:pPr>
              <w:spacing w:after="0"/>
              <w:rPr>
                <w:sz w:val="20"/>
                <w:szCs w:val="20"/>
                <w:color w:val="auto"/>
              </w:rPr>
            </w:pPr>
            <w:r>
              <w:rPr>
                <w:rFonts w:ascii="Arial" w:cs="Arial" w:eastAsia="Arial" w:hAnsi="Arial"/>
                <w:sz w:val="18"/>
                <w:szCs w:val="18"/>
                <w:color w:val="auto"/>
              </w:rPr>
              <w:t>September 9, 2020</w:t>
            </w:r>
          </w:p>
        </w:tc>
      </w:tr>
    </w:tbl>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255" w:name="page256"/>
    <w:bookmarkEnd w:id="255"/>
    <w:p>
      <w:pPr>
        <w:jc w:val="center"/>
        <w:ind w:right="140"/>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100"/>
        <w:spacing w:after="0"/>
        <w:rPr>
          <w:sz w:val="20"/>
          <w:szCs w:val="20"/>
          <w:color w:val="auto"/>
        </w:rPr>
      </w:pPr>
      <w:r>
        <w:rPr>
          <w:rFonts w:ascii="Arial" w:cs="Arial" w:eastAsia="Arial" w:hAnsi="Arial"/>
          <w:sz w:val="18"/>
          <w:szCs w:val="18"/>
          <w:color w:val="auto"/>
        </w:rPr>
        <w:t>Pursuant to 17 C.F.R. Section 200.83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5740" w:type="dxa"/>
            <w:vAlign w:val="bottom"/>
            <w:gridSpan w:val="23"/>
          </w:tcPr>
          <w:p>
            <w:pPr>
              <w:spacing w:after="0"/>
              <w:rPr>
                <w:rFonts w:ascii="Arial" w:cs="Arial" w:eastAsia="Arial" w:hAnsi="Arial"/>
                <w:sz w:val="18"/>
                <w:szCs w:val="18"/>
                <w:color w:val="0000EE"/>
              </w:rPr>
            </w:pPr>
            <w:hyperlink r:id="rId375">
              <w:r>
                <w:rPr>
                  <w:rFonts w:ascii="Arial" w:cs="Arial" w:eastAsia="Arial" w:hAnsi="Arial"/>
                  <w:sz w:val="18"/>
                  <w:szCs w:val="18"/>
                  <w:color w:val="0000EE"/>
                </w:rPr>
                <w:t>Amended and Restated Standard Exclusive Licensing Agreement with</w:t>
              </w:r>
            </w:hyperlink>
          </w:p>
        </w:tc>
        <w:tc>
          <w:tcPr>
            <w:tcW w:w="700" w:type="dxa"/>
            <w:vAlign w:val="bottom"/>
          </w:tcPr>
          <w:p>
            <w:pPr>
              <w:ind w:left="60"/>
              <w:spacing w:after="0"/>
              <w:rPr>
                <w:sz w:val="20"/>
                <w:szCs w:val="20"/>
                <w:color w:val="auto"/>
              </w:rPr>
            </w:pPr>
            <w:r>
              <w:rPr>
                <w:rFonts w:ascii="Arial" w:cs="Arial" w:eastAsia="Arial" w:hAnsi="Arial"/>
                <w:sz w:val="18"/>
                <w:szCs w:val="18"/>
                <w:color w:val="auto"/>
              </w:rPr>
              <w:t>S-1</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333-248428</w:t>
            </w:r>
          </w:p>
        </w:tc>
        <w:tc>
          <w:tcPr>
            <w:tcW w:w="480" w:type="dxa"/>
            <w:vAlign w:val="bottom"/>
          </w:tcPr>
          <w:p>
            <w:pPr>
              <w:ind w:left="10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August 26, 2020</w:t>
            </w:r>
          </w:p>
        </w:tc>
        <w:tc>
          <w:tcPr>
            <w:tcW w:w="0" w:type="dxa"/>
            <w:vAlign w:val="bottom"/>
          </w:tcPr>
          <w:p>
            <w:pPr>
              <w:spacing w:after="0"/>
              <w:rPr>
                <w:sz w:val="1"/>
                <w:szCs w:val="1"/>
                <w:color w:val="auto"/>
              </w:rPr>
            </w:pPr>
          </w:p>
        </w:tc>
      </w:tr>
      <w:tr>
        <w:trPr>
          <w:trHeight w:val="183"/>
        </w:trPr>
        <w:tc>
          <w:tcPr>
            <w:tcW w:w="1400" w:type="dxa"/>
            <w:vAlign w:val="bottom"/>
          </w:tcPr>
          <w:p>
            <w:pPr>
              <w:spacing w:after="0" w:line="182" w:lineRule="exact"/>
              <w:rPr>
                <w:sz w:val="20"/>
                <w:szCs w:val="20"/>
                <w:color w:val="auto"/>
              </w:rPr>
            </w:pPr>
            <w:r>
              <w:rPr>
                <w:rFonts w:ascii="Arial" w:cs="Arial" w:eastAsia="Arial" w:hAnsi="Arial"/>
                <w:sz w:val="18"/>
                <w:szCs w:val="18"/>
                <w:color w:val="auto"/>
              </w:rPr>
              <w:t>10.9†</w:t>
            </w:r>
          </w:p>
        </w:tc>
        <w:tc>
          <w:tcPr>
            <w:tcW w:w="52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r:id="rId375">
              <w:r>
                <w:rPr>
                  <w:rFonts w:ascii="Arial" w:cs="Arial" w:eastAsia="Arial" w:hAnsi="Arial"/>
                  <w:sz w:val="18"/>
                  <w:szCs w:val="18"/>
                  <w:color w:val="0000EE"/>
                  <w:w w:val="99"/>
                </w:rPr>
                <w:t>Sublicensing Terms, dated October 28, 2015, by and between the</w:t>
              </w:r>
            </w:hyperlink>
          </w:p>
        </w:tc>
        <w:tc>
          <w:tcPr>
            <w:tcW w:w="360" w:type="dxa"/>
            <w:vAlign w:val="bottom"/>
            <w:tcBorders>
              <w:top w:val="single" w:sz="8" w:color="0000EE"/>
            </w:tcBorders>
            <w:gridSpan w:val="6"/>
          </w:tcPr>
          <w:p>
            <w:pPr>
              <w:spacing w:after="0"/>
              <w:rPr>
                <w:sz w:val="15"/>
                <w:szCs w:val="15"/>
                <w:color w:val="auto"/>
              </w:rPr>
            </w:pPr>
          </w:p>
        </w:tc>
        <w:tc>
          <w:tcPr>
            <w:tcW w:w="16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740" w:type="dxa"/>
            <w:vAlign w:val="bottom"/>
            <w:gridSpan w:val="23"/>
          </w:tcPr>
          <w:p>
            <w:pPr>
              <w:spacing w:after="0"/>
              <w:rPr>
                <w:rFonts w:ascii="Arial" w:cs="Arial" w:eastAsia="Arial" w:hAnsi="Arial"/>
                <w:sz w:val="18"/>
                <w:szCs w:val="18"/>
                <w:u w:val="single" w:color="auto"/>
                <w:color w:val="0000EE"/>
              </w:rPr>
            </w:pPr>
            <w:hyperlink r:id="rId375">
              <w:r>
                <w:rPr>
                  <w:rFonts w:ascii="Arial" w:cs="Arial" w:eastAsia="Arial" w:hAnsi="Arial"/>
                  <w:sz w:val="18"/>
                  <w:szCs w:val="18"/>
                  <w:u w:val="single" w:color="auto"/>
                  <w:color w:val="0000EE"/>
                </w:rPr>
                <w:t>Registrant and Washington State University, and amendments thereto</w:t>
              </w:r>
            </w:hyperlink>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24"/>
                <w:szCs w:val="24"/>
                <w:color w:val="auto"/>
              </w:rPr>
            </w:pPr>
          </w:p>
        </w:tc>
        <w:tc>
          <w:tcPr>
            <w:tcW w:w="5680" w:type="dxa"/>
            <w:vAlign w:val="bottom"/>
            <w:gridSpan w:val="22"/>
          </w:tcPr>
          <w:p>
            <w:pPr>
              <w:spacing w:after="0"/>
              <w:rPr>
                <w:rFonts w:ascii="Arial" w:cs="Arial" w:eastAsia="Arial" w:hAnsi="Arial"/>
                <w:sz w:val="18"/>
                <w:szCs w:val="18"/>
                <w:color w:val="0000EE"/>
              </w:rPr>
            </w:pPr>
            <w:hyperlink r:id="rId376">
              <w:r>
                <w:rPr>
                  <w:rFonts w:ascii="Arial" w:cs="Arial" w:eastAsia="Arial" w:hAnsi="Arial"/>
                  <w:sz w:val="18"/>
                  <w:szCs w:val="18"/>
                  <w:color w:val="0000EE"/>
                </w:rPr>
                <w:t>2020 Employee Stock Purchase Plan and Form of Subscription</w:t>
              </w:r>
            </w:hyperlink>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r:id="rId376">
              <w:r>
                <w:rPr>
                  <w:rFonts w:ascii="Arial" w:cs="Arial" w:eastAsia="Arial" w:hAnsi="Arial"/>
                  <w:sz w:val="18"/>
                  <w:szCs w:val="18"/>
                  <w:color w:val="0000EE"/>
                  <w:w w:val="98"/>
                </w:rPr>
                <w:t>Agreement Thereunder.</w:t>
              </w:r>
            </w:hyperlink>
          </w:p>
        </w:tc>
        <w:tc>
          <w:tcPr>
            <w:tcW w:w="3120" w:type="dxa"/>
            <w:vAlign w:val="bottom"/>
            <w:tcBorders>
              <w:top w:val="single" w:sz="8" w:color="0000EE"/>
            </w:tcBorders>
            <w:gridSpan w:val="3"/>
          </w:tcPr>
          <w:p>
            <w:pPr>
              <w:spacing w:after="0"/>
              <w:rPr>
                <w:sz w:val="15"/>
                <w:szCs w:val="15"/>
                <w:color w:val="auto"/>
              </w:rPr>
            </w:pPr>
          </w:p>
        </w:tc>
        <w:tc>
          <w:tcPr>
            <w:tcW w:w="660" w:type="dxa"/>
            <w:vAlign w:val="bottom"/>
            <w:gridSpan w:val="10"/>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10.11</w:t>
            </w:r>
          </w:p>
        </w:tc>
        <w:tc>
          <w:tcPr>
            <w:tcW w:w="60" w:type="dxa"/>
            <w:vAlign w:val="bottom"/>
          </w:tcPr>
          <w:p>
            <w:pPr>
              <w:spacing w:after="0"/>
              <w:rPr>
                <w:sz w:val="24"/>
                <w:szCs w:val="24"/>
                <w:color w:val="auto"/>
              </w:rPr>
            </w:pPr>
          </w:p>
        </w:tc>
        <w:tc>
          <w:tcPr>
            <w:tcW w:w="6380" w:type="dxa"/>
            <w:vAlign w:val="bottom"/>
            <w:gridSpan w:val="23"/>
          </w:tcPr>
          <w:p>
            <w:pPr>
              <w:spacing w:after="0"/>
              <w:rPr>
                <w:rFonts w:ascii="Arial" w:cs="Arial" w:eastAsia="Arial" w:hAnsi="Arial"/>
                <w:sz w:val="18"/>
                <w:szCs w:val="18"/>
                <w:color w:val="0000EE"/>
              </w:rPr>
            </w:pPr>
            <w:hyperlink r:id="rId377">
              <w:r>
                <w:rPr>
                  <w:rFonts w:ascii="Arial" w:cs="Arial" w:eastAsia="Arial" w:hAnsi="Arial"/>
                  <w:sz w:val="18"/>
                  <w:szCs w:val="18"/>
                  <w:color w:val="0000EE"/>
                </w:rPr>
                <w:t xml:space="preserve">Lease agreement, dated July 20, 2020, by and between the Registrant </w:t>
              </w:r>
            </w:hyperlink>
            <w:r>
              <w:rPr>
                <w:rFonts w:ascii="Arial" w:cs="Arial" w:eastAsia="Arial" w:hAnsi="Arial"/>
                <w:sz w:val="18"/>
                <w:szCs w:val="18"/>
                <w:color w:val="000000"/>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377">
              <w:r>
                <w:rPr>
                  <w:rFonts w:ascii="Arial" w:cs="Arial" w:eastAsia="Arial" w:hAnsi="Arial"/>
                  <w:sz w:val="18"/>
                  <w:szCs w:val="18"/>
                  <w:color w:val="0000EE"/>
                </w:rPr>
                <w:t>and North Creek Parkway Center Investors, LP</w:t>
              </w:r>
            </w:hyperlink>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330"/>
        </w:trPr>
        <w:tc>
          <w:tcPr>
            <w:tcW w:w="1400" w:type="dxa"/>
            <w:vAlign w:val="bottom"/>
          </w:tcPr>
          <w:p>
            <w:pPr>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24"/>
                <w:szCs w:val="24"/>
                <w:color w:val="auto"/>
              </w:rPr>
            </w:pPr>
          </w:p>
        </w:tc>
        <w:tc>
          <w:tcPr>
            <w:tcW w:w="374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Outside Director Compensation Policy</w:t>
              </w:r>
            </w:hyperlink>
          </w:p>
        </w:tc>
        <w:tc>
          <w:tcPr>
            <w:tcW w:w="1940" w:type="dxa"/>
            <w:vAlign w:val="bottom"/>
            <w:gridSpan w:val="11"/>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310"/>
        </w:trPr>
        <w:tc>
          <w:tcPr>
            <w:tcW w:w="1400" w:type="dxa"/>
            <w:vAlign w:val="bottom"/>
            <w:vMerge w:val="restart"/>
          </w:tcPr>
          <w:p>
            <w:pPr>
              <w:spacing w:after="0"/>
              <w:rPr>
                <w:sz w:val="20"/>
                <w:szCs w:val="20"/>
                <w:color w:val="auto"/>
              </w:rPr>
            </w:pPr>
            <w:r>
              <w:rPr>
                <w:rFonts w:ascii="Arial" w:cs="Arial" w:eastAsia="Arial" w:hAnsi="Arial"/>
                <w:sz w:val="18"/>
                <w:szCs w:val="18"/>
                <w:color w:val="auto"/>
              </w:rPr>
              <w:t>10.13+</w:t>
            </w:r>
          </w:p>
        </w:tc>
        <w:tc>
          <w:tcPr>
            <w:tcW w:w="5740" w:type="dxa"/>
            <w:vAlign w:val="bottom"/>
            <w:gridSpan w:val="23"/>
            <w:vMerge w:val="restart"/>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Executive Incentive Compensation Plan</w:t>
              </w:r>
            </w:hyperlink>
          </w:p>
        </w:tc>
        <w:tc>
          <w:tcPr>
            <w:tcW w:w="700" w:type="dxa"/>
            <w:vAlign w:val="bottom"/>
          </w:tcPr>
          <w:p>
            <w:pPr>
              <w:ind w:left="60"/>
              <w:spacing w:after="0"/>
              <w:rPr>
                <w:sz w:val="20"/>
                <w:szCs w:val="20"/>
                <w:color w:val="auto"/>
              </w:rPr>
            </w:pPr>
            <w:r>
              <w:rPr>
                <w:rFonts w:ascii="Arial" w:cs="Arial" w:eastAsia="Arial" w:hAnsi="Arial"/>
                <w:sz w:val="18"/>
                <w:szCs w:val="18"/>
                <w:color w:val="auto"/>
              </w:rPr>
              <w:t>S-1/A</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333-248428</w:t>
            </w: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10.13</w:t>
            </w:r>
          </w:p>
        </w:tc>
        <w:tc>
          <w:tcPr>
            <w:tcW w:w="1360" w:type="dxa"/>
            <w:vAlign w:val="bottom"/>
            <w:gridSpan w:val="2"/>
          </w:tcPr>
          <w:p>
            <w:pPr>
              <w:spacing w:after="0"/>
              <w:rPr>
                <w:sz w:val="20"/>
                <w:szCs w:val="20"/>
                <w:color w:val="auto"/>
              </w:rPr>
            </w:pPr>
            <w:r>
              <w:rPr>
                <w:rFonts w:ascii="Arial" w:cs="Arial" w:eastAsia="Arial" w:hAnsi="Arial"/>
                <w:sz w:val="18"/>
                <w:szCs w:val="18"/>
                <w:color w:val="auto"/>
              </w:rPr>
              <w:t>September 9,</w:t>
            </w: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5740" w:type="dxa"/>
            <w:vAlign w:val="bottom"/>
            <w:gridSpan w:val="23"/>
            <w:vMerge w:val="continue"/>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5300" w:type="dxa"/>
            <w:vAlign w:val="bottom"/>
            <w:tcBorders>
              <w:bottom w:val="single" w:sz="8" w:color="0000EE"/>
            </w:tcBorders>
            <w:gridSpan w:val="15"/>
          </w:tcPr>
          <w:p>
            <w:pPr>
              <w:spacing w:after="0"/>
              <w:rPr>
                <w:rFonts w:ascii="Arial" w:cs="Arial" w:eastAsia="Arial" w:hAnsi="Arial"/>
                <w:sz w:val="18"/>
                <w:szCs w:val="18"/>
                <w:color w:val="0000EE"/>
                <w:w w:val="99"/>
              </w:rPr>
            </w:pPr>
            <w:hyperlink r:id="rId380">
              <w:r>
                <w:rPr>
                  <w:rFonts w:ascii="Arial" w:cs="Arial" w:eastAsia="Arial" w:hAnsi="Arial"/>
                  <w:sz w:val="18"/>
                  <w:szCs w:val="18"/>
                  <w:color w:val="0000EE"/>
                  <w:w w:val="99"/>
                </w:rPr>
                <w:t>Confirmatory Employment Letter between the Registrant and Leen</w:t>
              </w:r>
            </w:hyperlink>
          </w:p>
        </w:tc>
        <w:tc>
          <w:tcPr>
            <w:tcW w:w="380" w:type="dxa"/>
            <w:vAlign w:val="bottom"/>
            <w:gridSpan w:val="7"/>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gridSpan w:val="22"/>
          </w:tcPr>
          <w:p>
            <w:pPr>
              <w:spacing w:after="0" w:line="182" w:lineRule="exact"/>
              <w:rPr>
                <w:rFonts w:ascii="Arial" w:cs="Arial" w:eastAsia="Arial" w:hAnsi="Arial"/>
                <w:sz w:val="18"/>
                <w:szCs w:val="18"/>
                <w:color w:val="0000EE"/>
              </w:rPr>
            </w:pPr>
            <w:hyperlink r:id="rId380">
              <w:r>
                <w:rPr>
                  <w:rFonts w:ascii="Arial" w:cs="Arial" w:eastAsia="Arial" w:hAnsi="Arial"/>
                  <w:sz w:val="18"/>
                  <w:szCs w:val="18"/>
                  <w:color w:val="0000EE"/>
                </w:rPr>
                <w:t>Kawas, Ph.D.</w:t>
              </w:r>
            </w:hyperlink>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5680" w:type="dxa"/>
            <w:vAlign w:val="bottom"/>
            <w:gridSpan w:val="22"/>
          </w:tcPr>
          <w:p>
            <w:pPr>
              <w:spacing w:after="0"/>
              <w:rPr>
                <w:rFonts w:ascii="Arial" w:cs="Arial" w:eastAsia="Arial" w:hAnsi="Arial"/>
                <w:sz w:val="18"/>
                <w:szCs w:val="18"/>
                <w:color w:val="0000EE"/>
              </w:rPr>
            </w:pPr>
            <w:hyperlink r:id="rId381">
              <w:r>
                <w:rPr>
                  <w:rFonts w:ascii="Arial" w:cs="Arial" w:eastAsia="Arial" w:hAnsi="Arial"/>
                  <w:sz w:val="18"/>
                  <w:szCs w:val="18"/>
                  <w:color w:val="0000EE"/>
                </w:rPr>
                <w:t>Confirmatory Employment Letter between the Registrant and Mark</w:t>
              </w:r>
            </w:hyperlink>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381">
              <w:r>
                <w:rPr>
                  <w:rFonts w:ascii="Arial" w:cs="Arial" w:eastAsia="Arial" w:hAnsi="Arial"/>
                  <w:sz w:val="18"/>
                  <w:szCs w:val="18"/>
                  <w:color w:val="0000EE"/>
                </w:rPr>
                <w:t>Litton, Ph.D.</w:t>
              </w:r>
            </w:hyperlink>
          </w:p>
        </w:tc>
        <w:tc>
          <w:tcPr>
            <w:tcW w:w="40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5340" w:type="dxa"/>
            <w:vAlign w:val="bottom"/>
            <w:tcBorders>
              <w:bottom w:val="single" w:sz="8" w:color="0000EE"/>
            </w:tcBorders>
            <w:gridSpan w:val="16"/>
          </w:tcPr>
          <w:p>
            <w:pPr>
              <w:spacing w:after="0"/>
              <w:rPr>
                <w:rFonts w:ascii="Arial" w:cs="Arial" w:eastAsia="Arial" w:hAnsi="Arial"/>
                <w:sz w:val="18"/>
                <w:szCs w:val="18"/>
                <w:color w:val="0000EE"/>
                <w:w w:val="99"/>
              </w:rPr>
            </w:pPr>
            <w:hyperlink r:id="rId382">
              <w:r>
                <w:rPr>
                  <w:rFonts w:ascii="Arial" w:cs="Arial" w:eastAsia="Arial" w:hAnsi="Arial"/>
                  <w:sz w:val="18"/>
                  <w:szCs w:val="18"/>
                  <w:color w:val="0000EE"/>
                  <w:w w:val="99"/>
                </w:rPr>
                <w:t>Confirmatory Employment Letter between the Registrant and Kevin</w:t>
              </w:r>
            </w:hyperlink>
          </w:p>
        </w:tc>
        <w:tc>
          <w:tcPr>
            <w:tcW w:w="340" w:type="dxa"/>
            <w:vAlign w:val="bottom"/>
            <w:gridSpan w:val="6"/>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gridSpan w:val="22"/>
          </w:tcPr>
          <w:p>
            <w:pPr>
              <w:spacing w:after="0" w:line="182" w:lineRule="exact"/>
              <w:rPr>
                <w:rFonts w:ascii="Arial" w:cs="Arial" w:eastAsia="Arial" w:hAnsi="Arial"/>
                <w:sz w:val="18"/>
                <w:szCs w:val="18"/>
                <w:color w:val="0000EE"/>
              </w:rPr>
            </w:pPr>
            <w:hyperlink r:id="rId382">
              <w:r>
                <w:rPr>
                  <w:rFonts w:ascii="Arial" w:cs="Arial" w:eastAsia="Arial" w:hAnsi="Arial"/>
                  <w:sz w:val="18"/>
                  <w:szCs w:val="18"/>
                  <w:color w:val="0000EE"/>
                </w:rPr>
                <w:t>Church, Ph.D.</w:t>
              </w:r>
            </w:hyperlink>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5680" w:type="dxa"/>
            <w:vAlign w:val="bottom"/>
            <w:gridSpan w:val="22"/>
          </w:tcPr>
          <w:p>
            <w:pPr>
              <w:spacing w:after="0"/>
              <w:rPr>
                <w:rFonts w:ascii="Arial" w:cs="Arial" w:eastAsia="Arial" w:hAnsi="Arial"/>
                <w:sz w:val="18"/>
                <w:szCs w:val="18"/>
                <w:color w:val="0000EE"/>
              </w:rPr>
            </w:pPr>
            <w:hyperlink r:id="rId383">
              <w:r>
                <w:rPr>
                  <w:rFonts w:ascii="Arial" w:cs="Arial" w:eastAsia="Arial" w:hAnsi="Arial"/>
                  <w:sz w:val="18"/>
                  <w:szCs w:val="18"/>
                  <w:color w:val="0000EE"/>
                </w:rPr>
                <w:t>Confirmatory Employment Letter between the Registrant and Glenna</w:t>
              </w:r>
            </w:hyperlink>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r:id="rId383">
              <w:r>
                <w:rPr>
                  <w:rFonts w:ascii="Arial" w:cs="Arial" w:eastAsia="Arial" w:hAnsi="Arial"/>
                  <w:sz w:val="18"/>
                  <w:szCs w:val="18"/>
                  <w:color w:val="0000EE"/>
                  <w:w w:val="96"/>
                </w:rPr>
                <w:t>Mileson</w:t>
              </w:r>
            </w:hyperlink>
          </w:p>
        </w:tc>
        <w:tc>
          <w:tcPr>
            <w:tcW w:w="4840" w:type="dxa"/>
            <w:vAlign w:val="bottom"/>
            <w:tcBorders>
              <w:top w:val="single" w:sz="8" w:color="0000EE"/>
            </w:tcBorders>
            <w:gridSpan w:val="16"/>
          </w:tcPr>
          <w:p>
            <w:pPr>
              <w:spacing w:after="0"/>
              <w:rPr>
                <w:sz w:val="15"/>
                <w:szCs w:val="15"/>
                <w:color w:val="auto"/>
              </w:rPr>
            </w:pPr>
          </w:p>
        </w:tc>
        <w:tc>
          <w:tcPr>
            <w:tcW w:w="22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24"/>
                <w:szCs w:val="24"/>
                <w:color w:val="auto"/>
              </w:rPr>
            </w:pPr>
          </w:p>
        </w:tc>
        <w:tc>
          <w:tcPr>
            <w:tcW w:w="5540" w:type="dxa"/>
            <w:vAlign w:val="bottom"/>
            <w:tcBorders>
              <w:bottom w:val="single" w:sz="8" w:color="0000EE"/>
            </w:tcBorders>
            <w:gridSpan w:val="20"/>
          </w:tcPr>
          <w:p>
            <w:pPr>
              <w:spacing w:after="0"/>
              <w:rPr>
                <w:rFonts w:ascii="Arial" w:cs="Arial" w:eastAsia="Arial" w:hAnsi="Arial"/>
                <w:sz w:val="18"/>
                <w:szCs w:val="18"/>
                <w:color w:val="0000EE"/>
                <w:w w:val="99"/>
              </w:rPr>
            </w:pPr>
            <w:hyperlink r:id="rId384">
              <w:r>
                <w:rPr>
                  <w:rFonts w:ascii="Arial" w:cs="Arial" w:eastAsia="Arial" w:hAnsi="Arial"/>
                  <w:sz w:val="18"/>
                  <w:szCs w:val="18"/>
                  <w:color w:val="0000EE"/>
                  <w:w w:val="99"/>
                </w:rPr>
                <w:t>Change in Control and Severance Agreement between the Registrant</w:t>
              </w:r>
            </w:hyperlink>
          </w:p>
        </w:tc>
        <w:tc>
          <w:tcPr>
            <w:tcW w:w="140" w:type="dxa"/>
            <w:vAlign w:val="bottom"/>
            <w:gridSpan w:val="2"/>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10.18</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gridSpan w:val="22"/>
          </w:tcPr>
          <w:p>
            <w:pPr>
              <w:spacing w:after="0" w:line="182" w:lineRule="exact"/>
              <w:rPr>
                <w:rFonts w:ascii="Arial" w:cs="Arial" w:eastAsia="Arial" w:hAnsi="Arial"/>
                <w:sz w:val="18"/>
                <w:szCs w:val="18"/>
                <w:color w:val="0000EE"/>
              </w:rPr>
            </w:pPr>
            <w:hyperlink r:id="rId384">
              <w:r>
                <w:rPr>
                  <w:rFonts w:ascii="Arial" w:cs="Arial" w:eastAsia="Arial" w:hAnsi="Arial"/>
                  <w:sz w:val="18"/>
                  <w:szCs w:val="18"/>
                  <w:color w:val="0000EE"/>
                </w:rPr>
                <w:t>and Leen Kawas, Ph.D.</w:t>
              </w:r>
            </w:hyperlink>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24"/>
                <w:szCs w:val="24"/>
                <w:color w:val="auto"/>
              </w:rPr>
            </w:pPr>
          </w:p>
        </w:tc>
        <w:tc>
          <w:tcPr>
            <w:tcW w:w="5540" w:type="dxa"/>
            <w:vAlign w:val="bottom"/>
            <w:tcBorders>
              <w:bottom w:val="single" w:sz="8" w:color="0000EE"/>
            </w:tcBorders>
            <w:gridSpan w:val="20"/>
          </w:tcPr>
          <w:p>
            <w:pPr>
              <w:spacing w:after="0"/>
              <w:rPr>
                <w:rFonts w:ascii="Arial" w:cs="Arial" w:eastAsia="Arial" w:hAnsi="Arial"/>
                <w:sz w:val="18"/>
                <w:szCs w:val="18"/>
                <w:color w:val="0000EE"/>
                <w:w w:val="99"/>
              </w:rPr>
            </w:pPr>
            <w:hyperlink r:id="rId385">
              <w:r>
                <w:rPr>
                  <w:rFonts w:ascii="Arial" w:cs="Arial" w:eastAsia="Arial" w:hAnsi="Arial"/>
                  <w:sz w:val="18"/>
                  <w:szCs w:val="18"/>
                  <w:color w:val="0000EE"/>
                  <w:w w:val="99"/>
                </w:rPr>
                <w:t>Change in Control and Severance Agreement between the Registrant</w:t>
              </w:r>
            </w:hyperlink>
          </w:p>
        </w:tc>
        <w:tc>
          <w:tcPr>
            <w:tcW w:w="140" w:type="dxa"/>
            <w:vAlign w:val="bottom"/>
            <w:gridSpan w:val="2"/>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10.19</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gridSpan w:val="22"/>
          </w:tcPr>
          <w:p>
            <w:pPr>
              <w:spacing w:after="0" w:line="182" w:lineRule="exact"/>
              <w:rPr>
                <w:rFonts w:ascii="Arial" w:cs="Arial" w:eastAsia="Arial" w:hAnsi="Arial"/>
                <w:sz w:val="18"/>
                <w:szCs w:val="18"/>
                <w:color w:val="0000EE"/>
              </w:rPr>
            </w:pPr>
            <w:hyperlink r:id="rId385">
              <w:r>
                <w:rPr>
                  <w:rFonts w:ascii="Arial" w:cs="Arial" w:eastAsia="Arial" w:hAnsi="Arial"/>
                  <w:sz w:val="18"/>
                  <w:szCs w:val="18"/>
                  <w:color w:val="0000EE"/>
                </w:rPr>
                <w:t>and Mark Litton, Ph.D.</w:t>
              </w:r>
            </w:hyperlink>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0" w:type="dxa"/>
            <w:vAlign w:val="bottom"/>
            <w:gridSpan w:val="7"/>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24"/>
                <w:szCs w:val="24"/>
                <w:color w:val="auto"/>
              </w:rPr>
            </w:pPr>
          </w:p>
        </w:tc>
        <w:tc>
          <w:tcPr>
            <w:tcW w:w="5540" w:type="dxa"/>
            <w:vAlign w:val="bottom"/>
            <w:tcBorders>
              <w:bottom w:val="single" w:sz="8" w:color="0000EE"/>
            </w:tcBorders>
            <w:gridSpan w:val="20"/>
          </w:tcPr>
          <w:p>
            <w:pPr>
              <w:spacing w:after="0"/>
              <w:rPr>
                <w:rFonts w:ascii="Arial" w:cs="Arial" w:eastAsia="Arial" w:hAnsi="Arial"/>
                <w:sz w:val="18"/>
                <w:szCs w:val="18"/>
                <w:color w:val="0000EE"/>
                <w:w w:val="99"/>
              </w:rPr>
            </w:pPr>
            <w:hyperlink r:id="rId386">
              <w:r>
                <w:rPr>
                  <w:rFonts w:ascii="Arial" w:cs="Arial" w:eastAsia="Arial" w:hAnsi="Arial"/>
                  <w:sz w:val="18"/>
                  <w:szCs w:val="18"/>
                  <w:color w:val="0000EE"/>
                  <w:w w:val="99"/>
                </w:rPr>
                <w:t>Change in Control and Severance Agreement between the Registrant</w:t>
              </w:r>
            </w:hyperlink>
          </w:p>
        </w:tc>
        <w:tc>
          <w:tcPr>
            <w:tcW w:w="140" w:type="dxa"/>
            <w:vAlign w:val="bottom"/>
            <w:gridSpan w:val="2"/>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10.20</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r:id="rId386">
              <w:r>
                <w:rPr>
                  <w:rFonts w:ascii="Arial" w:cs="Arial" w:eastAsia="Arial" w:hAnsi="Arial"/>
                  <w:sz w:val="18"/>
                  <w:szCs w:val="18"/>
                  <w:color w:val="0000EE"/>
                  <w:w w:val="98"/>
                </w:rPr>
                <w:t>and Glenna Mileson</w:t>
              </w:r>
            </w:hyperlink>
          </w:p>
        </w:tc>
        <w:tc>
          <w:tcPr>
            <w:tcW w:w="4080" w:type="dxa"/>
            <w:vAlign w:val="bottom"/>
            <w:gridSpan w:val="16"/>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24"/>
                <w:szCs w:val="24"/>
                <w:color w:val="auto"/>
              </w:rPr>
            </w:pPr>
          </w:p>
        </w:tc>
        <w:tc>
          <w:tcPr>
            <w:tcW w:w="5680" w:type="dxa"/>
            <w:vAlign w:val="bottom"/>
            <w:gridSpan w:val="22"/>
          </w:tcPr>
          <w:p>
            <w:pPr>
              <w:spacing w:after="0"/>
              <w:rPr>
                <w:rFonts w:ascii="Arial" w:cs="Arial" w:eastAsia="Arial" w:hAnsi="Arial"/>
                <w:sz w:val="18"/>
                <w:szCs w:val="18"/>
                <w:color w:val="0000EE"/>
              </w:rPr>
            </w:pPr>
            <w:hyperlink r:id="rId387">
              <w:r>
                <w:rPr>
                  <w:rFonts w:ascii="Arial" w:cs="Arial" w:eastAsia="Arial" w:hAnsi="Arial"/>
                  <w:sz w:val="18"/>
                  <w:szCs w:val="18"/>
                  <w:color w:val="0000EE"/>
                </w:rPr>
                <w:t>Employment Offer Letter between the Registrant and Hans Moebius,</w:t>
              </w:r>
            </w:hyperlink>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10.21</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387">
              <w:r>
                <w:rPr>
                  <w:rFonts w:ascii="Arial" w:cs="Arial" w:eastAsia="Arial" w:hAnsi="Arial"/>
                  <w:sz w:val="18"/>
                  <w:szCs w:val="18"/>
                  <w:color w:val="0000EE"/>
                </w:rPr>
                <w:t>Ph.D.</w:t>
              </w:r>
            </w:hyperlink>
          </w:p>
        </w:tc>
        <w:tc>
          <w:tcPr>
            <w:tcW w:w="24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14, 2020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364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24"/>
                <w:szCs w:val="24"/>
                <w:color w:val="auto"/>
              </w:rPr>
            </w:pPr>
          </w:p>
        </w:tc>
        <w:tc>
          <w:tcPr>
            <w:tcW w:w="5540" w:type="dxa"/>
            <w:vAlign w:val="bottom"/>
            <w:tcBorders>
              <w:bottom w:val="single" w:sz="8" w:color="0000EE"/>
            </w:tcBorders>
            <w:gridSpan w:val="20"/>
          </w:tcPr>
          <w:p>
            <w:pPr>
              <w:spacing w:after="0"/>
              <w:rPr>
                <w:rFonts w:ascii="Arial" w:cs="Arial" w:eastAsia="Arial" w:hAnsi="Arial"/>
                <w:sz w:val="18"/>
                <w:szCs w:val="18"/>
                <w:color w:val="0000EE"/>
                <w:w w:val="99"/>
              </w:rPr>
            </w:pPr>
            <w:hyperlink r:id="rId388">
              <w:r>
                <w:rPr>
                  <w:rFonts w:ascii="Arial" w:cs="Arial" w:eastAsia="Arial" w:hAnsi="Arial"/>
                  <w:sz w:val="18"/>
                  <w:szCs w:val="18"/>
                  <w:color w:val="0000EE"/>
                  <w:w w:val="99"/>
                </w:rPr>
                <w:t>Change in Control and Severance Agreement between the Registrant</w:t>
              </w:r>
            </w:hyperlink>
          </w:p>
        </w:tc>
        <w:tc>
          <w:tcPr>
            <w:tcW w:w="140" w:type="dxa"/>
            <w:vAlign w:val="bottom"/>
            <w:gridSpan w:val="2"/>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10.22</w:t>
            </w: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80" w:type="dxa"/>
            <w:vAlign w:val="bottom"/>
            <w:gridSpan w:val="22"/>
          </w:tcPr>
          <w:p>
            <w:pPr>
              <w:spacing w:after="0" w:line="182" w:lineRule="exact"/>
              <w:rPr>
                <w:rFonts w:ascii="Arial" w:cs="Arial" w:eastAsia="Arial" w:hAnsi="Arial"/>
                <w:sz w:val="18"/>
                <w:szCs w:val="18"/>
                <w:color w:val="0000EE"/>
              </w:rPr>
            </w:pPr>
            <w:hyperlink r:id="rId388">
              <w:r>
                <w:rPr>
                  <w:rFonts w:ascii="Arial" w:cs="Arial" w:eastAsia="Arial" w:hAnsi="Arial"/>
                  <w:sz w:val="18"/>
                  <w:szCs w:val="18"/>
                  <w:color w:val="0000EE"/>
                </w:rPr>
                <w:t>and Hans Moebius, Ph.D.</w:t>
              </w:r>
            </w:hyperlink>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0"/>
              <w:spacing w:after="0" w:line="182" w:lineRule="exact"/>
              <w:rPr>
                <w:sz w:val="20"/>
                <w:szCs w:val="20"/>
                <w:color w:val="auto"/>
              </w:rPr>
            </w:pPr>
            <w:r>
              <w:rPr>
                <w:rFonts w:ascii="Arial" w:cs="Arial" w:eastAsia="Arial" w:hAnsi="Arial"/>
                <w:sz w:val="18"/>
                <w:szCs w:val="18"/>
                <w:color w:val="auto"/>
              </w:rPr>
              <w:t>14, 2020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10"/>
            <w:shd w:val="clear" w:color="auto" w:fill="0000EE"/>
          </w:tcPr>
          <w:p>
            <w:pPr>
              <w:spacing w:after="0" w:line="20" w:lineRule="exact"/>
              <w:rPr>
                <w:sz w:val="1"/>
                <w:szCs w:val="1"/>
                <w:color w:val="auto"/>
              </w:rPr>
            </w:pPr>
          </w:p>
        </w:tc>
        <w:tc>
          <w:tcPr>
            <w:tcW w:w="364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400" w:type="dxa"/>
            <w:vAlign w:val="bottom"/>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5680" w:type="dxa"/>
            <w:vAlign w:val="bottom"/>
            <w:gridSpan w:val="22"/>
          </w:tcPr>
          <w:p>
            <w:pPr>
              <w:spacing w:after="0"/>
              <w:rPr>
                <w:rFonts w:ascii="Arial" w:cs="Arial" w:eastAsia="Arial" w:hAnsi="Arial"/>
                <w:sz w:val="18"/>
                <w:szCs w:val="18"/>
                <w:u w:val="single" w:color="auto"/>
                <w:color w:val="0000EE"/>
              </w:rPr>
            </w:pPr>
            <w:hyperlink r:id="rId389">
              <w:r>
                <w:rPr>
                  <w:rFonts w:ascii="Arial" w:cs="Arial" w:eastAsia="Arial" w:hAnsi="Arial"/>
                  <w:sz w:val="18"/>
                  <w:szCs w:val="18"/>
                  <w:u w:val="single" w:color="auto"/>
                  <w:color w:val="0000EE"/>
                </w:rPr>
                <w:t>List of subsidiaries of the Registrant</w:t>
              </w:r>
            </w:hyperlink>
          </w:p>
        </w:tc>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333-248428</w:t>
            </w:r>
          </w:p>
        </w:tc>
        <w:tc>
          <w:tcPr>
            <w:tcW w:w="400" w:type="dxa"/>
            <w:vAlign w:val="bottom"/>
          </w:tcPr>
          <w:p>
            <w:pPr>
              <w:ind w:left="20"/>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w w:val="97"/>
              </w:rPr>
              <w:t>September</w:t>
            </w: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9, 2020</w:t>
            </w: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4"/>
                <w:szCs w:val="24"/>
                <w:color w:val="auto"/>
              </w:rPr>
            </w:pPr>
          </w:p>
        </w:tc>
        <w:tc>
          <w:tcPr>
            <w:tcW w:w="5680" w:type="dxa"/>
            <w:vAlign w:val="bottom"/>
            <w:gridSpan w:val="22"/>
          </w:tcPr>
          <w:p>
            <w:pPr>
              <w:spacing w:after="0"/>
              <w:rPr>
                <w:sz w:val="20"/>
                <w:szCs w:val="20"/>
                <w:color w:val="auto"/>
              </w:rPr>
            </w:pPr>
            <w:r>
              <w:rPr>
                <w:rFonts w:ascii="Arial" w:cs="Arial" w:eastAsia="Arial" w:hAnsi="Arial"/>
                <w:sz w:val="18"/>
                <w:szCs w:val="18"/>
                <w:color w:val="auto"/>
              </w:rPr>
              <w:t>Consent of Ernst and Young, LLP, Independent Registered Public</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gridSpan w:val="22"/>
          </w:tcPr>
          <w:p>
            <w:pPr>
              <w:spacing w:after="0"/>
              <w:rPr>
                <w:sz w:val="20"/>
                <w:szCs w:val="20"/>
                <w:color w:val="auto"/>
              </w:rPr>
            </w:pPr>
            <w:r>
              <w:rPr>
                <w:rFonts w:ascii="Arial" w:cs="Arial" w:eastAsia="Arial" w:hAnsi="Arial"/>
                <w:sz w:val="18"/>
                <w:szCs w:val="18"/>
                <w:color w:val="auto"/>
              </w:rPr>
              <w:t>Accounting Firm</w:t>
            </w: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400" w:type="dxa"/>
            <w:vAlign w:val="bottom"/>
          </w:tcPr>
          <w:p>
            <w:pPr>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24"/>
                <w:szCs w:val="24"/>
                <w:color w:val="auto"/>
              </w:rPr>
            </w:pPr>
          </w:p>
        </w:tc>
        <w:tc>
          <w:tcPr>
            <w:tcW w:w="5680" w:type="dxa"/>
            <w:vAlign w:val="bottom"/>
            <w:gridSpan w:val="22"/>
          </w:tcPr>
          <w:p>
            <w:pPr>
              <w:spacing w:after="0"/>
              <w:rPr>
                <w:sz w:val="20"/>
                <w:szCs w:val="20"/>
                <w:color w:val="auto"/>
              </w:rPr>
            </w:pPr>
            <w:r>
              <w:rPr>
                <w:rFonts w:ascii="Arial" w:cs="Arial" w:eastAsia="Arial" w:hAnsi="Arial"/>
                <w:sz w:val="18"/>
                <w:szCs w:val="18"/>
                <w:color w:val="auto"/>
                <w:w w:val="99"/>
              </w:rPr>
              <w:t>Consent of Wilson Sonsini Goodrich &amp; Rosati, Professional Corporation</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gridSpan w:val="22"/>
          </w:tcPr>
          <w:p>
            <w:pPr>
              <w:spacing w:after="0"/>
              <w:rPr>
                <w:sz w:val="20"/>
                <w:szCs w:val="20"/>
                <w:color w:val="auto"/>
              </w:rPr>
            </w:pPr>
            <w:r>
              <w:rPr>
                <w:rFonts w:ascii="Arial" w:cs="Arial" w:eastAsia="Arial" w:hAnsi="Arial"/>
                <w:sz w:val="18"/>
                <w:szCs w:val="18"/>
                <w:color w:val="auto"/>
              </w:rPr>
              <w:t>(included in Exhibit 5.1)</w:t>
            </w: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4"/>
                <w:szCs w:val="24"/>
                <w:color w:val="auto"/>
              </w:rPr>
            </w:pPr>
          </w:p>
        </w:tc>
        <w:tc>
          <w:tcPr>
            <w:tcW w:w="5680" w:type="dxa"/>
            <w:vAlign w:val="bottom"/>
            <w:gridSpan w:val="22"/>
          </w:tcPr>
          <w:p>
            <w:pPr>
              <w:spacing w:after="0"/>
              <w:rPr>
                <w:sz w:val="20"/>
                <w:szCs w:val="20"/>
                <w:color w:val="auto"/>
              </w:rPr>
            </w:pPr>
            <w:r>
              <w:rPr>
                <w:rFonts w:ascii="Arial" w:cs="Arial" w:eastAsia="Arial" w:hAnsi="Arial"/>
                <w:sz w:val="18"/>
                <w:szCs w:val="18"/>
                <w:color w:val="auto"/>
              </w:rPr>
              <w:t>Power of Attorney (included in page II-8 herein)</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80" w:hanging="472"/>
        <w:spacing w:after="0"/>
        <w:tabs>
          <w:tab w:leader="none" w:pos="48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w:t>
      </w:r>
    </w:p>
    <w:p>
      <w:pPr>
        <w:spacing w:after="0" w:line="42" w:lineRule="exact"/>
        <w:rPr>
          <w:sz w:val="20"/>
          <w:szCs w:val="20"/>
          <w:color w:val="auto"/>
        </w:rPr>
      </w:pPr>
    </w:p>
    <w:p>
      <w:pPr>
        <w:ind w:left="480" w:right="760" w:hanging="472"/>
        <w:spacing w:after="0" w:line="258" w:lineRule="auto"/>
        <w:tabs>
          <w:tab w:leader="none" w:pos="48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Pursuant to Item 601(b)(10) of Regulation S-K, certain portions of this exhibit have been omitted by means of marking such portions with asterisks because the Registrant has determined that the information is not material and would likely cause competitive harm to the Registrant if publicly disclosed.</w:t>
      </w:r>
    </w:p>
    <w:p>
      <w:pPr>
        <w:spacing w:after="0" w:line="18" w:lineRule="exact"/>
        <w:rPr>
          <w:sz w:val="20"/>
          <w:szCs w:val="20"/>
          <w:color w:val="auto"/>
        </w:rPr>
      </w:pPr>
    </w:p>
    <w:p>
      <w:pPr>
        <w:ind w:left="480" w:hanging="472"/>
        <w:spacing w:after="0"/>
        <w:tabs>
          <w:tab w:leader="none" w:pos="48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256" w:name="page257"/>
    <w:bookmarkEnd w:id="256"/>
    <w:p>
      <w:pPr>
        <w:jc w:val="center"/>
        <w:ind w:right="60"/>
        <w:spacing w:after="0"/>
        <w:rPr>
          <w:sz w:val="20"/>
          <w:szCs w:val="20"/>
          <w:color w:val="auto"/>
        </w:rPr>
      </w:pPr>
      <w:r>
        <w:rPr>
          <w:rFonts w:ascii="Arial" w:cs="Arial" w:eastAsia="Arial" w:hAnsi="Arial"/>
          <w:sz w:val="18"/>
          <w:szCs w:val="18"/>
          <w:color w:val="auto"/>
        </w:rPr>
        <w:t>Confidential Treatment Requested by Athira Pharma, Inc.</w:t>
      </w:r>
    </w:p>
    <w:p>
      <w:pPr>
        <w:jc w:val="center"/>
        <w:spacing w:after="0"/>
        <w:rPr>
          <w:sz w:val="20"/>
          <w:szCs w:val="20"/>
          <w:color w:val="auto"/>
        </w:rPr>
      </w:pPr>
      <w:r>
        <w:rPr>
          <w:rFonts w:ascii="Arial" w:cs="Arial" w:eastAsia="Arial" w:hAnsi="Arial"/>
          <w:sz w:val="18"/>
          <w:szCs w:val="18"/>
          <w:color w:val="auto"/>
        </w:rPr>
        <w:t>Pursuant to 17 C.F.R. Section 200.83</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26" w:lineRule="exact"/>
        <w:rPr>
          <w:sz w:val="20"/>
          <w:szCs w:val="20"/>
          <w:color w:val="auto"/>
        </w:rPr>
      </w:pPr>
    </w:p>
    <w:p>
      <w:pPr>
        <w:ind w:right="360" w:firstLine="576"/>
        <w:spacing w:after="0" w:line="24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6"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ind w:left="1000" w:hanging="425"/>
        <w:spacing w:after="0" w:line="238" w:lineRule="auto"/>
        <w:tabs>
          <w:tab w:leader="none" w:pos="10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6" w:lineRule="exact"/>
        <w:rPr>
          <w:rFonts w:ascii="Arial" w:cs="Arial" w:eastAsia="Arial" w:hAnsi="Arial"/>
          <w:sz w:val="18"/>
          <w:szCs w:val="18"/>
          <w:color w:val="auto"/>
        </w:rPr>
      </w:pPr>
    </w:p>
    <w:p>
      <w:pPr>
        <w:ind w:left="1000" w:right="100" w:hanging="425"/>
        <w:spacing w:after="0"/>
        <w:tabs>
          <w:tab w:leader="none" w:pos="10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7" w:name="page258"/>
    <w:bookmarkEnd w:id="257"/>
    <w:p>
      <w:pPr>
        <w:jc w:val="center"/>
        <w:ind w:right="-39"/>
        <w:spacing w:after="0"/>
        <w:rPr>
          <w:sz w:val="20"/>
          <w:szCs w:val="20"/>
          <w:color w:val="auto"/>
        </w:rPr>
      </w:pPr>
      <w:r>
        <w:rPr>
          <w:rFonts w:ascii="Arial" w:cs="Arial" w:eastAsia="Arial" w:hAnsi="Arial"/>
          <w:sz w:val="18"/>
          <w:szCs w:val="18"/>
          <w:color w:val="auto"/>
        </w:rPr>
        <w:t>Confidential Treatment Requested by Athira Pharma, Inc.</w:t>
      </w:r>
    </w:p>
    <w:p>
      <w:pPr>
        <w:jc w:val="center"/>
        <w:ind w:right="-79"/>
        <w:spacing w:after="0"/>
        <w:rPr>
          <w:sz w:val="20"/>
          <w:szCs w:val="20"/>
          <w:color w:val="auto"/>
        </w:rPr>
      </w:pPr>
      <w:r>
        <w:rPr>
          <w:rFonts w:ascii="Arial" w:cs="Arial" w:eastAsia="Arial" w:hAnsi="Arial"/>
          <w:sz w:val="18"/>
          <w:szCs w:val="18"/>
          <w:color w:val="auto"/>
        </w:rPr>
        <w:t>Pursuant to 17 C.F.R. Section 200.83</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w:t>
      </w:r>
    </w:p>
    <w:tbl>
      <w:tblPr>
        <w:tblLayout w:type="fixed"/>
        <w:tblInd w:w="0" w:type="dxa"/>
        <w:tblCellMar>
          <w:top w:w="0" w:type="dxa"/>
          <w:left w:w="0" w:type="dxa"/>
          <w:bottom w:w="0" w:type="dxa"/>
          <w:right w:w="0" w:type="dxa"/>
        </w:tblCellMar>
      </w:tblPr>
      <w:tr>
        <w:trPr>
          <w:trHeight w:val="217"/>
        </w:trPr>
        <w:tc>
          <w:tcPr>
            <w:tcW w:w="8740" w:type="dxa"/>
            <w:vAlign w:val="bottom"/>
          </w:tcPr>
          <w:p>
            <w:pPr>
              <w:spacing w:after="0"/>
              <w:rPr>
                <w:sz w:val="20"/>
                <w:szCs w:val="20"/>
                <w:color w:val="auto"/>
              </w:rPr>
            </w:pPr>
            <w:r>
              <w:rPr>
                <w:rFonts w:ascii="Arial" w:cs="Arial" w:eastAsia="Arial" w:hAnsi="Arial"/>
                <w:sz w:val="18"/>
                <w:szCs w:val="18"/>
                <w:color w:val="auto"/>
              </w:rPr>
              <w:t>its behalf by the undersigned, thereunto duly authorized, in the City of Seattle, State of Washington, on</w:t>
            </w:r>
          </w:p>
        </w:tc>
        <w:tc>
          <w:tcPr>
            <w:tcW w:w="11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ATHIRA PHARMA, INC.</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6350</wp:posOffset>
            </wp:positionV>
            <wp:extent cx="31889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Leen Kawas</w:t>
      </w:r>
    </w:p>
    <w:p>
      <w:pPr>
        <w:ind w:left="6220"/>
        <w:spacing w:after="0"/>
        <w:rPr>
          <w:sz w:val="20"/>
          <w:szCs w:val="20"/>
          <w:color w:val="auto"/>
        </w:rPr>
      </w:pPr>
      <w:r>
        <w:rPr>
          <w:rFonts w:ascii="Arial" w:cs="Arial" w:eastAsia="Arial" w:hAnsi="Arial"/>
          <w:sz w:val="18"/>
          <w:szCs w:val="18"/>
          <w:color w:val="auto"/>
        </w:rPr>
        <w:t>President and Chief Executive Officer</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KNOW ALL PERSONS BY THESE PRESENTS, that each person whose individual signature appears below hereby authorizes and appoints Leen Kawas and Glenna Mileson,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on Form S-1, and to file the same, with all exhibits thereto, and all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08" w:lineRule="exact"/>
        <w:rPr>
          <w:sz w:val="20"/>
          <w:szCs w:val="20"/>
          <w:color w:val="auto"/>
        </w:rPr>
      </w:pPr>
    </w:p>
    <w:p>
      <w:pPr>
        <w:ind w:right="40" w:firstLine="576"/>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5260" w:type="dxa"/>
            <w:vAlign w:val="bottom"/>
          </w:tcPr>
          <w:p>
            <w:pPr>
              <w:ind w:left="2760"/>
              <w:spacing w:after="0"/>
              <w:rPr>
                <w:sz w:val="20"/>
                <w:szCs w:val="20"/>
                <w:color w:val="auto"/>
              </w:rPr>
            </w:pPr>
            <w:r>
              <w:rPr>
                <w:rFonts w:ascii="Arial" w:cs="Arial" w:eastAsia="Arial" w:hAnsi="Arial"/>
                <w:sz w:val="14"/>
                <w:szCs w:val="14"/>
                <w:b w:val="1"/>
                <w:bCs w:val="1"/>
                <w:color w:val="auto"/>
              </w:rPr>
              <w:t>Title</w:t>
            </w:r>
          </w:p>
        </w:tc>
        <w:tc>
          <w:tcPr>
            <w:tcW w:w="2160" w:type="dxa"/>
            <w:vAlign w:val="bottom"/>
          </w:tcPr>
          <w:p>
            <w:pPr>
              <w:jc w:val="right"/>
              <w:ind w:right="292"/>
              <w:spacing w:after="0"/>
              <w:rPr>
                <w:sz w:val="20"/>
                <w:szCs w:val="20"/>
                <w:color w:val="auto"/>
              </w:rPr>
            </w:pPr>
            <w:r>
              <w:rPr>
                <w:rFonts w:ascii="Arial" w:cs="Arial" w:eastAsia="Arial" w:hAnsi="Arial"/>
                <w:sz w:val="14"/>
                <w:szCs w:val="14"/>
                <w:b w:val="1"/>
                <w:bCs w:val="1"/>
                <w:color w:val="auto"/>
              </w:rPr>
              <w:t>Date</w:t>
            </w:r>
          </w:p>
        </w:tc>
      </w:tr>
      <w:tr>
        <w:trPr>
          <w:trHeight w:val="323"/>
        </w:trPr>
        <w:tc>
          <w:tcPr>
            <w:tcW w:w="3280" w:type="dxa"/>
            <w:vAlign w:val="bottom"/>
            <w:tcBorders>
              <w:bottom w:val="single" w:sz="8" w:color="auto"/>
            </w:tcBorders>
          </w:tcPr>
          <w:p>
            <w:pPr>
              <w:spacing w:after="0"/>
              <w:rPr>
                <w:sz w:val="24"/>
                <w:szCs w:val="24"/>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President, Chief Executive Officer and 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5"/>
        </w:trPr>
        <w:tc>
          <w:tcPr>
            <w:tcW w:w="3280" w:type="dxa"/>
            <w:vAlign w:val="bottom"/>
          </w:tcPr>
          <w:p>
            <w:pPr>
              <w:jc w:val="center"/>
              <w:spacing w:after="0"/>
              <w:rPr>
                <w:sz w:val="20"/>
                <w:szCs w:val="20"/>
                <w:color w:val="auto"/>
              </w:rPr>
            </w:pPr>
            <w:r>
              <w:rPr>
                <w:rFonts w:ascii="Arial" w:cs="Arial" w:eastAsia="Arial" w:hAnsi="Arial"/>
                <w:sz w:val="18"/>
                <w:szCs w:val="18"/>
                <w:color w:val="auto"/>
              </w:rPr>
              <w:t>Leen Kawas</w:t>
            </w:r>
          </w:p>
        </w:tc>
        <w:tc>
          <w:tcPr>
            <w:tcW w:w="526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2160" w:type="dxa"/>
            <w:vAlign w:val="bottom"/>
          </w:tcPr>
          <w:p>
            <w:pPr>
              <w:spacing w:after="0"/>
              <w:rPr>
                <w:sz w:val="18"/>
                <w:szCs w:val="18"/>
                <w:color w:val="auto"/>
              </w:rPr>
            </w:pPr>
          </w:p>
        </w:tc>
      </w:tr>
      <w:tr>
        <w:trPr>
          <w:trHeight w:val="332"/>
        </w:trPr>
        <w:tc>
          <w:tcPr>
            <w:tcW w:w="3280" w:type="dxa"/>
            <w:vAlign w:val="bottom"/>
            <w:tcBorders>
              <w:bottom w:val="single" w:sz="8" w:color="auto"/>
            </w:tcBorders>
          </w:tcPr>
          <w:p>
            <w:pPr>
              <w:spacing w:after="0"/>
              <w:rPr>
                <w:sz w:val="24"/>
                <w:szCs w:val="24"/>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21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5"/>
        </w:trPr>
        <w:tc>
          <w:tcPr>
            <w:tcW w:w="3280" w:type="dxa"/>
            <w:vAlign w:val="bottom"/>
          </w:tcPr>
          <w:p>
            <w:pPr>
              <w:jc w:val="center"/>
              <w:spacing w:after="0"/>
              <w:rPr>
                <w:sz w:val="20"/>
                <w:szCs w:val="20"/>
                <w:color w:val="auto"/>
              </w:rPr>
            </w:pPr>
            <w:r>
              <w:rPr>
                <w:rFonts w:ascii="Arial" w:cs="Arial" w:eastAsia="Arial" w:hAnsi="Arial"/>
                <w:sz w:val="18"/>
                <w:szCs w:val="18"/>
                <w:color w:val="auto"/>
                <w:w w:val="99"/>
              </w:rPr>
              <w:t>Glenna Mileson</w:t>
            </w:r>
          </w:p>
        </w:tc>
        <w:tc>
          <w:tcPr>
            <w:tcW w:w="526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2160" w:type="dxa"/>
            <w:vAlign w:val="bottom"/>
          </w:tcPr>
          <w:p>
            <w:pPr>
              <w:spacing w:after="0"/>
              <w:rPr>
                <w:sz w:val="18"/>
                <w:szCs w:val="18"/>
                <w:color w:val="auto"/>
              </w:rPr>
            </w:pPr>
          </w:p>
        </w:tc>
      </w:tr>
      <w:tr>
        <w:trPr>
          <w:trHeight w:val="332"/>
        </w:trPr>
        <w:tc>
          <w:tcPr>
            <w:tcW w:w="3280" w:type="dxa"/>
            <w:vAlign w:val="bottom"/>
            <w:tcBorders>
              <w:bottom w:val="single" w:sz="8" w:color="auto"/>
            </w:tcBorders>
          </w:tcPr>
          <w:p>
            <w:pPr>
              <w:spacing w:after="0"/>
              <w:rPr>
                <w:sz w:val="24"/>
                <w:szCs w:val="24"/>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0"/>
        </w:trPr>
        <w:tc>
          <w:tcPr>
            <w:tcW w:w="3280" w:type="dxa"/>
            <w:vAlign w:val="bottom"/>
          </w:tcPr>
          <w:p>
            <w:pPr>
              <w:jc w:val="center"/>
              <w:spacing w:after="0"/>
              <w:rPr>
                <w:sz w:val="20"/>
                <w:szCs w:val="20"/>
                <w:color w:val="auto"/>
              </w:rPr>
            </w:pPr>
            <w:r>
              <w:rPr>
                <w:rFonts w:ascii="Arial" w:cs="Arial" w:eastAsia="Arial" w:hAnsi="Arial"/>
                <w:sz w:val="18"/>
                <w:szCs w:val="18"/>
                <w:color w:val="auto"/>
                <w:w w:val="97"/>
              </w:rPr>
              <w:t>Tadataka Yamada</w:t>
            </w:r>
          </w:p>
        </w:tc>
        <w:tc>
          <w:tcPr>
            <w:tcW w:w="52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4"/>
                <w:szCs w:val="24"/>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0"/>
        </w:trPr>
        <w:tc>
          <w:tcPr>
            <w:tcW w:w="3280" w:type="dxa"/>
            <w:vAlign w:val="bottom"/>
          </w:tcPr>
          <w:p>
            <w:pPr>
              <w:jc w:val="center"/>
              <w:spacing w:after="0"/>
              <w:rPr>
                <w:sz w:val="20"/>
                <w:szCs w:val="20"/>
                <w:color w:val="auto"/>
              </w:rPr>
            </w:pPr>
            <w:r>
              <w:rPr>
                <w:rFonts w:ascii="Arial" w:cs="Arial" w:eastAsia="Arial" w:hAnsi="Arial"/>
                <w:sz w:val="18"/>
                <w:szCs w:val="18"/>
                <w:color w:val="auto"/>
                <w:w w:val="99"/>
              </w:rPr>
              <w:t>Joseph Edelman</w:t>
            </w:r>
          </w:p>
        </w:tc>
        <w:tc>
          <w:tcPr>
            <w:tcW w:w="52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4"/>
                <w:szCs w:val="24"/>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0"/>
        </w:trPr>
        <w:tc>
          <w:tcPr>
            <w:tcW w:w="3280" w:type="dxa"/>
            <w:vAlign w:val="bottom"/>
          </w:tcPr>
          <w:p>
            <w:pPr>
              <w:jc w:val="center"/>
              <w:spacing w:after="0"/>
              <w:rPr>
                <w:sz w:val="20"/>
                <w:szCs w:val="20"/>
                <w:color w:val="auto"/>
              </w:rPr>
            </w:pPr>
            <w:r>
              <w:rPr>
                <w:rFonts w:ascii="Arial" w:cs="Arial" w:eastAsia="Arial" w:hAnsi="Arial"/>
                <w:sz w:val="18"/>
                <w:szCs w:val="18"/>
                <w:color w:val="auto"/>
                <w:w w:val="99"/>
              </w:rPr>
              <w:t>John M. Fluke, Jr.</w:t>
            </w:r>
          </w:p>
        </w:tc>
        <w:tc>
          <w:tcPr>
            <w:tcW w:w="52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4"/>
                <w:szCs w:val="24"/>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0"/>
        </w:trPr>
        <w:tc>
          <w:tcPr>
            <w:tcW w:w="3280" w:type="dxa"/>
            <w:vAlign w:val="bottom"/>
          </w:tcPr>
          <w:p>
            <w:pPr>
              <w:jc w:val="center"/>
              <w:spacing w:after="0"/>
              <w:rPr>
                <w:sz w:val="20"/>
                <w:szCs w:val="20"/>
                <w:color w:val="auto"/>
              </w:rPr>
            </w:pPr>
            <w:r>
              <w:rPr>
                <w:rFonts w:ascii="Arial" w:cs="Arial" w:eastAsia="Arial" w:hAnsi="Arial"/>
                <w:sz w:val="18"/>
                <w:szCs w:val="18"/>
                <w:color w:val="auto"/>
                <w:w w:val="99"/>
              </w:rPr>
              <w:t>James A. Johnson</w:t>
            </w:r>
          </w:p>
        </w:tc>
        <w:tc>
          <w:tcPr>
            <w:tcW w:w="52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37"/>
        </w:trPr>
        <w:tc>
          <w:tcPr>
            <w:tcW w:w="3280" w:type="dxa"/>
            <w:vAlign w:val="bottom"/>
            <w:tcBorders>
              <w:bottom w:val="single" w:sz="8" w:color="auto"/>
            </w:tcBorders>
          </w:tcPr>
          <w:p>
            <w:pPr>
              <w:spacing w:after="0"/>
              <w:rPr>
                <w:sz w:val="24"/>
                <w:szCs w:val="24"/>
                <w:color w:val="auto"/>
              </w:rPr>
            </w:pPr>
          </w:p>
        </w:tc>
        <w:tc>
          <w:tcPr>
            <w:tcW w:w="5260" w:type="dxa"/>
            <w:vAlign w:val="bottom"/>
          </w:tcPr>
          <w:p>
            <w:pPr>
              <w:ind w:left="60"/>
              <w:spacing w:after="0"/>
              <w:rPr>
                <w:sz w:val="20"/>
                <w:szCs w:val="20"/>
                <w:color w:val="auto"/>
              </w:rPr>
            </w:pPr>
            <w:r>
              <w:rPr>
                <w:rFonts w:ascii="Arial" w:cs="Arial" w:eastAsia="Arial" w:hAnsi="Arial"/>
                <w:sz w:val="18"/>
                <w:szCs w:val="18"/>
                <w:color w:val="auto"/>
              </w:rPr>
              <w:t>Director</w:t>
            </w:r>
          </w:p>
        </w:tc>
        <w:tc>
          <w:tcPr>
            <w:tcW w:w="216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210"/>
        </w:trPr>
        <w:tc>
          <w:tcPr>
            <w:tcW w:w="3280" w:type="dxa"/>
            <w:vAlign w:val="bottom"/>
          </w:tcPr>
          <w:p>
            <w:pPr>
              <w:jc w:val="center"/>
              <w:spacing w:after="0"/>
              <w:rPr>
                <w:sz w:val="20"/>
                <w:szCs w:val="20"/>
                <w:color w:val="auto"/>
              </w:rPr>
            </w:pPr>
            <w:r>
              <w:rPr>
                <w:rFonts w:ascii="Arial" w:cs="Arial" w:eastAsia="Arial" w:hAnsi="Arial"/>
                <w:sz w:val="18"/>
                <w:szCs w:val="18"/>
                <w:color w:val="auto"/>
                <w:w w:val="99"/>
              </w:rPr>
              <w:t>Kelly A. Romano</w:t>
            </w:r>
          </w:p>
        </w:tc>
        <w:tc>
          <w:tcPr>
            <w:tcW w:w="526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II-8</w:t>
      </w:r>
    </w:p>
    <w:sectPr>
      <w:pgSz w:w="11900" w:h="16838" w:orient="portrait"/>
      <w:cols w:equalWidth="0" w:num="1">
        <w:col w:w="11160"/>
      </w:cols>
      <w:pgMar w:left="320" w:top="13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1)"/>
      <w:numFmt w:val="decimal"/>
      <w:start w:val="1"/>
    </w:lvl>
  </w:abstractNum>
  <w:abstractNum w:abstractNumId="1">
    <w:nsid w:val="57FC4FBB"/>
    <w:multiLevelType w:val="hybridMultilevel"/>
    <w:lvl w:ilvl="0">
      <w:lvlJc w:val="left"/>
      <w:lvlText w:val="(%1)"/>
      <w:numFmt w:val="decimal"/>
      <w:start w:val="1"/>
    </w:lvl>
  </w:abstractNum>
  <w:abstractNum w:abstractNumId="2">
    <w:nsid w:val="CC1016F"/>
    <w:multiLevelType w:val="hybridMultilevel"/>
    <w:lvl w:ilvl="0">
      <w:lvlJc w:val="left"/>
      <w:lvlText w:val="(%1)"/>
      <w:numFmt w:val="decimal"/>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1)"/>
      <w:numFmt w:val="decimal"/>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1)"/>
      <w:numFmt w:val="decimal"/>
      <w:start w:val="2"/>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
      <w:numFmt w:val="bullet"/>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
      <w:numFmt w:val="bullet"/>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
      <w:numFmt w:val="bullet"/>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
      <w:numFmt w:val="bullet"/>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
      <w:numFmt w:val="bullet"/>
      <w:start w:val="1"/>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
      <w:numFmt w:val="bullet"/>
      <w:start w:val="1"/>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
      <w:numFmt w:val="bullet"/>
      <w:start w:val="1"/>
    </w:lvl>
  </w:abstractNum>
  <w:abstractNum w:abstractNumId="54">
    <w:nsid w:val="4C9B0904"/>
    <w:multiLevelType w:val="hybridMultilevel"/>
    <w:lvl w:ilvl="0">
      <w:lvlJc w:val="left"/>
      <w:lvlText w:val="•"/>
      <w:numFmt w:val="bullet"/>
      <w:start w:val="1"/>
    </w:lvl>
  </w:abstractNum>
  <w:abstractNum w:abstractNumId="55">
    <w:nsid w:val="6AA7B75C"/>
    <w:multiLevelType w:val="hybridMultilevel"/>
    <w:lvl w:ilvl="0">
      <w:lvlJc w:val="left"/>
      <w:lvlText w:val="•"/>
      <w:numFmt w:val="bullet"/>
      <w:start w:val="1"/>
    </w:lvl>
  </w:abstractNum>
  <w:abstractNum w:abstractNumId="56">
    <w:nsid w:val="1DF029D3"/>
    <w:multiLevelType w:val="hybridMultilevel"/>
    <w:lvl w:ilvl="0">
      <w:lvlJc w:val="left"/>
      <w:lvlText w:val="(%1)"/>
      <w:numFmt w:val="decimal"/>
      <w:start w:val="1"/>
    </w:lvl>
  </w:abstractNum>
  <w:abstractNum w:abstractNumId="57">
    <w:nsid w:val="5675FF36"/>
    <w:multiLevelType w:val="hybridMultilevel"/>
    <w:lvl w:ilvl="0">
      <w:lvlJc w:val="left"/>
      <w:lvlText w:val="•"/>
      <w:numFmt w:val="bullet"/>
      <w:start w:val="1"/>
    </w:lvl>
  </w:abstractNum>
  <w:abstractNum w:abstractNumId="58">
    <w:nsid w:val="3DD15094"/>
    <w:multiLevelType w:val="hybridMultilevel"/>
    <w:lvl w:ilvl="0">
      <w:lvlJc w:val="left"/>
      <w:lvlText w:val="$"/>
      <w:numFmt w:val="bullet"/>
      <w:start w:val="1"/>
    </w:lvl>
  </w:abstractNum>
  <w:abstractNum w:abstractNumId="59">
    <w:nsid w:val="3DB012B3"/>
    <w:multiLevelType w:val="hybridMultilevel"/>
    <w:lvl w:ilvl="0">
      <w:lvlJc w:val="left"/>
      <w:lvlText w:val="•"/>
      <w:numFmt w:val="bullet"/>
      <w:start w:val="1"/>
    </w:lvl>
  </w:abstractNum>
  <w:abstractNum w:abstractNumId="60">
    <w:nsid w:val="2708C9AF"/>
    <w:multiLevelType w:val="hybridMultilevel"/>
    <w:lvl w:ilvl="0">
      <w:lvlJc w:val="left"/>
      <w:lvlText w:val="(%1)"/>
      <w:numFmt w:val="decimal"/>
      <w:start w:val="1"/>
    </w:lvl>
  </w:abstractNum>
  <w:abstractNum w:abstractNumId="61">
    <w:nsid w:val="5B25ACE2"/>
    <w:multiLevelType w:val="hybridMultilevel"/>
    <w:lvl w:ilvl="0">
      <w:lvlJc w:val="left"/>
      <w:lvlText w:val="(%1)"/>
      <w:numFmt w:val="decimal"/>
      <w:start w:val="1"/>
    </w:lvl>
  </w:abstractNum>
  <w:abstractNum w:abstractNumId="62">
    <w:nsid w:val="175DFCF0"/>
    <w:multiLevelType w:val="hybridMultilevel"/>
    <w:lvl w:ilvl="0">
      <w:lvlJc w:val="left"/>
      <w:lvlText w:val="(%1)"/>
      <w:numFmt w:val="decimal"/>
      <w:start w:val="1"/>
    </w:lvl>
  </w:abstractNum>
  <w:abstractNum w:abstractNumId="63">
    <w:nsid w:val="4F97E3E4"/>
    <w:multiLevelType w:val="hybridMultilevel"/>
    <w:lvl w:ilvl="0">
      <w:lvlJc w:val="left"/>
      <w:lvlText w:val="•"/>
      <w:numFmt w:val="bullet"/>
      <w:start w:val="1"/>
    </w:lvl>
  </w:abstractNum>
  <w:abstractNum w:abstractNumId="64">
    <w:nsid w:val="53B0A9E"/>
    <w:multiLevelType w:val="hybridMultilevel"/>
    <w:lvl w:ilvl="0">
      <w:lvlJc w:val="left"/>
      <w:lvlText w:val="•"/>
      <w:numFmt w:val="bullet"/>
      <w:start w:val="1"/>
    </w:lvl>
  </w:abstractNum>
  <w:abstractNum w:abstractNumId="65">
    <w:nsid w:val="34FD6B4F"/>
    <w:multiLevelType w:val="hybridMultilevel"/>
    <w:lvl w:ilvl="0">
      <w:lvlJc w:val="left"/>
      <w:lvlText w:val="•"/>
      <w:numFmt w:val="bullet"/>
      <w:start w:val="1"/>
    </w:lvl>
  </w:abstractNum>
  <w:abstractNum w:abstractNumId="66">
    <w:nsid w:val="5915FF32"/>
    <w:multiLevelType w:val="hybridMultilevel"/>
    <w:lvl w:ilvl="0">
      <w:lvlJc w:val="left"/>
      <w:lvlText w:val="*"/>
      <w:numFmt w:val="bullet"/>
      <w:start w:val="1"/>
    </w:lvl>
  </w:abstractNum>
  <w:abstractNum w:abstractNumId="67">
    <w:nsid w:val="56438D15"/>
    <w:multiLevelType w:val="hybridMultilevel"/>
    <w:lvl w:ilvl="0">
      <w:lvlJc w:val="left"/>
      <w:lvlText w:val="*"/>
      <w:numFmt w:val="bullet"/>
      <w:start w:val="1"/>
    </w:lvl>
  </w:abstractNum>
  <w:abstractNum w:abstractNumId="68">
    <w:nsid w:val="519E3149"/>
    <w:multiLevelType w:val="hybridMultilevel"/>
    <w:lvl w:ilvl="0">
      <w:lvlJc w:val="left"/>
      <w:lvlText w:val="•"/>
      <w:numFmt w:val="bullet"/>
      <w:start w:val="1"/>
    </w:lvl>
  </w:abstractNum>
  <w:abstractNum w:abstractNumId="69">
    <w:nsid w:val="2C6E4AFD"/>
    <w:multiLevelType w:val="hybridMultilevel"/>
    <w:lvl w:ilvl="0">
      <w:lvlJc w:val="left"/>
      <w:lvlText w:val="•"/>
      <w:numFmt w:val="bullet"/>
      <w:start w:val="1"/>
    </w:lvl>
  </w:abstractNum>
  <w:abstractNum w:abstractNumId="70">
    <w:nsid w:val="17A1B582"/>
    <w:multiLevelType w:val="hybridMultilevel"/>
    <w:lvl w:ilvl="0">
      <w:lvlJc w:val="left"/>
      <w:lvlText w:val="•"/>
      <w:numFmt w:val="bullet"/>
      <w:start w:val="1"/>
    </w:lvl>
  </w:abstractNum>
  <w:abstractNum w:abstractNumId="71">
    <w:nsid w:val="4DF72E4E"/>
    <w:multiLevelType w:val="hybridMultilevel"/>
    <w:lvl w:ilvl="0">
      <w:lvlJc w:val="left"/>
      <w:lvlText w:val="•"/>
      <w:numFmt w:val="bullet"/>
      <w:start w:val="1"/>
    </w:lvl>
  </w:abstractNum>
  <w:abstractNum w:abstractNumId="72">
    <w:nsid w:val="5046B5A9"/>
    <w:multiLevelType w:val="hybridMultilevel"/>
    <w:lvl w:ilvl="0">
      <w:lvlJc w:val="left"/>
      <w:lvlText w:val="•"/>
      <w:numFmt w:val="bullet"/>
      <w:start w:val="1"/>
    </w:lvl>
  </w:abstractNum>
  <w:abstractNum w:abstractNumId="73">
    <w:nsid w:val="5D888A08"/>
    <w:multiLevelType w:val="hybridMultilevel"/>
    <w:lvl w:ilvl="0">
      <w:lvlJc w:val="left"/>
      <w:lvlText w:val="•"/>
      <w:numFmt w:val="bullet"/>
      <w:start w:val="1"/>
    </w:lvl>
  </w:abstractNum>
  <w:abstractNum w:abstractNumId="74">
    <w:nsid w:val="2A082C70"/>
    <w:multiLevelType w:val="hybridMultilevel"/>
    <w:lvl w:ilvl="0">
      <w:lvlJc w:val="left"/>
      <w:lvlText w:val="(%1)"/>
      <w:numFmt w:val="decimal"/>
      <w:start w:val="1"/>
    </w:lvl>
  </w:abstractNum>
  <w:abstractNum w:abstractNumId="75">
    <w:nsid w:val="5EC6AFD4"/>
    <w:multiLevelType w:val="hybridMultilevel"/>
    <w:lvl w:ilvl="0">
      <w:lvlJc w:val="left"/>
      <w:lvlText w:val="•"/>
      <w:numFmt w:val="bullet"/>
      <w:start w:val="1"/>
    </w:lvl>
  </w:abstractNum>
  <w:abstractNum w:abstractNumId="76">
    <w:nsid w:val="19E21BB2"/>
    <w:multiLevelType w:val="hybridMultilevel"/>
    <w:lvl w:ilvl="0">
      <w:lvlJc w:val="left"/>
      <w:lvlText w:val="•"/>
      <w:numFmt w:val="bullet"/>
      <w:start w:val="1"/>
    </w:lvl>
  </w:abstractNum>
  <w:abstractNum w:abstractNumId="77">
    <w:nsid w:val="75E0858A"/>
    <w:multiLevelType w:val="hybridMultilevel"/>
    <w:lvl w:ilvl="0">
      <w:lvlJc w:val="left"/>
      <w:lvlText w:val="•"/>
      <w:numFmt w:val="bullet"/>
      <w:start w:val="1"/>
    </w:lvl>
  </w:abstractNum>
  <w:abstractNum w:abstractNumId="78">
    <w:nsid w:val="57A61A29"/>
    <w:multiLevelType w:val="hybridMultilevel"/>
    <w:lvl w:ilvl="0">
      <w:lvlJc w:val="left"/>
      <w:lvlText w:val="•"/>
      <w:numFmt w:val="bullet"/>
      <w:start w:val="1"/>
    </w:lvl>
  </w:abstractNum>
  <w:abstractNum w:abstractNumId="79">
    <w:nsid w:val="5399C654"/>
    <w:multiLevelType w:val="hybridMultilevel"/>
    <w:lvl w:ilvl="0">
      <w:lvlJc w:val="left"/>
      <w:lvlText w:val="•"/>
      <w:numFmt w:val="bullet"/>
      <w:start w:val="1"/>
    </w:lvl>
  </w:abstractNum>
  <w:abstractNum w:abstractNumId="80">
    <w:nsid w:val="20EE1348"/>
    <w:multiLevelType w:val="hybridMultilevel"/>
    <w:lvl w:ilvl="0">
      <w:lvlJc w:val="left"/>
      <w:lvlText w:val="•"/>
      <w:numFmt w:val="bullet"/>
      <w:start w:val="1"/>
    </w:lvl>
  </w:abstractNum>
  <w:abstractNum w:abstractNumId="81">
    <w:nsid w:val="4427069A"/>
    <w:multiLevelType w:val="hybridMultilevel"/>
    <w:lvl w:ilvl="0">
      <w:lvlJc w:val="left"/>
      <w:lvlText w:val="•"/>
      <w:numFmt w:val="bullet"/>
      <w:start w:val="1"/>
    </w:lvl>
  </w:abstractNum>
  <w:abstractNum w:abstractNumId="82">
    <w:nsid w:val="B37E80A"/>
    <w:multiLevelType w:val="hybridMultilevel"/>
    <w:lvl w:ilvl="0">
      <w:lvlJc w:val="left"/>
      <w:lvlText w:val="•"/>
      <w:numFmt w:val="bullet"/>
      <w:start w:val="1"/>
    </w:lvl>
  </w:abstractNum>
  <w:abstractNum w:abstractNumId="83">
    <w:nsid w:val="2157F6BC"/>
    <w:multiLevelType w:val="hybridMultilevel"/>
    <w:lvl w:ilvl="0">
      <w:lvlJc w:val="left"/>
      <w:lvlText w:val="•"/>
      <w:numFmt w:val="bullet"/>
      <w:start w:val="1"/>
    </w:lvl>
  </w:abstractNum>
  <w:abstractNum w:abstractNumId="84">
    <w:nsid w:val="704E1DD5"/>
    <w:multiLevelType w:val="hybridMultilevel"/>
    <w:lvl w:ilvl="0">
      <w:lvlJc w:val="left"/>
      <w:lvlText w:val="•"/>
      <w:numFmt w:val="bullet"/>
      <w:start w:val="1"/>
    </w:lvl>
  </w:abstractNum>
  <w:abstractNum w:abstractNumId="85">
    <w:nsid w:val="57D2F10E"/>
    <w:multiLevelType w:val="hybridMultilevel"/>
    <w:lvl w:ilvl="0">
      <w:lvlJc w:val="left"/>
      <w:lvlText w:val="•"/>
      <w:numFmt w:val="bullet"/>
      <w:start w:val="1"/>
    </w:lvl>
  </w:abstractNum>
  <w:abstractNum w:abstractNumId="86">
    <w:nsid w:val="BFFAE18"/>
    <w:multiLevelType w:val="hybridMultilevel"/>
    <w:lvl w:ilvl="0">
      <w:lvlJc w:val="left"/>
      <w:lvlText w:val="•"/>
      <w:numFmt w:val="bullet"/>
      <w:start w:val="1"/>
    </w:lvl>
  </w:abstractNum>
  <w:abstractNum w:abstractNumId="87">
    <w:nsid w:val="E3E47A8"/>
    <w:multiLevelType w:val="hybridMultilevel"/>
    <w:lvl w:ilvl="0">
      <w:lvlJc w:val="left"/>
      <w:lvlText w:val="•"/>
      <w:numFmt w:val="bullet"/>
      <w:start w:val="1"/>
    </w:lvl>
  </w:abstractNum>
  <w:abstractNum w:abstractNumId="88">
    <w:nsid w:val="2E48F044"/>
    <w:multiLevelType w:val="hybridMultilevel"/>
    <w:lvl w:ilvl="0">
      <w:lvlJc w:val="left"/>
      <w:lvlText w:val="•"/>
      <w:numFmt w:val="bullet"/>
      <w:start w:val="1"/>
    </w:lvl>
  </w:abstractNum>
  <w:abstractNum w:abstractNumId="89">
    <w:nsid w:val="49D0FEAC"/>
    <w:multiLevelType w:val="hybridMultilevel"/>
    <w:lvl w:ilvl="0">
      <w:lvlJc w:val="left"/>
      <w:lvlText w:val="•"/>
      <w:numFmt w:val="bullet"/>
      <w:start w:val="1"/>
    </w:lvl>
  </w:abstractNum>
  <w:abstractNum w:abstractNumId="90">
    <w:nsid w:val="4BEE5A5B"/>
    <w:multiLevelType w:val="hybridMultilevel"/>
    <w:lvl w:ilvl="0">
      <w:lvlJc w:val="left"/>
      <w:lvlText w:val="•"/>
      <w:numFmt w:val="bullet"/>
      <w:start w:val="1"/>
    </w:lvl>
  </w:abstractNum>
  <w:abstractNum w:abstractNumId="91">
    <w:nsid w:val="5551B9F3"/>
    <w:multiLevelType w:val="hybridMultilevel"/>
    <w:lvl w:ilvl="0">
      <w:lvlJc w:val="left"/>
      <w:lvlText w:val="(%1)"/>
      <w:numFmt w:val="decimal"/>
      <w:start w:val="1"/>
    </w:lvl>
  </w:abstractNum>
  <w:abstractNum w:abstractNumId="92">
    <w:nsid w:val="24F6AB8E"/>
    <w:multiLevelType w:val="hybridMultilevel"/>
    <w:lvl w:ilvl="0">
      <w:lvlJc w:val="left"/>
      <w:lvlText w:val="•"/>
      <w:numFmt w:val="bullet"/>
      <w:start w:val="1"/>
    </w:lvl>
  </w:abstractNum>
  <w:abstractNum w:abstractNumId="93">
    <w:nsid w:val="634C574C"/>
    <w:multiLevelType w:val="hybridMultilevel"/>
    <w:lvl w:ilvl="0">
      <w:lvlJc w:val="left"/>
      <w:lvlText w:val="•"/>
      <w:numFmt w:val="bullet"/>
      <w:start w:val="1"/>
    </w:lvl>
  </w:abstractNum>
  <w:abstractNum w:abstractNumId="94">
    <w:nsid w:val="24E99DD7"/>
    <w:multiLevelType w:val="hybridMultilevel"/>
    <w:lvl w:ilvl="0">
      <w:lvlJc w:val="left"/>
      <w:lvlText w:val="•"/>
      <w:numFmt w:val="bullet"/>
      <w:start w:val="1"/>
    </w:lvl>
  </w:abstractNum>
  <w:abstractNum w:abstractNumId="95">
    <w:nsid w:val="2A31B62D"/>
    <w:multiLevelType w:val="hybridMultilevel"/>
    <w:lvl w:ilvl="0">
      <w:lvlJc w:val="left"/>
      <w:lvlText w:val="•"/>
      <w:numFmt w:val="bullet"/>
      <w:start w:val="1"/>
    </w:lvl>
  </w:abstractNum>
  <w:abstractNum w:abstractNumId="96">
    <w:nsid w:val="1849C29B"/>
    <w:multiLevelType w:val="hybridMultilevel"/>
    <w:lvl w:ilvl="0">
      <w:lvlJc w:val="left"/>
      <w:lvlText w:val="(%1)"/>
      <w:numFmt w:val="decimal"/>
      <w:start w:val="1"/>
    </w:lvl>
  </w:abstractNum>
  <w:abstractNum w:abstractNumId="97">
    <w:nsid w:val="7DFF9D09"/>
    <w:multiLevelType w:val="hybridMultilevel"/>
    <w:lvl w:ilvl="0">
      <w:lvlJc w:val="left"/>
      <w:lvlText w:val="•"/>
      <w:numFmt w:val="bullet"/>
      <w:start w:val="1"/>
    </w:lvl>
  </w:abstractNum>
  <w:abstractNum w:abstractNumId="98">
    <w:nsid w:val="754342"/>
    <w:multiLevelType w:val="hybridMultilevel"/>
    <w:lvl w:ilvl="0">
      <w:lvlJc w:val="left"/>
      <w:lvlText w:val="•"/>
      <w:numFmt w:val="bullet"/>
      <w:start w:val="1"/>
    </w:lvl>
  </w:abstractNum>
  <w:abstractNum w:abstractNumId="99">
    <w:nsid w:val="69E7F3E5"/>
    <w:multiLevelType w:val="hybridMultilevel"/>
    <w:lvl w:ilvl="0">
      <w:lvlJc w:val="left"/>
      <w:lvlText w:val="•"/>
      <w:numFmt w:val="bullet"/>
      <w:start w:val="1"/>
    </w:lvl>
  </w:abstractNum>
  <w:abstractNum w:abstractNumId="100">
    <w:nsid w:val="2A6DE806"/>
    <w:multiLevelType w:val="hybridMultilevel"/>
    <w:lvl w:ilvl="0">
      <w:lvlJc w:val="left"/>
      <w:lvlText w:val="(%1)"/>
      <w:numFmt w:val="decimal"/>
      <w:start w:val="1"/>
    </w:lvl>
  </w:abstractNum>
  <w:abstractNum w:abstractNumId="101">
    <w:nsid w:val="1816F8C4"/>
    <w:multiLevelType w:val="hybridMultilevel"/>
    <w:lvl w:ilvl="0">
      <w:lvlJc w:val="left"/>
      <w:lvlText w:val="(%1)"/>
      <w:numFmt w:val="decimal"/>
      <w:start w:val="1"/>
    </w:lvl>
  </w:abstractNum>
  <w:abstractNum w:abstractNumId="102">
    <w:nsid w:val="37DF2233"/>
    <w:multiLevelType w:val="hybridMultilevel"/>
    <w:lvl w:ilvl="0">
      <w:lvlJc w:val="left"/>
      <w:lvlText w:val="•"/>
      <w:numFmt w:val="bullet"/>
      <w:start w:val="1"/>
    </w:lvl>
  </w:abstractNum>
  <w:abstractNum w:abstractNumId="103">
    <w:nsid w:val="7AB49DAF"/>
    <w:multiLevelType w:val="hybridMultilevel"/>
    <w:lvl w:ilvl="0">
      <w:lvlJc w:val="left"/>
      <w:lvlText w:val="•"/>
      <w:numFmt w:val="bullet"/>
      <w:start w:val="1"/>
    </w:lvl>
  </w:abstractNum>
  <w:abstractNum w:abstractNumId="104">
    <w:nsid w:val="759F82CD"/>
    <w:multiLevelType w:val="hybridMultilevel"/>
    <w:lvl w:ilvl="0">
      <w:lvlJc w:val="left"/>
      <w:lvlText w:val="•"/>
      <w:numFmt w:val="bullet"/>
      <w:start w:val="1"/>
    </w:lvl>
  </w:abstractNum>
  <w:abstractNum w:abstractNumId="105">
    <w:nsid w:val="61E74EA3"/>
    <w:multiLevelType w:val="hybridMultilevel"/>
    <w:lvl w:ilvl="0">
      <w:lvlJc w:val="left"/>
      <w:lvlText w:val="•"/>
      <w:numFmt w:val="bullet"/>
      <w:start w:val="1"/>
    </w:lvl>
  </w:abstractNum>
  <w:abstractNum w:abstractNumId="106">
    <w:nsid w:val="597B4D84"/>
    <w:multiLevelType w:val="hybridMultilevel"/>
    <w:lvl w:ilvl="0">
      <w:lvlJc w:val="left"/>
      <w:lvlText w:val="•"/>
      <w:numFmt w:val="bullet"/>
      <w:start w:val="1"/>
    </w:lvl>
  </w:abstractNum>
  <w:abstractNum w:abstractNumId="107">
    <w:nsid w:val="F819E7F"/>
    <w:multiLevelType w:val="hybridMultilevel"/>
    <w:lvl w:ilvl="0">
      <w:lvlJc w:val="left"/>
      <w:lvlText w:val="•"/>
      <w:numFmt w:val="bullet"/>
      <w:start w:val="1"/>
    </w:lvl>
  </w:abstractNum>
  <w:abstractNum w:abstractNumId="108">
    <w:nsid w:val="57C7D42D"/>
    <w:multiLevelType w:val="hybridMultilevel"/>
    <w:lvl w:ilvl="0">
      <w:lvlJc w:val="left"/>
      <w:lvlText w:val="•"/>
      <w:numFmt w:val="bullet"/>
      <w:start w:val="1"/>
    </w:lvl>
  </w:abstractNum>
  <w:abstractNum w:abstractNumId="109">
    <w:nsid w:val="312167AD"/>
    <w:multiLevelType w:val="hybridMultilevel"/>
    <w:lvl w:ilvl="0">
      <w:lvlJc w:val="left"/>
      <w:lvlText w:val="•"/>
      <w:numFmt w:val="bullet"/>
      <w:start w:val="1"/>
    </w:lvl>
  </w:abstractNum>
  <w:abstractNum w:abstractNumId="110">
    <w:nsid w:val="631B64D4"/>
    <w:multiLevelType w:val="hybridMultilevel"/>
    <w:lvl w:ilvl="0">
      <w:lvlJc w:val="left"/>
      <w:lvlText w:val="(%1)"/>
      <w:numFmt w:val="decimal"/>
      <w:start w:val="1"/>
    </w:lvl>
  </w:abstractNum>
  <w:abstractNum w:abstractNumId="111">
    <w:nsid w:val="78B5E776"/>
    <w:multiLevelType w:val="hybridMultilevel"/>
    <w:lvl w:ilvl="0">
      <w:lvlJc w:val="left"/>
      <w:lvlText w:val="•"/>
      <w:numFmt w:val="bullet"/>
      <w:start w:val="1"/>
    </w:lvl>
  </w:abstractNum>
  <w:abstractNum w:abstractNumId="112">
    <w:nsid w:val="75486E47"/>
    <w:multiLevelType w:val="hybridMultilevel"/>
    <w:lvl w:ilvl="0">
      <w:lvlJc w:val="left"/>
      <w:lvlText w:val="•"/>
      <w:numFmt w:val="bullet"/>
      <w:start w:val="1"/>
    </w:lvl>
  </w:abstractNum>
  <w:abstractNum w:abstractNumId="113">
    <w:nsid w:val="6E534CDE"/>
    <w:multiLevelType w:val="hybridMultilevel"/>
    <w:lvl w:ilvl="0">
      <w:lvlJc w:val="left"/>
      <w:lvlText w:val="•"/>
      <w:numFmt w:val="bullet"/>
      <w:start w:val="1"/>
    </w:lvl>
  </w:abstractNum>
  <w:abstractNum w:abstractNumId="114">
    <w:nsid w:val="1A0DDE32"/>
    <w:multiLevelType w:val="hybridMultilevel"/>
    <w:lvl w:ilvl="0">
      <w:lvlJc w:val="left"/>
      <w:lvlText w:val="*"/>
      <w:numFmt w:val="bullet"/>
      <w:start w:val="1"/>
    </w:lvl>
  </w:abstractNum>
  <w:abstractNum w:abstractNumId="115">
    <w:nsid w:val="65968C1C"/>
    <w:multiLevelType w:val="hybridMultilevel"/>
    <w:lvl w:ilvl="0">
      <w:lvlJc w:val="left"/>
      <w:lvlText w:val="(%1)"/>
      <w:numFmt w:val="decimal"/>
      <w:start w:val="1"/>
    </w:lvl>
  </w:abstractNum>
  <w:abstractNum w:abstractNumId="116">
    <w:nsid w:val="46263DEC"/>
    <w:multiLevelType w:val="hybridMultilevel"/>
    <w:lvl w:ilvl="0">
      <w:lvlJc w:val="left"/>
      <w:lvlText w:val="(%1)"/>
      <w:numFmt w:val="decimal"/>
      <w:start w:val="6"/>
    </w:lvl>
  </w:abstractNum>
  <w:abstractNum w:abstractNumId="117">
    <w:nsid w:val="260D8C4A"/>
    <w:multiLevelType w:val="hybridMultilevel"/>
    <w:lvl w:ilvl="0">
      <w:lvlJc w:val="left"/>
      <w:lvlText w:val="•"/>
      <w:numFmt w:val="bullet"/>
      <w:start w:val="1"/>
    </w:lvl>
  </w:abstractNum>
  <w:abstractNum w:abstractNumId="118">
    <w:nsid w:val="73D4D3C4"/>
    <w:multiLevelType w:val="hybridMultilevel"/>
    <w:lvl w:ilvl="0">
      <w:lvlJc w:val="left"/>
      <w:lvlText w:val="•"/>
      <w:numFmt w:val="bullet"/>
      <w:start w:val="1"/>
    </w:lvl>
  </w:abstractNum>
  <w:abstractNum w:abstractNumId="119">
    <w:nsid w:val="746F2E30"/>
    <w:multiLevelType w:val="hybridMultilevel"/>
    <w:lvl w:ilvl="0">
      <w:lvlJc w:val="left"/>
      <w:lvlText w:val="•"/>
      <w:numFmt w:val="bullet"/>
      <w:start w:val="1"/>
    </w:lvl>
  </w:abstractNum>
  <w:abstractNum w:abstractNumId="120">
    <w:nsid w:val="6FDE8AF6"/>
    <w:multiLevelType w:val="hybridMultilevel"/>
    <w:lvl w:ilvl="0">
      <w:lvlJc w:val="left"/>
      <w:lvlText w:val="•"/>
      <w:numFmt w:val="bullet"/>
      <w:start w:val="1"/>
    </w:lvl>
  </w:abstractNum>
  <w:abstractNum w:abstractNumId="121">
    <w:nsid w:val="3FC32E20"/>
    <w:multiLevelType w:val="hybridMultilevel"/>
    <w:lvl w:ilvl="0">
      <w:lvlJc w:val="left"/>
      <w:lvlText w:val="•"/>
      <w:numFmt w:val="bullet"/>
      <w:start w:val="1"/>
    </w:lvl>
  </w:abstractNum>
  <w:abstractNum w:abstractNumId="122">
    <w:nsid w:val="49C0E823"/>
    <w:multiLevelType w:val="hybridMultilevel"/>
    <w:lvl w:ilvl="0">
      <w:lvlJc w:val="left"/>
      <w:lvlText w:val="•"/>
      <w:numFmt w:val="bullet"/>
      <w:start w:val="1"/>
    </w:lvl>
  </w:abstractNum>
  <w:abstractNum w:abstractNumId="123">
    <w:nsid w:val="14D53685"/>
    <w:multiLevelType w:val="hybridMultilevel"/>
    <w:lvl w:ilvl="0">
      <w:lvlJc w:val="left"/>
      <w:lvlText w:val="•"/>
      <w:numFmt w:val="bullet"/>
      <w:start w:val="1"/>
    </w:lvl>
  </w:abstractNum>
  <w:abstractNum w:abstractNumId="124">
    <w:nsid w:val="230F856C"/>
    <w:multiLevelType w:val="hybridMultilevel"/>
    <w:lvl w:ilvl="0">
      <w:lvlJc w:val="left"/>
      <w:lvlText w:val="•"/>
      <w:numFmt w:val="bullet"/>
      <w:start w:val="1"/>
    </w:lvl>
  </w:abstractNum>
  <w:abstractNum w:abstractNumId="125">
    <w:nsid w:val="6EAA85FB"/>
    <w:multiLevelType w:val="hybridMultilevel"/>
    <w:lvl w:ilvl="0">
      <w:lvlJc w:val="left"/>
      <w:lvlText w:val="•"/>
      <w:numFmt w:val="bullet"/>
      <w:start w:val="1"/>
    </w:lvl>
  </w:abstractNum>
  <w:abstractNum w:abstractNumId="126">
    <w:nsid w:val="3F06ECB2"/>
    <w:multiLevelType w:val="hybridMultilevel"/>
    <w:lvl w:ilvl="0">
      <w:lvlJc w:val="left"/>
      <w:lvlText w:val="•"/>
      <w:numFmt w:val="bullet"/>
      <w:start w:val="1"/>
    </w:lvl>
  </w:abstractNum>
  <w:abstractNum w:abstractNumId="127">
    <w:nsid w:val="3B594807"/>
    <w:multiLevelType w:val="hybridMultilevel"/>
    <w:lvl w:ilvl="0">
      <w:lvlJc w:val="left"/>
      <w:lvlText w:val="•"/>
      <w:numFmt w:val="bullet"/>
      <w:start w:val="1"/>
    </w:lvl>
  </w:abstractNum>
  <w:abstractNum w:abstractNumId="128">
    <w:nsid w:val="6CAA2304"/>
    <w:multiLevelType w:val="hybridMultilevel"/>
    <w:lvl w:ilvl="0">
      <w:lvlJc w:val="left"/>
      <w:lvlText w:val="•"/>
      <w:numFmt w:val="bullet"/>
      <w:start w:val="1"/>
    </w:lvl>
  </w:abstractNum>
  <w:abstractNum w:abstractNumId="129">
    <w:nsid w:val="3F7C2FF4"/>
    <w:multiLevelType w:val="hybridMultilevel"/>
    <w:lvl w:ilvl="0">
      <w:lvlJc w:val="left"/>
      <w:lvlText w:val="%1."/>
      <w:numFmt w:val="decimal"/>
      <w:start w:val="1"/>
    </w:lvl>
  </w:abstractNum>
  <w:abstractNum w:abstractNumId="130">
    <w:nsid w:val="25413BEC"/>
    <w:multiLevelType w:val="hybridMultilevel"/>
    <w:lvl w:ilvl="0">
      <w:lvlJc w:val="left"/>
      <w:lvlText w:val="%1."/>
      <w:numFmt w:val="decimal"/>
      <w:start w:val="2"/>
    </w:lvl>
  </w:abstractNum>
  <w:abstractNum w:abstractNumId="131">
    <w:nsid w:val="17180B0B"/>
    <w:multiLevelType w:val="hybridMultilevel"/>
    <w:lvl w:ilvl="0">
      <w:lvlJc w:val="left"/>
      <w:lvlText w:val="%1."/>
      <w:numFmt w:val="decimal"/>
      <w:start w:val="3"/>
    </w:lvl>
  </w:abstractNum>
  <w:abstractNum w:abstractNumId="132">
    <w:nsid w:val="579328B9"/>
    <w:multiLevelType w:val="hybridMultilevel"/>
    <w:lvl w:ilvl="0">
      <w:lvlJc w:val="left"/>
      <w:lvlText w:val="%1."/>
      <w:numFmt w:val="decimal"/>
      <w:start w:val="4"/>
    </w:lvl>
  </w:abstractNum>
  <w:abstractNum w:abstractNumId="133">
    <w:nsid w:val="5D205E20"/>
    <w:multiLevelType w:val="hybridMultilevel"/>
    <w:lvl w:ilvl="0">
      <w:lvlJc w:val="left"/>
      <w:lvlText w:val="%1."/>
      <w:numFmt w:val="decimal"/>
      <w:start w:val="5"/>
    </w:lvl>
  </w:abstractNum>
  <w:abstractNum w:abstractNumId="134">
    <w:nsid w:val="11CCA8BA"/>
    <w:multiLevelType w:val="hybridMultilevel"/>
    <w:lvl w:ilvl="0">
      <w:lvlJc w:val="left"/>
      <w:lvlText w:val="%1."/>
      <w:numFmt w:val="decimal"/>
      <w:start w:val="6"/>
    </w:lvl>
  </w:abstractNum>
  <w:abstractNum w:abstractNumId="135">
    <w:nsid w:val="4D32AB86"/>
    <w:multiLevelType w:val="hybridMultilevel"/>
    <w:lvl w:ilvl="0">
      <w:lvlJc w:val="left"/>
      <w:lvlText w:val="%1."/>
      <w:numFmt w:val="decimal"/>
      <w:start w:val="7"/>
    </w:lvl>
  </w:abstractNum>
  <w:abstractNum w:abstractNumId="136">
    <w:nsid w:val="3F07ACC3"/>
    <w:multiLevelType w:val="hybridMultilevel"/>
    <w:lvl w:ilvl="0">
      <w:lvlJc w:val="left"/>
      <w:lvlText w:val="•"/>
      <w:numFmt w:val="bullet"/>
      <w:start w:val="1"/>
    </w:lvl>
  </w:abstractNum>
  <w:abstractNum w:abstractNumId="137">
    <w:nsid w:val="6B47F63E"/>
    <w:multiLevelType w:val="hybridMultilevel"/>
    <w:lvl w:ilvl="0">
      <w:lvlJc w:val="left"/>
      <w:lvlText w:val="•"/>
      <w:numFmt w:val="bullet"/>
      <w:start w:val="1"/>
    </w:lvl>
  </w:abstractNum>
  <w:abstractNum w:abstractNumId="138">
    <w:nsid w:val="5CB44A05"/>
    <w:multiLevelType w:val="hybridMultilevel"/>
    <w:lvl w:ilvl="0">
      <w:lvlJc w:val="left"/>
      <w:lvlText w:val="%1."/>
      <w:numFmt w:val="decimal"/>
      <w:start w:val="8"/>
    </w:lvl>
  </w:abstractNum>
  <w:abstractNum w:abstractNumId="139">
    <w:nsid w:val="16CF80F1"/>
    <w:multiLevelType w:val="hybridMultilevel"/>
    <w:lvl w:ilvl="0">
      <w:lvlJc w:val="left"/>
      <w:lvlText w:val="%1."/>
      <w:numFmt w:val="decimal"/>
      <w:start w:val="9"/>
    </w:lvl>
  </w:abstractNum>
  <w:abstractNum w:abstractNumId="140">
    <w:nsid w:val="1C695DEC"/>
    <w:multiLevelType w:val="hybridMultilevel"/>
    <w:lvl w:ilvl="0">
      <w:lvlJc w:val="left"/>
      <w:lvlText w:val="%1."/>
      <w:numFmt w:val="decimal"/>
      <w:start w:val="10"/>
    </w:lvl>
  </w:abstractNum>
  <w:abstractNum w:abstractNumId="141">
    <w:nsid w:val="3FCFAED9"/>
    <w:multiLevelType w:val="hybridMultilevel"/>
    <w:lvl w:ilvl="0">
      <w:lvlJc w:val="left"/>
      <w:lvlText w:val="%1."/>
      <w:numFmt w:val="decimal"/>
      <w:start w:val="11"/>
    </w:lvl>
  </w:abstractNum>
  <w:abstractNum w:abstractNumId="142">
    <w:nsid w:val="F856867"/>
    <w:multiLevelType w:val="hybridMultilevel"/>
    <w:lvl w:ilvl="0">
      <w:lvlJc w:val="left"/>
      <w:lvlText w:val="%1."/>
      <w:numFmt w:val="decimal"/>
      <w:start w:val="12"/>
    </w:lvl>
  </w:abstractNum>
  <w:abstractNum w:abstractNumId="143">
    <w:nsid w:val="11B1CC33"/>
    <w:multiLevelType w:val="hybridMultilevel"/>
    <w:lvl w:ilvl="0">
      <w:lvlJc w:val="left"/>
      <w:lvlText w:val="•"/>
      <w:numFmt w:val="bullet"/>
      <w:start w:val="1"/>
    </w:lvl>
  </w:abstractNum>
  <w:abstractNum w:abstractNumId="144">
    <w:nsid w:val="2E22FBB7"/>
    <w:multiLevelType w:val="hybridMultilevel"/>
    <w:lvl w:ilvl="0">
      <w:lvlJc w:val="left"/>
      <w:lvlText w:val="•"/>
      <w:numFmt w:val="bullet"/>
      <w:start w:val="1"/>
    </w:lvl>
  </w:abstractNum>
  <w:abstractNum w:abstractNumId="145">
    <w:nsid w:val="29934699"/>
    <w:multiLevelType w:val="hybridMultilevel"/>
    <w:lvl w:ilvl="0">
      <w:lvlJc w:val="left"/>
      <w:lvlText w:val="%1."/>
      <w:numFmt w:val="decimal"/>
      <w:start w:val="13"/>
    </w:lvl>
  </w:abstractNum>
  <w:abstractNum w:abstractNumId="146">
    <w:nsid w:val="77485850"/>
    <w:multiLevelType w:val="hybridMultilevel"/>
    <w:lvl w:ilvl="0">
      <w:lvlJc w:val="left"/>
      <w:lvlText w:val="%1."/>
      <w:numFmt w:val="decimal"/>
      <w:start w:val="14"/>
    </w:lvl>
  </w:abstractNum>
  <w:abstractNum w:abstractNumId="147">
    <w:nsid w:val="744939A3"/>
    <w:multiLevelType w:val="hybridMultilevel"/>
    <w:lvl w:ilvl="0">
      <w:lvlJc w:val="left"/>
      <w:lvlText w:val="%1."/>
      <w:numFmt w:val="decimal"/>
      <w:start w:val="15"/>
    </w:lvl>
  </w:abstractNum>
  <w:abstractNum w:abstractNumId="148">
    <w:nsid w:val="4FA0D2E3"/>
    <w:multiLevelType w:val="hybridMultilevel"/>
    <w:lvl w:ilvl="0">
      <w:lvlJc w:val="left"/>
      <w:lvlText w:val="%1."/>
      <w:numFmt w:val="decimal"/>
      <w:start w:val="16"/>
    </w:lvl>
  </w:abstractNum>
  <w:abstractNum w:abstractNumId="149">
    <w:nsid w:val="6B1D2C14"/>
    <w:multiLevelType w:val="hybridMultilevel"/>
    <w:lvl w:ilvl="0">
      <w:lvlJc w:val="left"/>
      <w:lvlText w:val="%1."/>
      <w:numFmt w:val="decimal"/>
      <w:start w:val="17"/>
    </w:lvl>
  </w:abstractNum>
  <w:abstractNum w:abstractNumId="150">
    <w:nsid w:val="68B867D3"/>
    <w:multiLevelType w:val="hybridMultilevel"/>
    <w:lvl w:ilvl="0">
      <w:lvlJc w:val="left"/>
      <w:lvlText w:val="(%1)"/>
      <w:numFmt w:val="lowerLetter"/>
      <w:start w:val="1"/>
    </w:lvl>
  </w:abstractNum>
  <w:abstractNum w:abstractNumId="151">
    <w:nsid w:val="3F7F5DD9"/>
    <w:multiLevelType w:val="hybridMultilevel"/>
    <w:lvl w:ilvl="0">
      <w:lvlJc w:val="left"/>
      <w:lvlText w:val="(%1)"/>
      <w:numFmt w:val="lowerLetter"/>
      <w:start w:val="2"/>
    </w:lvl>
  </w:abstractNum>
  <w:abstractNum w:abstractNumId="152">
    <w:nsid w:val="2AE05A34"/>
    <w:multiLevelType w:val="hybridMultilevel"/>
    <w:lvl w:ilvl="0">
      <w:lvlJc w:val="left"/>
      <w:lvlText w:val="(%1)"/>
      <w:numFmt w:val="lowerLetter"/>
      <w:start w:val="3"/>
    </w:lvl>
  </w:abstractNum>
  <w:abstractNum w:abstractNumId="153">
    <w:nsid w:val="32794FF7"/>
    <w:multiLevelType w:val="hybridMultilevel"/>
    <w:lvl w:ilvl="0">
      <w:lvlJc w:val="left"/>
      <w:lvlText w:val="(%1)"/>
      <w:numFmt w:val="lowerLetter"/>
      <w:start w:val="4"/>
    </w:lvl>
  </w:abstractNum>
  <w:abstractNum w:abstractNumId="154">
    <w:nsid w:val="5454945E"/>
    <w:multiLevelType w:val="hybridMultilevel"/>
    <w:lvl w:ilvl="0">
      <w:lvlJc w:val="left"/>
      <w:lvlText w:val="(%1)"/>
      <w:numFmt w:val="lowerLetter"/>
      <w:start w:val="5"/>
    </w:lvl>
  </w:abstractNum>
  <w:abstractNum w:abstractNumId="155">
    <w:nsid w:val="4DEFDFA0"/>
    <w:multiLevelType w:val="hybridMultilevel"/>
    <w:lvl w:ilvl="0">
      <w:lvlJc w:val="left"/>
      <w:lvlText w:val="(%1)"/>
      <w:numFmt w:val="lowerLetter"/>
      <w:start w:val="6"/>
    </w:lvl>
  </w:abstractNum>
  <w:abstractNum w:abstractNumId="156">
    <w:nsid w:val="2123D5F2"/>
    <w:multiLevelType w:val="hybridMultilevel"/>
    <w:lvl w:ilvl="0">
      <w:lvlJc w:val="left"/>
      <w:lvlText w:val="(%1)"/>
      <w:numFmt w:val="lowerLetter"/>
      <w:start w:val="7"/>
    </w:lvl>
  </w:abstractNum>
  <w:abstractNum w:abstractNumId="157">
    <w:nsid w:val="135B8110"/>
    <w:multiLevelType w:val="hybridMultilevel"/>
    <w:lvl w:ilvl="0">
      <w:lvlJc w:val="left"/>
      <w:lvlText w:val="(%1)"/>
      <w:numFmt w:val="lowerLetter"/>
      <w:start w:val="8"/>
    </w:lvl>
  </w:abstractNum>
  <w:abstractNum w:abstractNumId="158">
    <w:nsid w:val="94927A8"/>
    <w:multiLevelType w:val="hybridMultilevel"/>
    <w:lvl w:ilvl="0">
      <w:lvlJc w:val="left"/>
      <w:lvlText w:val="(%1)"/>
      <w:numFmt w:val="lowerRoman"/>
      <w:start w:val="1"/>
    </w:lvl>
  </w:abstractNum>
  <w:abstractNum w:abstractNumId="159">
    <w:nsid w:val="DCDF8F6"/>
    <w:multiLevelType w:val="hybridMultilevel"/>
    <w:lvl w:ilvl="0">
      <w:lvlJc w:val="left"/>
      <w:lvlText w:val="%1."/>
      <w:numFmt w:val="decimal"/>
      <w:start w:val="1"/>
    </w:lvl>
  </w:abstractNum>
  <w:abstractNum w:abstractNumId="160">
    <w:nsid w:val="52D7B105"/>
    <w:multiLevelType w:val="hybridMultilevel"/>
    <w:lvl w:ilvl="0">
      <w:lvlJc w:val="left"/>
      <w:lvlText w:val="%1."/>
      <w:numFmt w:val="decimal"/>
      <w:start w:val="2"/>
    </w:lvl>
  </w:abstractNum>
  <w:abstractNum w:abstractNumId="161">
    <w:nsid w:val="2E8A6394"/>
    <w:multiLevelType w:val="hybridMultilevel"/>
    <w:lvl w:ilvl="0">
      <w:lvlJc w:val="left"/>
      <w:lvlText w:val="%1)"/>
      <w:numFmt w:val="decimal"/>
      <w:start w:val="3"/>
    </w:lvl>
  </w:abstractNum>
  <w:abstractNum w:abstractNumId="162">
    <w:nsid w:val="24E60401"/>
    <w:multiLevelType w:val="hybridMultilevel"/>
    <w:lvl w:ilvl="0">
      <w:lvlJc w:val="left"/>
      <w:lvlText w:val="%1."/>
      <w:numFmt w:val="decimal"/>
      <w:start w:val="4"/>
    </w:lvl>
  </w:abstractNum>
  <w:abstractNum w:abstractNumId="163">
    <w:nsid w:val="2A6AD9BE"/>
    <w:multiLevelType w:val="hybridMultilevel"/>
    <w:lvl w:ilvl="0">
      <w:lvlJc w:val="left"/>
      <w:lvlText w:val="%1."/>
      <w:numFmt w:val="decimal"/>
      <w:start w:val="5"/>
    </w:lvl>
  </w:abstractNum>
  <w:abstractNum w:abstractNumId="164">
    <w:nsid w:val="BAAC1B4"/>
    <w:multiLevelType w:val="hybridMultilevel"/>
    <w:lvl w:ilvl="0">
      <w:lvlJc w:val="left"/>
      <w:lvlText w:val="%1."/>
      <w:numFmt w:val="decimal"/>
      <w:start w:val="6"/>
    </w:lvl>
  </w:abstractNum>
  <w:abstractNum w:abstractNumId="165">
    <w:nsid w:val="36B2ACBC"/>
    <w:multiLevelType w:val="hybridMultilevel"/>
    <w:lvl w:ilvl="0">
      <w:lvlJc w:val="left"/>
      <w:lvlText w:val="•"/>
      <w:numFmt w:val="bullet"/>
      <w:start w:val="1"/>
    </w:lvl>
  </w:abstractNum>
  <w:abstractNum w:abstractNumId="166">
    <w:nsid w:val="779D8544"/>
    <w:multiLevelType w:val="hybridMultilevel"/>
    <w:lvl w:ilvl="0">
      <w:lvlJc w:val="left"/>
      <w:lvlText w:val="•"/>
      <w:numFmt w:val="bullet"/>
      <w:start w:val="1"/>
    </w:lvl>
  </w:abstractNum>
  <w:abstractNum w:abstractNumId="167">
    <w:nsid w:val="4AB26E78"/>
    <w:multiLevelType w:val="hybridMultilevel"/>
    <w:lvl w:ilvl="0">
      <w:lvlJc w:val="left"/>
      <w:lvlText w:val="%1."/>
      <w:numFmt w:val="decimal"/>
      <w:start w:val="7"/>
    </w:lvl>
  </w:abstractNum>
  <w:abstractNum w:abstractNumId="168">
    <w:nsid w:val="21FAA2FA"/>
    <w:multiLevelType w:val="hybridMultilevel"/>
    <w:lvl w:ilvl="0">
      <w:lvlJc w:val="left"/>
      <w:lvlText w:val="%1."/>
      <w:numFmt w:val="decimal"/>
      <w:start w:val="8"/>
    </w:lvl>
  </w:abstractNum>
  <w:abstractNum w:abstractNumId="169">
    <w:nsid w:val="5451CF49"/>
    <w:multiLevelType w:val="hybridMultilevel"/>
    <w:lvl w:ilvl="0">
      <w:lvlJc w:val="left"/>
      <w:lvlText w:val="%1."/>
      <w:numFmt w:val="decimal"/>
      <w:start w:val="9"/>
    </w:lvl>
  </w:abstractNum>
  <w:abstractNum w:abstractNumId="170">
    <w:nsid w:val="6181EF69"/>
    <w:multiLevelType w:val="hybridMultilevel"/>
    <w:lvl w:ilvl="0">
      <w:lvlJc w:val="left"/>
      <w:lvlText w:val="%1."/>
      <w:numFmt w:val="decimal"/>
      <w:start w:val="10"/>
    </w:lvl>
  </w:abstractNum>
  <w:abstractNum w:abstractNumId="171">
    <w:nsid w:val="3E6400E6"/>
    <w:multiLevelType w:val="hybridMultilevel"/>
    <w:lvl w:ilvl="0">
      <w:lvlJc w:val="left"/>
      <w:lvlText w:val="%1."/>
      <w:numFmt w:val="decimal"/>
      <w:start w:val="11"/>
    </w:lvl>
  </w:abstractNum>
  <w:abstractNum w:abstractNumId="172">
    <w:nsid w:val="14217E23"/>
    <w:multiLevelType w:val="hybridMultilevel"/>
    <w:lvl w:ilvl="0">
      <w:lvlJc w:val="left"/>
      <w:lvlText w:val="•"/>
      <w:numFmt w:val="bullet"/>
      <w:start w:val="1"/>
    </w:lvl>
  </w:abstractNum>
  <w:abstractNum w:abstractNumId="173">
    <w:nsid w:val="710757D0"/>
    <w:multiLevelType w:val="hybridMultilevel"/>
    <w:lvl w:ilvl="0">
      <w:lvlJc w:val="left"/>
      <w:lvlText w:val="%1."/>
      <w:numFmt w:val="decimal"/>
      <w:start w:val="12"/>
    </w:lvl>
  </w:abstractNum>
  <w:abstractNum w:abstractNumId="174">
    <w:nsid w:val="5015CD1A"/>
    <w:multiLevelType w:val="hybridMultilevel"/>
    <w:lvl w:ilvl="0">
      <w:lvlJc w:val="left"/>
      <w:lvlText w:val="%1."/>
      <w:numFmt w:val="decimal"/>
      <w:start w:val="13"/>
    </w:lvl>
  </w:abstractNum>
  <w:abstractNum w:abstractNumId="175">
    <w:nsid w:val="424479DA"/>
    <w:multiLevelType w:val="hybridMultilevel"/>
    <w:lvl w:ilvl="0">
      <w:lvlJc w:val="left"/>
      <w:lvlText w:val="*"/>
      <w:numFmt w:val="bullet"/>
      <w:start w:val="1"/>
    </w:lvl>
  </w:abstractNum>
  <w:abstractNum w:abstractNumId="176">
    <w:nsid w:val="1A9A9E69"/>
    <w:multiLevelType w:val="hybridMultilevel"/>
    <w:lvl w:ilvl="0">
      <w:lvlJc w:val="left"/>
      <w:lvlText w:val="(%1)"/>
      <w:numFmt w:val="lowerLetter"/>
      <w:start w:val="1"/>
    </w:lvl>
  </w:abstractNum>
  <w:abstractNum w:abstractNumId="177">
    <w:nsid w:val="475E256A"/>
    <w:multiLevelType w:val="hybridMultilevel"/>
    <w:lvl w:ilvl="0">
      <w:lvlJc w:val="left"/>
      <w:lvlText w:val="(%1)"/>
      <w:numFmt w:val="lowerLetter"/>
      <w:start w:val="5"/>
    </w:lvl>
  </w:abstractNum>
  <w:abstractNum w:abstractNumId="178">
    <w:nsid w:val="368DB37E"/>
    <w:multiLevelType w:val="hybridMultilevel"/>
    <w:lvl w:ilvl="0">
      <w:lvlJc w:val="left"/>
      <w:lvlText w:val="(%1)"/>
      <w:numFmt w:val="lowerLetter"/>
      <w:start w:val="10"/>
    </w:lvl>
  </w:abstractNum>
  <w:abstractNum w:abstractNumId="179">
    <w:nsid w:val="6A3B714C"/>
    <w:multiLevelType w:val="hybridMultilevel"/>
    <w:lvl w:ilvl="0">
      <w:lvlJc w:val="left"/>
      <w:lvlText w:val="+"/>
      <w:numFmt w:val="bullet"/>
      <w:start w:val="1"/>
    </w:lvl>
  </w:abstractNum>
  <w:abstractNum w:abstractNumId="180">
    <w:nsid w:val="327B517E"/>
    <w:multiLevelType w:val="hybridMultilevel"/>
    <w:lvl w:ilvl="0">
      <w:lvlJc w:val="left"/>
      <w:lvlText w:val="†"/>
      <w:numFmt w:val="bullet"/>
      <w:start w:val="1"/>
    </w:lvl>
  </w:abstractNum>
  <w:abstractNum w:abstractNumId="181">
    <w:nsid w:val="1F461B51"/>
    <w:multiLevelType w:val="hybridMultilevel"/>
    <w:lvl w:ilvl="0">
      <w:lvlJc w:val="left"/>
      <w:lvlText w:val="*"/>
      <w:numFmt w:val="bullet"/>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74"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58" Type="http://schemas.openxmlformats.org/officeDocument/2006/relationships/hyperlink" Target="http://www.sec.gov/Archives/edgar/data/0001620463/000156459020042848/atha-ex31_91.htm" TargetMode="External"/><Relationship Id="rId359" Type="http://schemas.openxmlformats.org/officeDocument/2006/relationships/hyperlink" Target="http://www.sec.gov/Archives/edgar/data/0001620463/000156459020042848/atha-ex32_92.htm" TargetMode="External"/><Relationship Id="rId360" Type="http://schemas.openxmlformats.org/officeDocument/2006/relationships/hyperlink" Target="http://www.sec.gov/Archives/edgar/data/0001620463/000156459020043324/atha-ex41_478.htm" TargetMode="External"/><Relationship Id="rId361" Type="http://schemas.openxmlformats.org/officeDocument/2006/relationships/hyperlink" Target="http://www.sec.gov/Archives/edgar/data/0001620463/000156459020042848/atha-ex42_7.htm" TargetMode="External"/><Relationship Id="rId362" Type="http://schemas.openxmlformats.org/officeDocument/2006/relationships/hyperlink" Target="http://www.sec.gov/Archives/edgar/data/0001620463/000156459020041369/atha-ex43_7.htm" TargetMode="External"/><Relationship Id="rId363" Type="http://schemas.openxmlformats.org/officeDocument/2006/relationships/hyperlink" Target="http://www.sec.gov/Archives/edgar/data/0001620463/000156459020041369/atha-ex44_9.htm" TargetMode="External"/><Relationship Id="rId364" Type="http://schemas.openxmlformats.org/officeDocument/2006/relationships/hyperlink" Target="http://www.sec.gov/Archives/edgar/data/0001620463/000156459020042848/atha-ex45_145.htm" TargetMode="External"/><Relationship Id="rId365" Type="http://schemas.openxmlformats.org/officeDocument/2006/relationships/hyperlink" Target="http://www.sec.gov/Archives/edgar/data/0001620463/000156459020042848/atha-ex46_144.htm" TargetMode="External"/><Relationship Id="rId366" Type="http://schemas.openxmlformats.org/officeDocument/2006/relationships/hyperlink" Target="http://www.sec.gov/Archives/edgar/data/0001620463/000156459020041369/atha-ex101_530.htm" TargetMode="External"/><Relationship Id="rId367" Type="http://schemas.openxmlformats.org/officeDocument/2006/relationships/hyperlink" Target="http://www.sec.gov/Archives/edgar/data/0001620463/000156459020042848/atha-ex102_90.htm" TargetMode="External"/><Relationship Id="rId368" Type="http://schemas.openxmlformats.org/officeDocument/2006/relationships/hyperlink" Target="http://www.sec.gov/Archives/edgar/data/0001620463/000156459020042848/atha-ex103_14.htm" TargetMode="External"/><Relationship Id="rId369" Type="http://schemas.openxmlformats.org/officeDocument/2006/relationships/hyperlink" Target="http://www.sec.gov/Archives/edgar/data/0001620463/000156459020042848/atha-ex104_409.htm" TargetMode="External"/><Relationship Id="rId370" Type="http://schemas.openxmlformats.org/officeDocument/2006/relationships/hyperlink" Target="http://www.sec.gov/Archives/edgar/data/0001620463/000156459020042848/atha-ex105_89.htm" TargetMode="External"/><Relationship Id="rId371" Type="http://schemas.openxmlformats.org/officeDocument/2006/relationships/hyperlink" Target="http://www.sec.gov/Archives/edgar/data/0001620463/000156459020042848/atha-ex106_88.htm" TargetMode="External"/><Relationship Id="rId372" Type="http://schemas.openxmlformats.org/officeDocument/2006/relationships/hyperlink" Target="http://www.sec.gov/Archives/edgar/data/0001620463/000156459020042848/atha-ex107_87.htm" TargetMode="External"/><Relationship Id="rId373" Type="http://schemas.openxmlformats.org/officeDocument/2006/relationships/hyperlink" Target="http://www.sec.gov/Archives/edgar/data/0001620463/000156459020042848/atha-ex108_86.htm" TargetMode="External"/><Relationship Id="rId375" Type="http://schemas.openxmlformats.org/officeDocument/2006/relationships/hyperlink" Target="http://www.sec.gov/Archives/edgar/data/0001620463/000156459020041369/atha-ex109_529.htm" TargetMode="External"/><Relationship Id="rId376" Type="http://schemas.openxmlformats.org/officeDocument/2006/relationships/hyperlink" Target="http://www.sec.gov/Archives/edgar/data/0001620463/000156459020042848/atha-ex1010_85.htm" TargetMode="External"/><Relationship Id="rId377" Type="http://schemas.openxmlformats.org/officeDocument/2006/relationships/hyperlink" Target="http://www.sec.gov/Archives/edgar/data/0001620463/000156459020042848/atha-ex1011_9.htm" TargetMode="External"/><Relationship Id="rId378" Type="http://schemas.openxmlformats.org/officeDocument/2006/relationships/hyperlink" Target="http://www.sec.gov/Archives/edgar/data/0001620463/000156459020042848/atha-ex1012_84.htm" TargetMode="External"/><Relationship Id="rId379" Type="http://schemas.openxmlformats.org/officeDocument/2006/relationships/hyperlink" Target="http://www.sec.gov/Archives/edgar/data/0001620463/000156459020042848/atha-ex1013_83.htm" TargetMode="External"/><Relationship Id="rId380" Type="http://schemas.openxmlformats.org/officeDocument/2006/relationships/hyperlink" Target="http://www.sec.gov/Archives/edgar/data/0001620463/000156459020042848/atha-ex1014_535.htm" TargetMode="External"/><Relationship Id="rId381" Type="http://schemas.openxmlformats.org/officeDocument/2006/relationships/hyperlink" Target="http://www.sec.gov/Archives/edgar/data/0001620463/000156459020042848/atha-ex1015_534.htm" TargetMode="External"/><Relationship Id="rId382" Type="http://schemas.openxmlformats.org/officeDocument/2006/relationships/hyperlink" Target="http://www.sec.gov/Archives/edgar/data/0001620463/000156459020042848/atha-ex1016_533.htm" TargetMode="External"/><Relationship Id="rId383" Type="http://schemas.openxmlformats.org/officeDocument/2006/relationships/hyperlink" Target="http://www.sec.gov/Archives/edgar/data/0001620463/000156459020042848/atha-ex1017_532.htm" TargetMode="External"/><Relationship Id="rId384" Type="http://schemas.openxmlformats.org/officeDocument/2006/relationships/hyperlink" Target="http://www.sec.gov/Archives/edgar/data/0001620463/000156459020042848/atha-ex1018_531.htm" TargetMode="External"/><Relationship Id="rId385" Type="http://schemas.openxmlformats.org/officeDocument/2006/relationships/hyperlink" Target="http://www.sec.gov/Archives/edgar/data/0001620463/000156459020042848/atha-ex1019_530.htm" TargetMode="External"/><Relationship Id="rId386" Type="http://schemas.openxmlformats.org/officeDocument/2006/relationships/hyperlink" Target="http://www.sec.gov/Archives/edgar/data/0001620463/000156459020042848/atha-ex1020_529.htm" TargetMode="External"/><Relationship Id="rId387" Type="http://schemas.openxmlformats.org/officeDocument/2006/relationships/hyperlink" Target="http://www.sec.gov/Archives/edgar/data/0001620463/000156459020043324/atha-ex1021_821.htm" TargetMode="External"/><Relationship Id="rId388" Type="http://schemas.openxmlformats.org/officeDocument/2006/relationships/hyperlink" Target="http://www.sec.gov/Archives/edgar/data/0001620463/000156459020043324/atha-ex1022_820.htm" TargetMode="External"/><Relationship Id="rId389" Type="http://schemas.openxmlformats.org/officeDocument/2006/relationships/hyperlink" Target="http://www.sec.gov/Archives/edgar/data/0001620463/000156459020042848/atha-ex21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2021-01-19T23:06:14Z</dcterms:created>
  <dcterms:modified xsi:type="dcterms:W3CDTF">2021-01-19T23:06:14Z</dcterms:modified>
</cp:coreProperties>
</file>