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Gengos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ATHIRA PHARMA,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18706 NORTH CREEK PARKWAY, SUITE 104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BOTHELL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Athira Pharma, Inc.</w:t>
              </w:r>
            </w:hyperlink>
            <w:r>
              <w:rPr/>
              <w:t xml:space="preserve"> [ </w:t>
            </w:r>
            <w:r>
              <w:rPr>
                <w:rFonts w:ascii="Times;serif" w:hAnsi="Times;serif"/>
                <w:color w:val="0000FF"/>
                <w:sz w:val="24"/>
                <w:shd w:fill="FFFFFF" w:val="clear"/>
              </w:rPr>
              <w:t>ATHA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Below</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06/07/2023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06/07/2023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3.3576</w:t>
            </w:r>
            <w:r>
              <w:rPr>
                <w:rFonts w:ascii="Times;serif" w:hAnsi="Times;serif"/>
                <w:color w:val="008000"/>
                <w:position w:val="7"/>
                <w:sz w:val="16"/>
                <w:sz w:val="20"/>
                <w:shd w:fill="FFFFFF" w:val="clear"/>
              </w:rPr>
              <w:t>(1)</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65,434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06/07/2023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68,293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06/07/2023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11,719</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3.4395</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80,012</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"Amount" and "Price" reported in this Column 4 reflect the aggregate number and weighted-average price, respectively, of shares purchased. These shares were purchased in multiple transactions at prices ranging from $3.355 to $3.36, inclusive. The reporting person undertakes to provide to the issuer, any security holder of the issuer, or the SEC staff, upon request, full information regarding the number of shares purchased at each separate price within the ranges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and "Price" reported in this Column 4 reflect the aggregate number and weighted-average price, respectively, of shares purchased. These shares were purchased in multiple transactions at prices ranging from $3.43 to $3.44, inclusive. The reporting person undertakes to provide to the issuer, any security holder of the issuer, or the SEC staff, upon request, full information regarding the number of shares purchased at each separate price within the ranges set forth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 and Chief Business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Worthington, Attorney-in-fact for Andrew Gengos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63623" TargetMode="External"/><Relationship Id="rId4" Type="http://schemas.openxmlformats.org/officeDocument/2006/relationships/hyperlink" Target="http://www.sec.gov/cgi-bin/browse-edgar?action=getcompany&amp;CIK=000162046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738</Words>
  <Characters>4043</Characters>
  <CharactersWithSpaces>4702</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