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No. )*</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$0.0001 par value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04746L104</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November 6,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800" w:hanging="455"/>
        <w:spacing w:after="0"/>
        <w:tabs>
          <w:tab w:leader="none" w:pos="8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800" w:hanging="455"/>
        <w:spacing w:after="0"/>
        <w:tabs>
          <w:tab w:leader="none" w:pos="8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3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57" w:lineRule="exact"/>
        <w:rPr>
          <w:sz w:val="24"/>
          <w:szCs w:val="24"/>
          <w:color w:val="auto"/>
        </w:rPr>
      </w:pPr>
    </w:p>
    <w:p>
      <w:pPr>
        <w:ind w:left="340" w:right="40" w:hanging="337"/>
        <w:spacing w:after="0" w:line="277" w:lineRule="auto"/>
        <w:rPr>
          <w:sz w:val="24"/>
          <w:szCs w:val="24"/>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6"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tcBorders>
            <w:gridSpan w:val="6"/>
            <w:shd w:val="clear" w:color="auto" w:fill="FEFEFE"/>
          </w:tcPr>
          <w:p>
            <w:pPr>
              <w:spacing w:after="0"/>
              <w:rPr>
                <w:sz w:val="20"/>
                <w:szCs w:val="20"/>
                <w:color w:val="auto"/>
              </w:rPr>
            </w:pPr>
            <w:r>
              <w:rPr>
                <w:rFonts w:ascii="Arial" w:cs="Arial" w:eastAsia="Arial" w:hAnsi="Arial"/>
                <w:sz w:val="18"/>
                <w:szCs w:val="18"/>
                <w:b w:val="1"/>
                <w:bCs w:val="1"/>
                <w:color w:val="auto"/>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2 of 17</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Venrock Healthcare Capital Partners II,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5"/>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80" w:type="dxa"/>
            <w:vAlign w:val="bottom"/>
            <w:gridSpan w:val="4"/>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w w:val="94"/>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2"/>
                <w:szCs w:val="22"/>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8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6"/>
                <w:szCs w:val="16"/>
                <w:color w:val="auto"/>
              </w:rPr>
            </w:pPr>
          </w:p>
        </w:tc>
        <w:tc>
          <w:tcPr>
            <w:tcW w:w="93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5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5"/>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6"/>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tcBorders>
            <w:gridSpan w:val="6"/>
            <w:shd w:val="clear" w:color="auto" w:fill="FEFEFE"/>
          </w:tcPr>
          <w:p>
            <w:pPr>
              <w:spacing w:after="0"/>
              <w:rPr>
                <w:sz w:val="20"/>
                <w:szCs w:val="20"/>
                <w:color w:val="auto"/>
              </w:rPr>
            </w:pPr>
            <w:r>
              <w:rPr>
                <w:rFonts w:ascii="Arial" w:cs="Arial" w:eastAsia="Arial" w:hAnsi="Arial"/>
                <w:sz w:val="18"/>
                <w:szCs w:val="18"/>
                <w:b w:val="1"/>
                <w:bCs w:val="1"/>
                <w:color w:val="auto"/>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3 of 17</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VHCP Co-Investment Holdings II,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5"/>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80" w:type="dxa"/>
            <w:vAlign w:val="bottom"/>
            <w:gridSpan w:val="4"/>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w w:val="94"/>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2"/>
                <w:szCs w:val="22"/>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8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6"/>
                <w:szCs w:val="16"/>
                <w:color w:val="auto"/>
              </w:rPr>
            </w:pPr>
          </w:p>
        </w:tc>
        <w:tc>
          <w:tcPr>
            <w:tcW w:w="93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5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9"/>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tcBorders>
            <w:gridSpan w:val="6"/>
            <w:shd w:val="clear" w:color="auto" w:fill="FEFEFE"/>
          </w:tcPr>
          <w:p>
            <w:pPr>
              <w:spacing w:after="0"/>
              <w:rPr>
                <w:sz w:val="20"/>
                <w:szCs w:val="20"/>
                <w:color w:val="auto"/>
              </w:rPr>
            </w:pPr>
            <w:r>
              <w:rPr>
                <w:rFonts w:ascii="Arial" w:cs="Arial" w:eastAsia="Arial" w:hAnsi="Arial"/>
                <w:sz w:val="18"/>
                <w:szCs w:val="18"/>
                <w:b w:val="1"/>
                <w:bCs w:val="1"/>
                <w:color w:val="auto"/>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4 of 17</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Venrock Healthcare Capital Partners III,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5"/>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80" w:type="dxa"/>
            <w:vAlign w:val="bottom"/>
            <w:gridSpan w:val="4"/>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w w:val="94"/>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2"/>
                <w:szCs w:val="22"/>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8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6"/>
                <w:szCs w:val="16"/>
                <w:color w:val="auto"/>
              </w:rPr>
            </w:pPr>
          </w:p>
        </w:tc>
        <w:tc>
          <w:tcPr>
            <w:tcW w:w="93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5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right w:val="single" w:sz="8" w:color="FEFEFE"/>
            </w:tcBorders>
            <w:gridSpan w:val="5"/>
            <w:shd w:val="clear" w:color="auto" w:fill="FEFEFE"/>
          </w:tcPr>
          <w:p>
            <w:pPr>
              <w:ind w:left="60"/>
              <w:spacing w:after="0"/>
              <w:rPr>
                <w:sz w:val="20"/>
                <w:szCs w:val="20"/>
                <w:color w:val="auto"/>
              </w:rPr>
            </w:pPr>
            <w:r>
              <w:rPr>
                <w:rFonts w:ascii="Arial" w:cs="Arial" w:eastAsia="Arial" w:hAnsi="Arial"/>
                <w:sz w:val="18"/>
                <w:szCs w:val="18"/>
                <w:b w:val="1"/>
                <w:bCs w:val="1"/>
                <w:color w:val="auto"/>
                <w:w w:val="97"/>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5 of 17</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6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auto"/>
            </w:tcBorders>
          </w:tcPr>
          <w:p>
            <w:pPr>
              <w:spacing w:after="0"/>
              <w:rPr>
                <w:sz w:val="24"/>
                <w:szCs w:val="24"/>
                <w:color w:val="auto"/>
              </w:rPr>
            </w:pPr>
          </w:p>
        </w:tc>
        <w:tc>
          <w:tcPr>
            <w:tcW w:w="1066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10660" w:type="dxa"/>
            <w:vAlign w:val="bottom"/>
            <w:tcBorders>
              <w:bottom w:val="single" w:sz="8" w:color="auto"/>
              <w:right w:val="single" w:sz="8" w:color="auto"/>
            </w:tcBorders>
            <w:gridSpan w:val="4"/>
          </w:tcPr>
          <w:p>
            <w:pPr>
              <w:ind w:left="100"/>
              <w:spacing w:after="0"/>
              <w:rPr>
                <w:sz w:val="20"/>
                <w:szCs w:val="20"/>
                <w:color w:val="auto"/>
              </w:rPr>
            </w:pPr>
            <w:r>
              <w:rPr>
                <w:rFonts w:ascii="Arial" w:cs="Arial" w:eastAsia="Arial" w:hAnsi="Arial"/>
                <w:sz w:val="18"/>
                <w:szCs w:val="18"/>
                <w:color w:val="auto"/>
              </w:rPr>
              <w:t>VHCP Co-Investment Holdings III, LLC</w:t>
            </w:r>
          </w:p>
        </w:tc>
        <w:tc>
          <w:tcPr>
            <w:tcW w:w="0" w:type="dxa"/>
            <w:vAlign w:val="bottom"/>
          </w:tcPr>
          <w:p>
            <w:pPr>
              <w:spacing w:after="0"/>
              <w:rPr>
                <w:sz w:val="1"/>
                <w:szCs w:val="1"/>
                <w:color w:val="auto"/>
              </w:rPr>
            </w:pPr>
          </w:p>
        </w:tc>
      </w:tr>
      <w:tr>
        <w:trPr>
          <w:trHeight w:val="205"/>
        </w:trPr>
        <w:tc>
          <w:tcPr>
            <w:tcW w:w="44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140" w:type="dxa"/>
            <w:vAlign w:val="bottom"/>
            <w:tcBorders>
              <w:right w:val="single" w:sz="8" w:color="auto"/>
            </w:tcBorders>
          </w:tcPr>
          <w:p>
            <w:pPr>
              <w:spacing w:after="0"/>
              <w:rPr>
                <w:sz w:val="17"/>
                <w:szCs w:val="17"/>
                <w:color w:val="auto"/>
              </w:rPr>
            </w:pPr>
          </w:p>
        </w:tc>
        <w:tc>
          <w:tcPr>
            <w:tcW w:w="1066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4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2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40" w:type="dxa"/>
            <w:vAlign w:val="bottom"/>
            <w:tcBorders>
              <w:left w:val="single" w:sz="8" w:color="auto"/>
              <w:bottom w:val="single" w:sz="8" w:color="auto"/>
            </w:tcBorders>
          </w:tcPr>
          <w:p>
            <w:pPr>
              <w:spacing w:after="0"/>
              <w:rPr>
                <w:sz w:val="8"/>
                <w:szCs w:val="8"/>
                <w:color w:val="auto"/>
              </w:rPr>
            </w:pPr>
          </w:p>
        </w:tc>
        <w:tc>
          <w:tcPr>
            <w:tcW w:w="14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tcBorders>
            <w:gridSpan w:val="3"/>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140" w:type="dxa"/>
            <w:vAlign w:val="bottom"/>
            <w:tcBorders>
              <w:right w:val="single" w:sz="8" w:color="auto"/>
            </w:tcBorders>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96"/>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0" w:type="dxa"/>
            <w:vAlign w:val="bottom"/>
            <w:tcBorders>
              <w:left w:val="single" w:sz="8" w:color="auto"/>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1066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140" w:type="dxa"/>
            <w:vAlign w:val="bottom"/>
            <w:tcBorders>
              <w:right w:val="single" w:sz="8" w:color="auto"/>
            </w:tcBorders>
          </w:tcPr>
          <w:p>
            <w:pPr>
              <w:spacing w:after="0"/>
              <w:rPr>
                <w:sz w:val="20"/>
                <w:szCs w:val="20"/>
                <w:color w:val="auto"/>
              </w:rPr>
            </w:pPr>
          </w:p>
        </w:tc>
        <w:tc>
          <w:tcPr>
            <w:tcW w:w="106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5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79"/>
              </w:rPr>
              <w:t>5.</w:t>
            </w:r>
          </w:p>
        </w:tc>
        <w:tc>
          <w:tcPr>
            <w:tcW w:w="9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40" w:type="dxa"/>
            <w:vAlign w:val="bottom"/>
            <w:tcBorders>
              <w:left w:val="single" w:sz="8" w:color="auto"/>
            </w:tcBorders>
          </w:tcPr>
          <w:p>
            <w:pPr>
              <w:spacing w:after="0"/>
              <w:rPr>
                <w:sz w:val="22"/>
                <w:szCs w:val="22"/>
                <w:color w:val="auto"/>
              </w:rPr>
            </w:pPr>
          </w:p>
        </w:tc>
        <w:tc>
          <w:tcPr>
            <w:tcW w:w="9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5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79"/>
              </w:rPr>
              <w:t>6.</w:t>
            </w:r>
          </w:p>
        </w:tc>
        <w:tc>
          <w:tcPr>
            <w:tcW w:w="9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vMerge w:val="restart"/>
          </w:tcPr>
          <w:p>
            <w:pPr>
              <w:ind w:left="1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right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Borders>
              <w:left w:val="single" w:sz="8" w:color="auto"/>
            </w:tcBorders>
          </w:tcPr>
          <w:p>
            <w:pPr>
              <w:spacing w:after="0"/>
              <w:rPr>
                <w:sz w:val="16"/>
                <w:szCs w:val="16"/>
                <w:color w:val="auto"/>
              </w:rPr>
            </w:pPr>
          </w:p>
        </w:tc>
        <w:tc>
          <w:tcPr>
            <w:tcW w:w="92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520" w:type="dxa"/>
            <w:vAlign w:val="bottom"/>
            <w:tcBorders>
              <w:right w:val="single" w:sz="8" w:color="auto"/>
            </w:tcBorders>
          </w:tcPr>
          <w:p>
            <w:pPr>
              <w:jc w:val="right"/>
              <w:ind w:right="290"/>
              <w:spacing w:after="0" w:line="189" w:lineRule="exact"/>
              <w:rPr>
                <w:sz w:val="20"/>
                <w:szCs w:val="20"/>
                <w:color w:val="auto"/>
              </w:rPr>
            </w:pPr>
            <w:r>
              <w:rPr>
                <w:rFonts w:ascii="Arial" w:cs="Arial" w:eastAsia="Arial" w:hAnsi="Arial"/>
                <w:sz w:val="18"/>
                <w:szCs w:val="18"/>
                <w:color w:val="auto"/>
                <w:w w:val="79"/>
              </w:rPr>
              <w:t>7.</w:t>
            </w:r>
          </w:p>
        </w:tc>
        <w:tc>
          <w:tcPr>
            <w:tcW w:w="9340" w:type="dxa"/>
            <w:vAlign w:val="bottom"/>
            <w:tcBorders>
              <w:right w:val="single" w:sz="8" w:color="auto"/>
            </w:tcBorders>
          </w:tcPr>
          <w:p>
            <w:pPr>
              <w:ind w:left="1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2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9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40" w:type="dxa"/>
            <w:vAlign w:val="bottom"/>
            <w:tcBorders>
              <w:left w:val="single" w:sz="8" w:color="auto"/>
            </w:tcBorders>
          </w:tcPr>
          <w:p>
            <w:pPr>
              <w:spacing w:after="0"/>
              <w:rPr>
                <w:sz w:val="3"/>
                <w:szCs w:val="3"/>
                <w:color w:val="auto"/>
              </w:rPr>
            </w:pPr>
          </w:p>
        </w:tc>
        <w:tc>
          <w:tcPr>
            <w:tcW w:w="92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520" w:type="dxa"/>
            <w:vAlign w:val="bottom"/>
            <w:tcBorders>
              <w:bottom w:val="single" w:sz="8" w:color="auto"/>
              <w:right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92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w w:val="79"/>
              </w:rPr>
              <w:t>8.</w:t>
            </w:r>
          </w:p>
        </w:tc>
        <w:tc>
          <w:tcPr>
            <w:tcW w:w="93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right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140" w:type="dxa"/>
            <w:vAlign w:val="bottom"/>
            <w:tcBorders>
              <w:right w:val="single" w:sz="8" w:color="auto"/>
            </w:tcBorders>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w w:val="85"/>
              </w:rPr>
              <w:t>Aggregate Amount</w:t>
            </w:r>
          </w:p>
        </w:tc>
        <w:tc>
          <w:tcPr>
            <w:tcW w:w="934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Beneficially Owned by Each Reporting Person</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1,657,623</w:t>
            </w:r>
            <w:r>
              <w:rPr>
                <w:rFonts w:ascii="Arial" w:cs="Arial" w:eastAsia="Arial" w:hAnsi="Arial"/>
                <w:sz w:val="29"/>
                <w:szCs w:val="29"/>
                <w:color w:val="auto"/>
                <w:w w:val="85"/>
                <w:vertAlign w:val="superscript"/>
              </w:rPr>
              <w:t>2</w:t>
            </w:r>
          </w:p>
        </w:tc>
        <w:tc>
          <w:tcPr>
            <w:tcW w:w="5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10.</w:t>
            </w:r>
          </w:p>
        </w:tc>
        <w:tc>
          <w:tcPr>
            <w:tcW w:w="140" w:type="dxa"/>
            <w:vAlign w:val="bottom"/>
            <w:tcBorders>
              <w:right w:val="single" w:sz="8" w:color="auto"/>
            </w:tcBorders>
          </w:tcPr>
          <w:p>
            <w:pPr>
              <w:spacing w:after="0"/>
              <w:rPr>
                <w:sz w:val="24"/>
                <w:szCs w:val="24"/>
                <w:color w:val="auto"/>
              </w:rPr>
            </w:pPr>
          </w:p>
        </w:tc>
        <w:tc>
          <w:tcPr>
            <w:tcW w:w="1066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140" w:type="dxa"/>
            <w:vAlign w:val="bottom"/>
            <w:tcBorders>
              <w:bottom w:val="single" w:sz="8" w:color="auto"/>
              <w:right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spacing w:after="0"/>
              <w:rPr>
                <w:sz w:val="13"/>
                <w:szCs w:val="13"/>
                <w:color w:val="auto"/>
              </w:rPr>
            </w:pPr>
          </w:p>
        </w:tc>
        <w:tc>
          <w:tcPr>
            <w:tcW w:w="93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11.</w:t>
            </w:r>
          </w:p>
        </w:tc>
        <w:tc>
          <w:tcPr>
            <w:tcW w:w="140" w:type="dxa"/>
            <w:vAlign w:val="bottom"/>
            <w:tcBorders>
              <w:right w:val="single" w:sz="8" w:color="auto"/>
            </w:tcBorders>
          </w:tcPr>
          <w:p>
            <w:pPr>
              <w:spacing w:after="0"/>
              <w:rPr>
                <w:sz w:val="20"/>
                <w:szCs w:val="20"/>
                <w:color w:val="auto"/>
              </w:rPr>
            </w:pPr>
          </w:p>
        </w:tc>
        <w:tc>
          <w:tcPr>
            <w:tcW w:w="106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12.</w:t>
            </w:r>
          </w:p>
        </w:tc>
        <w:tc>
          <w:tcPr>
            <w:tcW w:w="140" w:type="dxa"/>
            <w:vAlign w:val="bottom"/>
            <w:tcBorders>
              <w:right w:val="single" w:sz="8" w:color="auto"/>
            </w:tcBorders>
          </w:tcPr>
          <w:p>
            <w:pPr>
              <w:spacing w:after="0"/>
              <w:rPr>
                <w:sz w:val="20"/>
                <w:szCs w:val="20"/>
                <w:color w:val="auto"/>
              </w:rPr>
            </w:pPr>
          </w:p>
        </w:tc>
        <w:tc>
          <w:tcPr>
            <w:tcW w:w="1066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52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tcBorders>
            <w:gridSpan w:val="6"/>
            <w:shd w:val="clear" w:color="auto" w:fill="FEFEFE"/>
          </w:tcPr>
          <w:p>
            <w:pPr>
              <w:spacing w:after="0"/>
              <w:rPr>
                <w:sz w:val="20"/>
                <w:szCs w:val="20"/>
                <w:color w:val="auto"/>
              </w:rPr>
            </w:pPr>
            <w:r>
              <w:rPr>
                <w:rFonts w:ascii="Arial" w:cs="Arial" w:eastAsia="Arial" w:hAnsi="Arial"/>
                <w:sz w:val="18"/>
                <w:szCs w:val="18"/>
                <w:b w:val="1"/>
                <w:bCs w:val="1"/>
                <w:color w:val="auto"/>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6 of 17</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Venrock Healthcare Capital Partners EG, L.P.</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5"/>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80" w:type="dxa"/>
            <w:vAlign w:val="bottom"/>
            <w:gridSpan w:val="4"/>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w w:val="94"/>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2"/>
                <w:szCs w:val="22"/>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8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6"/>
                <w:szCs w:val="16"/>
                <w:color w:val="auto"/>
              </w:rPr>
            </w:pPr>
          </w:p>
        </w:tc>
        <w:tc>
          <w:tcPr>
            <w:tcW w:w="93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5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PN</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6" w:name="page7"/>
    <w:bookmarkEnd w:id="6"/>
    <w:p>
      <w:pPr>
        <w:ind w:left="52"/>
        <w:spacing w:after="0"/>
        <w:tabs>
          <w:tab w:leader="none" w:pos="10312"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5"/>
          <w:szCs w:val="15"/>
          <w:color w:val="auto"/>
        </w:rPr>
        <w:t>Page 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32320" cy="5426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42607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92"/>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Name of reporting persons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VHCP Management II, LLC</w:t>
      </w:r>
    </w:p>
    <w:p>
      <w:pPr>
        <w:spacing w:after="0" w:line="59" w:lineRule="exact"/>
        <w:rPr>
          <w:sz w:val="20"/>
          <w:szCs w:val="20"/>
          <w:color w:val="auto"/>
        </w:rPr>
      </w:pPr>
    </w:p>
    <w:p>
      <w:pPr>
        <w:sectPr>
          <w:pgSz w:w="11900" w:h="16838" w:orient="portrait"/>
          <w:cols w:equalWidth="0" w:num="2">
            <w:col w:w="332" w:space="380"/>
            <w:col w:w="10520"/>
          </w:cols>
          <w:pgMar w:left="328" w:top="904" w:right="339" w:bottom="1440" w:gutter="0" w:footer="0" w:header="0"/>
          <w:type w:val="continuous"/>
        </w:sectPr>
      </w:pPr>
    </w:p>
    <w:p>
      <w:pPr>
        <w:ind w:left="832" w:hanging="643"/>
        <w:spacing w:after="0"/>
        <w:tabs>
          <w:tab w:leader="none" w:pos="8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72" w:hanging="235"/>
        <w:spacing w:after="0" w:line="334" w:lineRule="exact"/>
        <w:tabs>
          <w:tab w:leader="none" w:pos="1072" w:val="left"/>
        </w:tabs>
        <w:numPr>
          <w:ilvl w:val="1"/>
          <w:numId w:val="2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1" w:lineRule="exact"/>
        <w:rPr>
          <w:rFonts w:ascii="Arial" w:cs="Arial" w:eastAsia="Arial" w:hAnsi="Arial"/>
          <w:sz w:val="18"/>
          <w:szCs w:val="18"/>
          <w:color w:val="auto"/>
        </w:rPr>
      </w:pPr>
    </w:p>
    <w:p>
      <w:pPr>
        <w:ind w:left="832" w:hanging="643"/>
        <w:spacing w:after="0"/>
        <w:tabs>
          <w:tab w:leader="none" w:pos="8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32" w:right="7760" w:hanging="643"/>
        <w:spacing w:after="0" w:line="391" w:lineRule="auto"/>
        <w:tabs>
          <w:tab w:leader="none" w:pos="832"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252" w:hanging="713"/>
        <w:spacing w:after="0"/>
        <w:tabs>
          <w:tab w:leader="none" w:pos="2252"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332" w:type="dxa"/>
        <w:tblCellMar>
          <w:top w:w="0" w:type="dxa"/>
          <w:left w:w="0" w:type="dxa"/>
          <w:bottom w:w="0" w:type="dxa"/>
          <w:right w:w="0" w:type="dxa"/>
        </w:tblCellMar>
      </w:tblPr>
      <w:tr>
        <w:trPr>
          <w:trHeight w:val="237"/>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Shares</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9260" w:type="dxa"/>
            <w:vAlign w:val="bottom"/>
            <w:vMerge w:val="restart"/>
          </w:tcPr>
          <w:p>
            <w:pPr>
              <w:ind w:left="28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87"/>
              </w:rPr>
              <w:t>Each</w:t>
            </w:r>
          </w:p>
        </w:tc>
        <w:tc>
          <w:tcPr>
            <w:tcW w:w="480" w:type="dxa"/>
            <w:vAlign w:val="bottom"/>
          </w:tcPr>
          <w:p>
            <w:pPr>
              <w:jc w:val="right"/>
              <w:ind w:right="210"/>
              <w:spacing w:after="0" w:line="189" w:lineRule="exact"/>
              <w:rPr>
                <w:sz w:val="20"/>
                <w:szCs w:val="20"/>
                <w:color w:val="auto"/>
              </w:rPr>
            </w:pPr>
            <w:r>
              <w:rPr>
                <w:rFonts w:ascii="Arial" w:cs="Arial" w:eastAsia="Arial" w:hAnsi="Arial"/>
                <w:sz w:val="18"/>
                <w:szCs w:val="18"/>
                <w:color w:val="auto"/>
              </w:rPr>
              <w:t>7.</w:t>
            </w:r>
          </w:p>
        </w:tc>
        <w:tc>
          <w:tcPr>
            <w:tcW w:w="9260" w:type="dxa"/>
            <w:vAlign w:val="bottom"/>
          </w:tcPr>
          <w:p>
            <w:pPr>
              <w:ind w:left="2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6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60" w:type="dxa"/>
            <w:vAlign w:val="bottom"/>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480" w:type="dxa"/>
            <w:vAlign w:val="bottom"/>
            <w:tcBorders>
              <w:bottom w:val="single" w:sz="8" w:color="auto"/>
            </w:tcBorders>
          </w:tcPr>
          <w:p>
            <w:pPr>
              <w:spacing w:after="0"/>
              <w:rPr>
                <w:sz w:val="3"/>
                <w:szCs w:val="3"/>
                <w:color w:val="auto"/>
              </w:rPr>
            </w:pPr>
          </w:p>
        </w:tc>
        <w:tc>
          <w:tcPr>
            <w:tcW w:w="9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52"/>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p>
      <w:pPr>
        <w:ind w:left="832" w:right="5600" w:hanging="643"/>
        <w:spacing w:after="0" w:line="317" w:lineRule="auto"/>
        <w:tabs>
          <w:tab w:leader="none" w:pos="8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1,657,623</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832" w:hanging="643"/>
        <w:spacing w:after="0" w:line="207" w:lineRule="exact"/>
        <w:tabs>
          <w:tab w:leader="none" w:pos="8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832" w:right="6600" w:hanging="643"/>
        <w:spacing w:after="0" w:line="324" w:lineRule="auto"/>
        <w:tabs>
          <w:tab w:leader="none" w:pos="8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r>
        <w:rPr>
          <w:rFonts w:ascii="Arial" w:cs="Arial" w:eastAsia="Arial" w:hAnsi="Arial"/>
          <w:sz w:val="29"/>
          <w:szCs w:val="29"/>
          <w:color w:val="auto"/>
          <w:vertAlign w:val="superscript"/>
        </w:rPr>
        <w:t>3</w:t>
      </w:r>
    </w:p>
    <w:p>
      <w:pPr>
        <w:spacing w:after="0" w:line="1" w:lineRule="exact"/>
        <w:rPr>
          <w:rFonts w:ascii="Arial" w:cs="Arial" w:eastAsia="Arial" w:hAnsi="Arial"/>
          <w:sz w:val="18"/>
          <w:szCs w:val="18"/>
          <w:color w:val="auto"/>
        </w:rPr>
      </w:pPr>
    </w:p>
    <w:p>
      <w:pPr>
        <w:ind w:left="832" w:hanging="643"/>
        <w:spacing w:after="0"/>
        <w:tabs>
          <w:tab w:leader="none" w:pos="83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83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2" w:lineRule="exact"/>
        <w:rPr>
          <w:sz w:val="20"/>
          <w:szCs w:val="20"/>
          <w:color w:val="auto"/>
        </w:rPr>
      </w:pPr>
    </w:p>
    <w:p>
      <w:pPr>
        <w:ind w:left="332" w:right="440" w:hanging="332"/>
        <w:spacing w:after="0" w:line="286" w:lineRule="auto"/>
        <w:tabs>
          <w:tab w:leader="none" w:pos="332" w:val="left"/>
        </w:tabs>
        <w:numPr>
          <w:ilvl w:val="0"/>
          <w:numId w:val="2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32" w:hanging="332"/>
        <w:spacing w:after="0"/>
        <w:tabs>
          <w:tab w:leader="none" w:pos="33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52" w:hanging="315"/>
        <w:spacing w:after="0"/>
        <w:tabs>
          <w:tab w:leader="none" w:pos="652" w:val="left"/>
        </w:tabs>
        <w:numPr>
          <w:ilvl w:val="1"/>
          <w:numId w:val="27"/>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592" w:hanging="255"/>
        <w:spacing w:after="0"/>
        <w:tabs>
          <w:tab w:leader="none" w:pos="5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32" w:right="380" w:hanging="332"/>
        <w:spacing w:after="0" w:line="308" w:lineRule="auto"/>
        <w:tabs>
          <w:tab w:leader="none" w:pos="33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7" w:name="page8"/>
    <w:bookmarkEnd w:id="7"/>
    <w:p>
      <w:pPr>
        <w:ind w:left="52"/>
        <w:spacing w:after="0"/>
        <w:tabs>
          <w:tab w:leader="none" w:pos="10312"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5"/>
          <w:szCs w:val="15"/>
          <w:color w:val="auto"/>
        </w:rPr>
        <w:t>Page 8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132320" cy="5563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563235"/>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ind w:left="192"/>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Name of reporting persons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VHCP Management III, LLC</w:t>
      </w:r>
    </w:p>
    <w:p>
      <w:pPr>
        <w:spacing w:after="0" w:line="48" w:lineRule="exact"/>
        <w:rPr>
          <w:sz w:val="20"/>
          <w:szCs w:val="20"/>
          <w:color w:val="auto"/>
        </w:rPr>
      </w:pPr>
    </w:p>
    <w:p>
      <w:pPr>
        <w:sectPr>
          <w:pgSz w:w="11900" w:h="16838" w:orient="portrait"/>
          <w:cols w:equalWidth="0" w:num="2">
            <w:col w:w="332" w:space="380"/>
            <w:col w:w="10520"/>
          </w:cols>
          <w:pgMar w:left="328" w:top="904" w:right="339" w:bottom="1440" w:gutter="0" w:footer="0" w:header="0"/>
          <w:type w:val="continuous"/>
        </w:sectPr>
      </w:pPr>
    </w:p>
    <w:p>
      <w:pPr>
        <w:ind w:left="832" w:hanging="643"/>
        <w:spacing w:after="0"/>
        <w:tabs>
          <w:tab w:leader="none" w:pos="8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072" w:hanging="235"/>
        <w:spacing w:after="0" w:line="334" w:lineRule="exact"/>
        <w:tabs>
          <w:tab w:leader="none" w:pos="1072" w:val="left"/>
        </w:tabs>
        <w:numPr>
          <w:ilvl w:val="1"/>
          <w:numId w:val="3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151" w:lineRule="exact"/>
        <w:rPr>
          <w:rFonts w:ascii="Arial" w:cs="Arial" w:eastAsia="Arial" w:hAnsi="Arial"/>
          <w:sz w:val="18"/>
          <w:szCs w:val="18"/>
          <w:color w:val="auto"/>
        </w:rPr>
      </w:pPr>
    </w:p>
    <w:p>
      <w:pPr>
        <w:ind w:left="832" w:hanging="643"/>
        <w:spacing w:after="0"/>
        <w:tabs>
          <w:tab w:leader="none" w:pos="8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52" w:lineRule="exact"/>
        <w:rPr>
          <w:rFonts w:ascii="Arial" w:cs="Arial" w:eastAsia="Arial" w:hAnsi="Arial"/>
          <w:sz w:val="18"/>
          <w:szCs w:val="18"/>
          <w:color w:val="auto"/>
        </w:rPr>
      </w:pPr>
    </w:p>
    <w:p>
      <w:pPr>
        <w:ind w:left="832" w:right="7760" w:hanging="643"/>
        <w:spacing w:after="0" w:line="391" w:lineRule="auto"/>
        <w:tabs>
          <w:tab w:leader="none" w:pos="8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ind w:left="2252" w:hanging="713"/>
        <w:spacing w:after="0"/>
        <w:tabs>
          <w:tab w:leader="none" w:pos="2252" w:val="left"/>
        </w:tabs>
        <w:numPr>
          <w:ilvl w:val="2"/>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332" w:type="dxa"/>
        <w:tblCellMar>
          <w:top w:w="0" w:type="dxa"/>
          <w:left w:w="0" w:type="dxa"/>
          <w:bottom w:w="0" w:type="dxa"/>
          <w:right w:w="0" w:type="dxa"/>
        </w:tblCellMar>
      </w:tblPr>
      <w:tr>
        <w:trPr>
          <w:trHeight w:val="237"/>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2"/>
              </w:rPr>
              <w:t>Number of</w:t>
            </w:r>
          </w:p>
        </w:tc>
        <w:tc>
          <w:tcPr>
            <w:tcW w:w="48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Shares</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6.</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6"/>
              </w:rPr>
              <w:t>Beneficially</w:t>
            </w:r>
          </w:p>
        </w:tc>
        <w:tc>
          <w:tcPr>
            <w:tcW w:w="480" w:type="dxa"/>
            <w:vAlign w:val="bottom"/>
          </w:tcPr>
          <w:p>
            <w:pPr>
              <w:spacing w:after="0"/>
              <w:rPr>
                <w:sz w:val="18"/>
                <w:szCs w:val="18"/>
                <w:color w:val="auto"/>
              </w:rPr>
            </w:pPr>
          </w:p>
        </w:tc>
        <w:tc>
          <w:tcPr>
            <w:tcW w:w="9260" w:type="dxa"/>
            <w:vAlign w:val="bottom"/>
            <w:vMerge w:val="restart"/>
          </w:tcPr>
          <w:p>
            <w:pPr>
              <w:ind w:left="28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160" w:type="dxa"/>
            <w:vAlign w:val="bottom"/>
          </w:tcPr>
          <w:p>
            <w:pPr>
              <w:jc w:val="center"/>
              <w:ind w:right="210"/>
              <w:spacing w:after="0"/>
              <w:rPr>
                <w:sz w:val="20"/>
                <w:szCs w:val="20"/>
                <w:color w:val="auto"/>
              </w:rPr>
            </w:pPr>
            <w:r>
              <w:rPr>
                <w:rFonts w:ascii="Arial" w:cs="Arial" w:eastAsia="Arial" w:hAnsi="Arial"/>
                <w:sz w:val="18"/>
                <w:szCs w:val="18"/>
                <w:color w:val="auto"/>
                <w:w w:val="91"/>
              </w:rPr>
              <w:t>Owned by</w:t>
            </w:r>
          </w:p>
        </w:tc>
        <w:tc>
          <w:tcPr>
            <w:tcW w:w="480" w:type="dxa"/>
            <w:vAlign w:val="bottom"/>
            <w:tcBorders>
              <w:bottom w:val="single" w:sz="8" w:color="auto"/>
            </w:tcBorders>
          </w:tcPr>
          <w:p>
            <w:pPr>
              <w:spacing w:after="0"/>
              <w:rPr>
                <w:sz w:val="19"/>
                <w:szCs w:val="19"/>
                <w:color w:val="auto"/>
              </w:rPr>
            </w:pPr>
          </w:p>
        </w:tc>
        <w:tc>
          <w:tcPr>
            <w:tcW w:w="9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160" w:type="dxa"/>
            <w:vAlign w:val="bottom"/>
          </w:tcPr>
          <w:p>
            <w:pPr>
              <w:jc w:val="center"/>
              <w:ind w:right="190"/>
              <w:spacing w:after="0" w:line="189" w:lineRule="exact"/>
              <w:rPr>
                <w:sz w:val="20"/>
                <w:szCs w:val="20"/>
                <w:color w:val="auto"/>
              </w:rPr>
            </w:pPr>
            <w:r>
              <w:rPr>
                <w:rFonts w:ascii="Arial" w:cs="Arial" w:eastAsia="Arial" w:hAnsi="Arial"/>
                <w:sz w:val="18"/>
                <w:szCs w:val="18"/>
                <w:color w:val="auto"/>
                <w:w w:val="87"/>
              </w:rPr>
              <w:t>Each</w:t>
            </w:r>
          </w:p>
        </w:tc>
        <w:tc>
          <w:tcPr>
            <w:tcW w:w="480" w:type="dxa"/>
            <w:vAlign w:val="bottom"/>
          </w:tcPr>
          <w:p>
            <w:pPr>
              <w:jc w:val="right"/>
              <w:ind w:right="210"/>
              <w:spacing w:after="0" w:line="189" w:lineRule="exact"/>
              <w:rPr>
                <w:sz w:val="20"/>
                <w:szCs w:val="20"/>
                <w:color w:val="auto"/>
              </w:rPr>
            </w:pPr>
            <w:r>
              <w:rPr>
                <w:rFonts w:ascii="Arial" w:cs="Arial" w:eastAsia="Arial" w:hAnsi="Arial"/>
                <w:sz w:val="18"/>
                <w:szCs w:val="18"/>
                <w:color w:val="auto"/>
              </w:rPr>
              <w:t>7.</w:t>
            </w:r>
          </w:p>
        </w:tc>
        <w:tc>
          <w:tcPr>
            <w:tcW w:w="9260" w:type="dxa"/>
            <w:vAlign w:val="bottom"/>
          </w:tcPr>
          <w:p>
            <w:pPr>
              <w:ind w:left="28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92"/>
              </w:rPr>
              <w:t>Reporting</w:t>
            </w:r>
          </w:p>
        </w:tc>
        <w:tc>
          <w:tcPr>
            <w:tcW w:w="48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jc w:val="center"/>
              <w:ind w:right="190"/>
              <w:spacing w:after="0"/>
              <w:rPr>
                <w:sz w:val="20"/>
                <w:szCs w:val="20"/>
                <w:color w:val="auto"/>
              </w:rPr>
            </w:pPr>
            <w:r>
              <w:rPr>
                <w:rFonts w:ascii="Arial" w:cs="Arial" w:eastAsia="Arial" w:hAnsi="Arial"/>
                <w:sz w:val="18"/>
                <w:szCs w:val="18"/>
                <w:color w:val="auto"/>
                <w:w w:val="84"/>
              </w:rPr>
              <w:t>Person</w:t>
            </w:r>
          </w:p>
        </w:tc>
        <w:tc>
          <w:tcPr>
            <w:tcW w:w="480" w:type="dxa"/>
            <w:vAlign w:val="bottom"/>
          </w:tcPr>
          <w:p>
            <w:pPr>
              <w:spacing w:after="0"/>
              <w:rPr>
                <w:sz w:val="18"/>
                <w:szCs w:val="18"/>
                <w:color w:val="auto"/>
              </w:rPr>
            </w:pPr>
          </w:p>
        </w:tc>
        <w:tc>
          <w:tcPr>
            <w:tcW w:w="9260" w:type="dxa"/>
            <w:vAlign w:val="bottom"/>
          </w:tcPr>
          <w:p>
            <w:pPr>
              <w:ind w:left="2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160" w:type="dxa"/>
            <w:vAlign w:val="bottom"/>
            <w:vMerge w:val="restart"/>
          </w:tcPr>
          <w:p>
            <w:pPr>
              <w:jc w:val="center"/>
              <w:ind w:right="190"/>
              <w:spacing w:after="0"/>
              <w:rPr>
                <w:sz w:val="20"/>
                <w:szCs w:val="20"/>
                <w:color w:val="auto"/>
              </w:rPr>
            </w:pPr>
            <w:r>
              <w:rPr>
                <w:rFonts w:ascii="Arial" w:cs="Arial" w:eastAsia="Arial" w:hAnsi="Arial"/>
                <w:sz w:val="18"/>
                <w:szCs w:val="18"/>
                <w:color w:val="auto"/>
                <w:w w:val="97"/>
              </w:rPr>
              <w:t>With:</w:t>
            </w:r>
          </w:p>
        </w:tc>
        <w:tc>
          <w:tcPr>
            <w:tcW w:w="480" w:type="dxa"/>
            <w:vAlign w:val="bottom"/>
            <w:tcBorders>
              <w:bottom w:val="single" w:sz="8" w:color="auto"/>
            </w:tcBorders>
          </w:tcPr>
          <w:p>
            <w:pPr>
              <w:spacing w:after="0"/>
              <w:rPr>
                <w:sz w:val="3"/>
                <w:szCs w:val="3"/>
                <w:color w:val="auto"/>
              </w:rPr>
            </w:pPr>
          </w:p>
        </w:tc>
        <w:tc>
          <w:tcPr>
            <w:tcW w:w="9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20"/>
                <w:szCs w:val="20"/>
                <w:color w:val="auto"/>
              </w:rPr>
            </w:pP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9260" w:type="dxa"/>
            <w:vAlign w:val="bottom"/>
          </w:tcPr>
          <w:p>
            <w:pPr>
              <w:ind w:left="2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252"/>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p>
      <w:pPr>
        <w:ind w:left="832" w:right="5600" w:hanging="643"/>
        <w:spacing w:after="0" w:line="317" w:lineRule="auto"/>
        <w:tabs>
          <w:tab w:leader="none" w:pos="8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1,657,623</w:t>
      </w:r>
      <w:r>
        <w:rPr>
          <w:rFonts w:ascii="Arial" w:cs="Arial" w:eastAsia="Arial" w:hAnsi="Arial"/>
          <w:sz w:val="29"/>
          <w:szCs w:val="29"/>
          <w:color w:val="auto"/>
          <w:vertAlign w:val="superscript"/>
        </w:rPr>
        <w:t>2</w:t>
      </w:r>
    </w:p>
    <w:p>
      <w:pPr>
        <w:spacing w:after="0" w:line="1" w:lineRule="exact"/>
        <w:rPr>
          <w:rFonts w:ascii="Arial" w:cs="Arial" w:eastAsia="Arial" w:hAnsi="Arial"/>
          <w:sz w:val="18"/>
          <w:szCs w:val="18"/>
          <w:color w:val="auto"/>
        </w:rPr>
      </w:pPr>
    </w:p>
    <w:p>
      <w:pPr>
        <w:ind w:left="832" w:hanging="643"/>
        <w:spacing w:after="0" w:line="207" w:lineRule="exact"/>
        <w:tabs>
          <w:tab w:leader="none" w:pos="8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36" w:lineRule="exact"/>
        <w:rPr>
          <w:rFonts w:ascii="Arial" w:cs="Arial" w:eastAsia="Arial" w:hAnsi="Arial"/>
          <w:sz w:val="18"/>
          <w:szCs w:val="18"/>
          <w:color w:val="auto"/>
        </w:rPr>
      </w:pPr>
    </w:p>
    <w:p>
      <w:pPr>
        <w:ind w:left="832" w:right="6600" w:hanging="643"/>
        <w:spacing w:after="0" w:line="324" w:lineRule="auto"/>
        <w:tabs>
          <w:tab w:leader="none" w:pos="8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 5.1%</w:t>
      </w:r>
      <w:r>
        <w:rPr>
          <w:rFonts w:ascii="Arial" w:cs="Arial" w:eastAsia="Arial" w:hAnsi="Arial"/>
          <w:sz w:val="29"/>
          <w:szCs w:val="29"/>
          <w:color w:val="auto"/>
          <w:vertAlign w:val="superscript"/>
        </w:rPr>
        <w:t>3</w:t>
      </w:r>
    </w:p>
    <w:p>
      <w:pPr>
        <w:spacing w:after="0" w:line="1" w:lineRule="exact"/>
        <w:rPr>
          <w:rFonts w:ascii="Arial" w:cs="Arial" w:eastAsia="Arial" w:hAnsi="Arial"/>
          <w:sz w:val="18"/>
          <w:szCs w:val="18"/>
          <w:color w:val="auto"/>
        </w:rPr>
      </w:pPr>
    </w:p>
    <w:p>
      <w:pPr>
        <w:ind w:left="832" w:hanging="643"/>
        <w:spacing w:after="0"/>
        <w:tabs>
          <w:tab w:leader="none" w:pos="83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09" w:lineRule="exact"/>
        <w:rPr>
          <w:rFonts w:ascii="Arial" w:cs="Arial" w:eastAsia="Arial" w:hAnsi="Arial"/>
          <w:sz w:val="18"/>
          <w:szCs w:val="18"/>
          <w:color w:val="auto"/>
        </w:rPr>
      </w:pPr>
    </w:p>
    <w:p>
      <w:pPr>
        <w:ind w:left="83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52" w:lineRule="exact"/>
        <w:rPr>
          <w:sz w:val="20"/>
          <w:szCs w:val="20"/>
          <w:color w:val="auto"/>
        </w:rPr>
      </w:pPr>
    </w:p>
    <w:p>
      <w:pPr>
        <w:ind w:left="332" w:right="440" w:hanging="332"/>
        <w:spacing w:after="0" w:line="286" w:lineRule="auto"/>
        <w:tabs>
          <w:tab w:leader="none" w:pos="332" w:val="left"/>
        </w:tabs>
        <w:numPr>
          <w:ilvl w:val="0"/>
          <w:numId w:val="32"/>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32" w:hanging="332"/>
        <w:spacing w:after="0"/>
        <w:tabs>
          <w:tab w:leader="none" w:pos="332"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52" w:hanging="315"/>
        <w:spacing w:after="0"/>
        <w:tabs>
          <w:tab w:leader="none" w:pos="652" w:val="left"/>
        </w:tabs>
        <w:numPr>
          <w:ilvl w:val="1"/>
          <w:numId w:val="33"/>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592" w:hanging="255"/>
        <w:spacing w:after="0"/>
        <w:tabs>
          <w:tab w:leader="none" w:pos="5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32" w:right="380" w:hanging="332"/>
        <w:spacing w:after="0" w:line="308" w:lineRule="auto"/>
        <w:tabs>
          <w:tab w:leader="none" w:pos="33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410845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04" w:right="339" w:bottom="1440" w:gutter="0" w:footer="0" w:header="0"/>
          <w:type w:val="continuous"/>
        </w:sectPr>
      </w:pPr>
    </w:p>
    <w:bookmarkStart w:id="8" w:name="page9"/>
    <w:bookmarkEnd w:id="8"/>
    <w:tbl>
      <w:tblPr>
        <w:tblLayout w:type="fixed"/>
        <w:tblInd w:w="10" w:type="dxa"/>
        <w:tblCellMar>
          <w:top w:w="0" w:type="dxa"/>
          <w:left w:w="0" w:type="dxa"/>
          <w:bottom w:w="0" w:type="dxa"/>
          <w:right w:w="0" w:type="dxa"/>
        </w:tblCellMar>
      </w:tblPr>
      <w:tr>
        <w:trPr>
          <w:trHeight w:val="216"/>
        </w:trPr>
        <w:tc>
          <w:tcPr>
            <w:tcW w:w="1900" w:type="dxa"/>
            <w:vAlign w:val="bottom"/>
            <w:tcBorders>
              <w:left w:val="single" w:sz="8" w:color="FEFEFE"/>
            </w:tcBorders>
            <w:gridSpan w:val="6"/>
            <w:shd w:val="clear" w:color="auto" w:fill="FEFEFE"/>
          </w:tcPr>
          <w:p>
            <w:pPr>
              <w:spacing w:after="0"/>
              <w:rPr>
                <w:sz w:val="20"/>
                <w:szCs w:val="20"/>
                <w:color w:val="auto"/>
              </w:rPr>
            </w:pPr>
            <w:r>
              <w:rPr>
                <w:rFonts w:ascii="Arial" w:cs="Arial" w:eastAsia="Arial" w:hAnsi="Arial"/>
                <w:sz w:val="18"/>
                <w:szCs w:val="18"/>
                <w:b w:val="1"/>
                <w:bCs w:val="1"/>
                <w:color w:val="auto"/>
              </w:rPr>
              <w:t>CUSIP No. 04746L104</w:t>
            </w:r>
          </w:p>
        </w:tc>
        <w:tc>
          <w:tcPr>
            <w:tcW w:w="9340" w:type="dxa"/>
            <w:vAlign w:val="bottom"/>
            <w:tcBorders>
              <w:right w:val="single" w:sz="8" w:color="FEFEFE"/>
            </w:tcBorders>
            <w:shd w:val="clear" w:color="auto" w:fill="FEFEFE"/>
          </w:tcPr>
          <w:p>
            <w:pPr>
              <w:ind w:left="8440"/>
              <w:spacing w:after="0"/>
              <w:rPr>
                <w:sz w:val="20"/>
                <w:szCs w:val="20"/>
                <w:color w:val="auto"/>
              </w:rPr>
            </w:pPr>
            <w:r>
              <w:rPr>
                <w:rFonts w:ascii="Arial" w:cs="Arial" w:eastAsia="Arial" w:hAnsi="Arial"/>
                <w:sz w:val="18"/>
                <w:szCs w:val="18"/>
                <w:color w:val="auto"/>
                <w:w w:val="84"/>
              </w:rPr>
              <w:t>Page 9 of 17</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62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VHCP Management EG, LLC</w:t>
            </w:r>
          </w:p>
        </w:tc>
        <w:tc>
          <w:tcPr>
            <w:tcW w:w="0" w:type="dxa"/>
            <w:vAlign w:val="bottom"/>
          </w:tcPr>
          <w:p>
            <w:pPr>
              <w:spacing w:after="0"/>
              <w:rPr>
                <w:sz w:val="1"/>
                <w:szCs w:val="1"/>
                <w:color w:val="auto"/>
              </w:rPr>
            </w:pPr>
          </w:p>
        </w:tc>
      </w:tr>
      <w:tr>
        <w:trPr>
          <w:trHeight w:val="205"/>
        </w:trPr>
        <w:tc>
          <w:tcPr>
            <w:tcW w:w="42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20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5"/>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20" w:type="dxa"/>
            <w:vAlign w:val="bottom"/>
            <w:tcBorders>
              <w:left w:val="single" w:sz="8" w:color="auto"/>
            </w:tcBorders>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280" w:type="dxa"/>
            <w:vAlign w:val="bottom"/>
            <w:gridSpan w:val="4"/>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0" w:type="dxa"/>
            <w:vAlign w:val="bottom"/>
            <w:tcBorders>
              <w:left w:val="single" w:sz="8" w:color="auto"/>
              <w:bottom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1280" w:type="dxa"/>
            <w:vAlign w:val="bottom"/>
            <w:tcBorders>
              <w:bottom w:val="single" w:sz="8" w:color="auto"/>
            </w:tcBorders>
            <w:gridSpan w:val="4"/>
          </w:tcPr>
          <w:p>
            <w:pPr>
              <w:spacing w:after="0"/>
              <w:rPr>
                <w:sz w:val="8"/>
                <w:szCs w:val="8"/>
                <w:color w:val="auto"/>
              </w:rPr>
            </w:pPr>
          </w:p>
        </w:tc>
        <w:tc>
          <w:tcPr>
            <w:tcW w:w="93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auto"/>
            </w:tcBorders>
          </w:tcPr>
          <w:p>
            <w:pPr>
              <w:spacing w:after="0"/>
              <w:rPr>
                <w:sz w:val="20"/>
                <w:szCs w:val="20"/>
                <w:color w:val="auto"/>
              </w:rPr>
            </w:pPr>
          </w:p>
        </w:tc>
        <w:tc>
          <w:tcPr>
            <w:tcW w:w="1280" w:type="dxa"/>
            <w:vAlign w:val="bottom"/>
            <w:gridSpan w:val="4"/>
          </w:tcPr>
          <w:p>
            <w:pPr>
              <w:spacing w:after="0"/>
              <w:rPr>
                <w:sz w:val="20"/>
                <w:szCs w:val="20"/>
                <w:color w:val="auto"/>
              </w:rPr>
            </w:pPr>
            <w:r>
              <w:rPr>
                <w:rFonts w:ascii="Arial" w:cs="Arial" w:eastAsia="Arial" w:hAnsi="Arial"/>
                <w:sz w:val="18"/>
                <w:szCs w:val="18"/>
                <w:color w:val="auto"/>
                <w:w w:val="94"/>
              </w:rPr>
              <w:t>SEC USE ONLY</w:t>
            </w:r>
          </w:p>
        </w:tc>
        <w:tc>
          <w:tcPr>
            <w:tcW w:w="93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Borders>
              <w:left w:val="single" w:sz="8" w:color="auto"/>
              <w:bottom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Delaware</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5.</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420" w:type="dxa"/>
            <w:vAlign w:val="bottom"/>
            <w:tcBorders>
              <w:left w:val="single" w:sz="8" w:color="auto"/>
            </w:tcBorders>
          </w:tcPr>
          <w:p>
            <w:pPr>
              <w:spacing w:after="0"/>
              <w:rPr>
                <w:sz w:val="22"/>
                <w:szCs w:val="22"/>
                <w:color w:val="auto"/>
              </w:rPr>
            </w:pPr>
          </w:p>
        </w:tc>
        <w:tc>
          <w:tcPr>
            <w:tcW w:w="88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22"/>
                <w:szCs w:val="22"/>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22"/>
                <w:szCs w:val="22"/>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3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20" w:type="dxa"/>
            <w:vAlign w:val="bottom"/>
            <w:tcBorders>
              <w:left w:val="single" w:sz="8" w:color="auto"/>
            </w:tcBorders>
          </w:tcPr>
          <w:p>
            <w:pPr>
              <w:spacing w:after="0"/>
              <w:rPr>
                <w:sz w:val="16"/>
                <w:szCs w:val="16"/>
                <w:color w:val="auto"/>
              </w:rPr>
            </w:pPr>
          </w:p>
        </w:tc>
        <w:tc>
          <w:tcPr>
            <w:tcW w:w="88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20" w:type="dxa"/>
            <w:vAlign w:val="bottom"/>
          </w:tcPr>
          <w:p>
            <w:pPr>
              <w:spacing w:after="0"/>
              <w:rPr>
                <w:sz w:val="16"/>
                <w:szCs w:val="16"/>
                <w:color w:val="auto"/>
              </w:rPr>
            </w:pPr>
          </w:p>
        </w:tc>
        <w:tc>
          <w:tcPr>
            <w:tcW w:w="42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79"/>
              </w:rPr>
              <w:t>7.</w:t>
            </w:r>
          </w:p>
        </w:tc>
        <w:tc>
          <w:tcPr>
            <w:tcW w:w="160" w:type="dxa"/>
            <w:vAlign w:val="bottom"/>
          </w:tcPr>
          <w:p>
            <w:pPr>
              <w:spacing w:after="0"/>
              <w:rPr>
                <w:sz w:val="16"/>
                <w:szCs w:val="16"/>
                <w:color w:val="auto"/>
              </w:rPr>
            </w:pPr>
          </w:p>
        </w:tc>
        <w:tc>
          <w:tcPr>
            <w:tcW w:w="934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20" w:type="dxa"/>
            <w:vAlign w:val="bottom"/>
            <w:tcBorders>
              <w:left w:val="single" w:sz="8" w:color="auto"/>
            </w:tcBorders>
          </w:tcPr>
          <w:p>
            <w:pPr>
              <w:spacing w:after="0"/>
              <w:rPr>
                <w:sz w:val="3"/>
                <w:szCs w:val="3"/>
                <w:color w:val="auto"/>
              </w:rPr>
            </w:pPr>
          </w:p>
        </w:tc>
        <w:tc>
          <w:tcPr>
            <w:tcW w:w="88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3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spacing w:after="0"/>
              <w:rPr>
                <w:sz w:val="20"/>
                <w:szCs w:val="20"/>
                <w:color w:val="auto"/>
              </w:rPr>
            </w:pPr>
          </w:p>
        </w:tc>
        <w:tc>
          <w:tcPr>
            <w:tcW w:w="880" w:type="dxa"/>
            <w:vAlign w:val="bottom"/>
            <w:tcBorders>
              <w:right w:val="single" w:sz="8" w:color="auto"/>
            </w:tcBorders>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79"/>
              </w:rPr>
              <w:t>8.</w:t>
            </w:r>
          </w:p>
        </w:tc>
        <w:tc>
          <w:tcPr>
            <w:tcW w:w="160" w:type="dxa"/>
            <w:vAlign w:val="bottom"/>
          </w:tcPr>
          <w:p>
            <w:pPr>
              <w:spacing w:after="0"/>
              <w:rPr>
                <w:sz w:val="20"/>
                <w:szCs w:val="20"/>
                <w:color w:val="auto"/>
              </w:rPr>
            </w:pPr>
          </w:p>
        </w:tc>
        <w:tc>
          <w:tcPr>
            <w:tcW w:w="93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10.</w:t>
            </w:r>
          </w:p>
        </w:tc>
        <w:tc>
          <w:tcPr>
            <w:tcW w:w="20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5"/>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20" w:type="dxa"/>
            <w:vAlign w:val="bottom"/>
            <w:tcBorders>
              <w:left w:val="single" w:sz="8" w:color="auto"/>
              <w:bottom w:val="single" w:sz="8" w:color="auto"/>
            </w:tcBorders>
          </w:tcPr>
          <w:p>
            <w:pPr>
              <w:spacing w:after="0"/>
              <w:rPr>
                <w:sz w:val="13"/>
                <w:szCs w:val="13"/>
                <w:color w:val="auto"/>
              </w:rPr>
            </w:pPr>
          </w:p>
        </w:tc>
        <w:tc>
          <w:tcPr>
            <w:tcW w:w="20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spacing w:after="0"/>
              <w:rPr>
                <w:sz w:val="13"/>
                <w:szCs w:val="13"/>
                <w:color w:val="auto"/>
              </w:rPr>
            </w:pPr>
          </w:p>
        </w:tc>
        <w:tc>
          <w:tcPr>
            <w:tcW w:w="950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11.</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79"/>
              </w:rPr>
              <w:t>12.</w:t>
            </w:r>
          </w:p>
        </w:tc>
        <w:tc>
          <w:tcPr>
            <w:tcW w:w="20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2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OO</w:t>
            </w: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9" w:name="page10"/>
    <w:bookmarkEnd w:id="9"/>
    <w:tbl>
      <w:tblPr>
        <w:tblLayout w:type="fixed"/>
        <w:tblInd w:w="10" w:type="dxa"/>
        <w:tblCellMar>
          <w:top w:w="0" w:type="dxa"/>
          <w:left w:w="0" w:type="dxa"/>
          <w:bottom w:w="0" w:type="dxa"/>
          <w:right w:w="0" w:type="dxa"/>
        </w:tblCellMar>
      </w:tblPr>
      <w:tr>
        <w:trPr>
          <w:trHeight w:val="216"/>
        </w:trPr>
        <w:tc>
          <w:tcPr>
            <w:tcW w:w="178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04746L104</w:t>
            </w:r>
          </w:p>
        </w:tc>
        <w:tc>
          <w:tcPr>
            <w:tcW w:w="9460" w:type="dxa"/>
            <w:vAlign w:val="bottom"/>
            <w:tcBorders>
              <w:right w:val="single" w:sz="8" w:color="FEFEFE"/>
            </w:tcBorders>
            <w:shd w:val="clear" w:color="auto" w:fill="FEFEFE"/>
          </w:tcPr>
          <w:p>
            <w:pPr>
              <w:ind w:left="8460"/>
              <w:spacing w:after="0"/>
              <w:rPr>
                <w:sz w:val="20"/>
                <w:szCs w:val="20"/>
                <w:color w:val="auto"/>
              </w:rPr>
            </w:pPr>
            <w:r>
              <w:rPr>
                <w:rFonts w:ascii="Arial" w:cs="Arial" w:eastAsia="Arial" w:hAnsi="Arial"/>
                <w:sz w:val="18"/>
                <w:szCs w:val="18"/>
                <w:color w:val="auto"/>
                <w:w w:val="85"/>
              </w:rPr>
              <w:t>Page 10 of 17</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Shah, Nimish</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4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4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22"/>
                <w:szCs w:val="22"/>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Borders>
              <w:left w:val="single" w:sz="8" w:color="auto"/>
            </w:tcBorders>
          </w:tcPr>
          <w:p>
            <w:pPr>
              <w:spacing w:after="0"/>
              <w:rPr>
                <w:sz w:val="16"/>
                <w:szCs w:val="16"/>
                <w:color w:val="auto"/>
              </w:rPr>
            </w:pPr>
          </w:p>
        </w:tc>
        <w:tc>
          <w:tcPr>
            <w:tcW w:w="84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16"/>
                <w:szCs w:val="16"/>
                <w:color w:val="auto"/>
              </w:rPr>
            </w:pPr>
          </w:p>
        </w:tc>
        <w:tc>
          <w:tcPr>
            <w:tcW w:w="946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4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40" w:type="dxa"/>
            <w:vAlign w:val="bottom"/>
            <w:tcBorders>
              <w:right w:val="single" w:sz="8" w:color="auto"/>
            </w:tcBorders>
            <w:gridSpan w:val="2"/>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20"/>
                <w:szCs w:val="20"/>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10.</w:t>
            </w:r>
          </w:p>
        </w:tc>
        <w:tc>
          <w:tcPr>
            <w:tcW w:w="18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11.</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12.</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216"/>
        </w:trPr>
        <w:tc>
          <w:tcPr>
            <w:tcW w:w="1780" w:type="dxa"/>
            <w:vAlign w:val="bottom"/>
            <w:tcBorders>
              <w:left w:val="single" w:sz="8" w:color="FEFEFE"/>
            </w:tcBorders>
            <w:gridSpan w:val="5"/>
            <w:shd w:val="clear" w:color="auto" w:fill="FEFEFE"/>
          </w:tcPr>
          <w:p>
            <w:pPr>
              <w:spacing w:after="0"/>
              <w:rPr>
                <w:sz w:val="20"/>
                <w:szCs w:val="20"/>
                <w:color w:val="auto"/>
              </w:rPr>
            </w:pPr>
            <w:r>
              <w:rPr>
                <w:rFonts w:ascii="Arial" w:cs="Arial" w:eastAsia="Arial" w:hAnsi="Arial"/>
                <w:sz w:val="18"/>
                <w:szCs w:val="18"/>
                <w:b w:val="1"/>
                <w:bCs w:val="1"/>
                <w:color w:val="auto"/>
                <w:w w:val="95"/>
              </w:rPr>
              <w:t>CUSIP No. 04746L104</w:t>
            </w:r>
          </w:p>
        </w:tc>
        <w:tc>
          <w:tcPr>
            <w:tcW w:w="9460" w:type="dxa"/>
            <w:vAlign w:val="bottom"/>
            <w:tcBorders>
              <w:right w:val="single" w:sz="8" w:color="FEFEFE"/>
            </w:tcBorders>
            <w:shd w:val="clear" w:color="auto" w:fill="FEFEFE"/>
          </w:tcPr>
          <w:p>
            <w:pPr>
              <w:ind w:left="8480"/>
              <w:spacing w:after="0"/>
              <w:rPr>
                <w:sz w:val="20"/>
                <w:szCs w:val="20"/>
                <w:color w:val="auto"/>
              </w:rPr>
            </w:pPr>
            <w:r>
              <w:rPr>
                <w:rFonts w:ascii="Arial" w:cs="Arial" w:eastAsia="Arial" w:hAnsi="Arial"/>
                <w:sz w:val="18"/>
                <w:szCs w:val="18"/>
                <w:color w:val="auto"/>
                <w:w w:val="83"/>
              </w:rPr>
              <w:t>Page 11 of 17</w:t>
            </w:r>
          </w:p>
        </w:tc>
        <w:tc>
          <w:tcPr>
            <w:tcW w:w="0" w:type="dxa"/>
            <w:vAlign w:val="bottom"/>
          </w:tcPr>
          <w:p>
            <w:pPr>
              <w:spacing w:after="0"/>
              <w:rPr>
                <w:sz w:val="1"/>
                <w:szCs w:val="1"/>
                <w:color w:val="auto"/>
              </w:rPr>
            </w:pPr>
          </w:p>
        </w:tc>
      </w:tr>
      <w:tr>
        <w:trPr>
          <w:trHeight w:val="223"/>
        </w:trPr>
        <w:tc>
          <w:tcPr>
            <w:tcW w:w="4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20" w:type="dxa"/>
            <w:vAlign w:val="bottom"/>
            <w:tcBorders>
              <w:bottom w:val="single" w:sz="8" w:color="auto"/>
            </w:tcBorders>
            <w:gridSpan w:val="4"/>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439"/>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Koh, Bong</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 w:type="dxa"/>
            <w:vAlign w:val="bottom"/>
            <w:tcBorders>
              <w:left w:val="single" w:sz="8" w:color="auto"/>
            </w:tcBorders>
          </w:tcPr>
          <w:p>
            <w:pPr>
              <w:ind w:left="200"/>
              <w:spacing w:after="0" w:line="206" w:lineRule="exact"/>
              <w:rPr>
                <w:sz w:val="20"/>
                <w:szCs w:val="20"/>
                <w:color w:val="auto"/>
              </w:rPr>
            </w:pPr>
            <w:r>
              <w:rPr>
                <w:rFonts w:ascii="Arial" w:cs="Arial" w:eastAsia="Arial" w:hAnsi="Arial"/>
                <w:sz w:val="18"/>
                <w:szCs w:val="18"/>
                <w:color w:val="auto"/>
              </w:rPr>
              <w:t>2.</w:t>
            </w:r>
          </w:p>
        </w:tc>
        <w:tc>
          <w:tcPr>
            <w:tcW w:w="180" w:type="dxa"/>
            <w:vAlign w:val="bottom"/>
            <w:tcBorders>
              <w:right w:val="single" w:sz="8" w:color="auto"/>
            </w:tcBorders>
          </w:tcPr>
          <w:p>
            <w:pPr>
              <w:spacing w:after="0"/>
              <w:rPr>
                <w:sz w:val="17"/>
                <w:szCs w:val="17"/>
                <w:color w:val="auto"/>
              </w:rPr>
            </w:pPr>
          </w:p>
        </w:tc>
        <w:tc>
          <w:tcPr>
            <w:tcW w:w="10620" w:type="dxa"/>
            <w:vAlign w:val="bottom"/>
            <w:tcBorders>
              <w:right w:val="single" w:sz="8" w:color="auto"/>
            </w:tcBorders>
            <w:gridSpan w:val="4"/>
          </w:tcPr>
          <w:p>
            <w:pPr>
              <w:spacing w:after="0" w:line="206"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90"/>
        </w:trPr>
        <w:tc>
          <w:tcPr>
            <w:tcW w:w="440" w:type="dxa"/>
            <w:vAlign w:val="bottom"/>
            <w:tcBorders>
              <w:lef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1160" w:type="dxa"/>
            <w:vAlign w:val="bottom"/>
            <w:gridSpan w:val="3"/>
          </w:tcPr>
          <w:p>
            <w:pPr>
              <w:spacing w:after="0" w:line="334"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tc>
        <w:tc>
          <w:tcPr>
            <w:tcW w:w="9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40" w:type="dxa"/>
            <w:vAlign w:val="bottom"/>
            <w:tcBorders>
              <w:left w:val="single" w:sz="8" w:color="auto"/>
              <w:bottom w:val="single" w:sz="8" w:color="auto"/>
            </w:tcBorders>
          </w:tcPr>
          <w:p>
            <w:pPr>
              <w:spacing w:after="0"/>
              <w:rPr>
                <w:sz w:val="8"/>
                <w:szCs w:val="8"/>
                <w:color w:val="auto"/>
              </w:rPr>
            </w:pPr>
          </w:p>
        </w:tc>
        <w:tc>
          <w:tcPr>
            <w:tcW w:w="180" w:type="dxa"/>
            <w:vAlign w:val="bottom"/>
            <w:tcBorders>
              <w:bottom w:val="single" w:sz="8" w:color="auto"/>
              <w:right w:val="single" w:sz="8" w:color="auto"/>
            </w:tcBorders>
          </w:tcPr>
          <w:p>
            <w:pPr>
              <w:spacing w:after="0"/>
              <w:rPr>
                <w:sz w:val="8"/>
                <w:szCs w:val="8"/>
                <w:color w:val="auto"/>
              </w:rPr>
            </w:pPr>
          </w:p>
        </w:tc>
        <w:tc>
          <w:tcPr>
            <w:tcW w:w="1062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3.</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09"/>
        </w:trPr>
        <w:tc>
          <w:tcPr>
            <w:tcW w:w="440" w:type="dxa"/>
            <w:vAlign w:val="bottom"/>
            <w:tcBorders>
              <w:left w:val="single" w:sz="8" w:color="auto"/>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062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United States</w:t>
            </w: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5.</w:t>
            </w:r>
          </w:p>
        </w:tc>
        <w:tc>
          <w:tcPr>
            <w:tcW w:w="60" w:type="dxa"/>
            <w:vAlign w:val="bottom"/>
          </w:tcPr>
          <w:p>
            <w:pPr>
              <w:spacing w:after="0"/>
              <w:rPr>
                <w:sz w:val="20"/>
                <w:szCs w:val="20"/>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Shares</w:t>
            </w: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6.</w:t>
            </w:r>
          </w:p>
        </w:tc>
        <w:tc>
          <w:tcPr>
            <w:tcW w:w="60" w:type="dxa"/>
            <w:vAlign w:val="bottom"/>
          </w:tcPr>
          <w:p>
            <w:pPr>
              <w:spacing w:after="0"/>
              <w:rPr>
                <w:sz w:val="22"/>
                <w:szCs w:val="22"/>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Beneficially</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24"/>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1"/>
              </w:rPr>
              <w:t>Owned by</w:t>
            </w:r>
          </w:p>
        </w:tc>
        <w:tc>
          <w:tcPr>
            <w:tcW w:w="440" w:type="dxa"/>
            <w:vAlign w:val="bottom"/>
            <w:tcBorders>
              <w:bottom w:val="single" w:sz="8" w:color="auto"/>
              <w:right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6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40" w:type="dxa"/>
            <w:vAlign w:val="bottom"/>
            <w:tcBorders>
              <w:left w:val="single" w:sz="8" w:color="auto"/>
            </w:tcBorders>
          </w:tcPr>
          <w:p>
            <w:pPr>
              <w:spacing w:after="0"/>
              <w:rPr>
                <w:sz w:val="16"/>
                <w:szCs w:val="16"/>
                <w:color w:val="auto"/>
              </w:rPr>
            </w:pPr>
          </w:p>
        </w:tc>
        <w:tc>
          <w:tcPr>
            <w:tcW w:w="84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440" w:type="dxa"/>
            <w:vAlign w:val="bottom"/>
            <w:tcBorders>
              <w:right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w w:val="92"/>
              </w:rPr>
              <w:t>7.</w:t>
            </w:r>
          </w:p>
        </w:tc>
        <w:tc>
          <w:tcPr>
            <w:tcW w:w="60" w:type="dxa"/>
            <w:vAlign w:val="bottom"/>
          </w:tcPr>
          <w:p>
            <w:pPr>
              <w:spacing w:after="0"/>
              <w:rPr>
                <w:sz w:val="16"/>
                <w:szCs w:val="16"/>
                <w:color w:val="auto"/>
              </w:rPr>
            </w:pPr>
          </w:p>
        </w:tc>
        <w:tc>
          <w:tcPr>
            <w:tcW w:w="946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4"/>
              </w:rPr>
              <w:t>Person</w:t>
            </w:r>
          </w:p>
        </w:tc>
        <w:tc>
          <w:tcPr>
            <w:tcW w:w="4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440" w:type="dxa"/>
            <w:vAlign w:val="bottom"/>
            <w:tcBorders>
              <w:left w:val="single" w:sz="8" w:color="auto"/>
            </w:tcBorders>
          </w:tcPr>
          <w:p>
            <w:pPr>
              <w:spacing w:after="0"/>
              <w:rPr>
                <w:sz w:val="3"/>
                <w:szCs w:val="3"/>
                <w:color w:val="auto"/>
              </w:rPr>
            </w:pPr>
          </w:p>
        </w:tc>
        <w:tc>
          <w:tcPr>
            <w:tcW w:w="84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4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spacing w:after="0"/>
              <w:rPr>
                <w:sz w:val="20"/>
                <w:szCs w:val="20"/>
                <w:color w:val="auto"/>
              </w:rPr>
            </w:pPr>
          </w:p>
        </w:tc>
        <w:tc>
          <w:tcPr>
            <w:tcW w:w="840" w:type="dxa"/>
            <w:vAlign w:val="bottom"/>
            <w:tcBorders>
              <w:right w:val="single" w:sz="8" w:color="auto"/>
            </w:tcBorders>
            <w:gridSpan w:val="2"/>
            <w:vMerge w:val="continue"/>
          </w:tcPr>
          <w:p>
            <w:pPr>
              <w:spacing w:after="0"/>
              <w:rPr>
                <w:sz w:val="20"/>
                <w:szCs w:val="20"/>
                <w:color w:val="auto"/>
              </w:rPr>
            </w:pPr>
          </w:p>
        </w:tc>
        <w:tc>
          <w:tcPr>
            <w:tcW w:w="440" w:type="dxa"/>
            <w:vAlign w:val="bottom"/>
            <w:tcBorders>
              <w:right w:val="single" w:sz="8" w:color="auto"/>
            </w:tcBorders>
          </w:tcPr>
          <w:p>
            <w:pPr>
              <w:jc w:val="right"/>
              <w:ind w:right="190"/>
              <w:spacing w:after="0"/>
              <w:rPr>
                <w:sz w:val="20"/>
                <w:szCs w:val="20"/>
                <w:color w:val="auto"/>
              </w:rPr>
            </w:pPr>
            <w:r>
              <w:rPr>
                <w:rFonts w:ascii="Arial" w:cs="Arial" w:eastAsia="Arial" w:hAnsi="Arial"/>
                <w:sz w:val="18"/>
                <w:szCs w:val="18"/>
                <w:color w:val="auto"/>
                <w:w w:val="92"/>
              </w:rPr>
              <w:t>8.</w:t>
            </w:r>
          </w:p>
        </w:tc>
        <w:tc>
          <w:tcPr>
            <w:tcW w:w="60" w:type="dxa"/>
            <w:vAlign w:val="bottom"/>
          </w:tcPr>
          <w:p>
            <w:pPr>
              <w:spacing w:after="0"/>
              <w:rPr>
                <w:sz w:val="20"/>
                <w:szCs w:val="20"/>
                <w:color w:val="auto"/>
              </w:rPr>
            </w:pPr>
          </w:p>
        </w:tc>
        <w:tc>
          <w:tcPr>
            <w:tcW w:w="9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9.</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1,657,623</w:t>
            </w:r>
            <w:r>
              <w:rPr>
                <w:rFonts w:ascii="Arial" w:cs="Arial" w:eastAsia="Arial" w:hAnsi="Arial"/>
                <w:sz w:val="29"/>
                <w:szCs w:val="29"/>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10.</w:t>
            </w:r>
          </w:p>
        </w:tc>
        <w:tc>
          <w:tcPr>
            <w:tcW w:w="180" w:type="dxa"/>
            <w:vAlign w:val="bottom"/>
            <w:tcBorders>
              <w:right w:val="single" w:sz="8" w:color="auto"/>
            </w:tcBorders>
          </w:tcPr>
          <w:p>
            <w:pPr>
              <w:spacing w:after="0"/>
              <w:rPr>
                <w:sz w:val="24"/>
                <w:szCs w:val="24"/>
                <w:color w:val="auto"/>
              </w:rPr>
            </w:pPr>
          </w:p>
        </w:tc>
        <w:tc>
          <w:tcPr>
            <w:tcW w:w="10620" w:type="dxa"/>
            <w:vAlign w:val="bottom"/>
            <w:tcBorders>
              <w:right w:val="single" w:sz="8" w:color="auto"/>
            </w:tcBorders>
            <w:gridSpan w:val="4"/>
          </w:tcPr>
          <w:p>
            <w:pPr>
              <w:spacing w:after="0" w:line="207" w:lineRule="exact"/>
              <w:rPr>
                <w:sz w:val="20"/>
                <w:szCs w:val="20"/>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6"/>
        </w:trPr>
        <w:tc>
          <w:tcPr>
            <w:tcW w:w="440" w:type="dxa"/>
            <w:vAlign w:val="bottom"/>
            <w:tcBorders>
              <w:left w:val="single" w:sz="8" w:color="auto"/>
              <w:bottom w:val="single" w:sz="8" w:color="auto"/>
            </w:tcBorders>
          </w:tcPr>
          <w:p>
            <w:pPr>
              <w:spacing w:after="0"/>
              <w:rPr>
                <w:sz w:val="13"/>
                <w:szCs w:val="13"/>
                <w:color w:val="auto"/>
              </w:rPr>
            </w:pPr>
          </w:p>
        </w:tc>
        <w:tc>
          <w:tcPr>
            <w:tcW w:w="1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520" w:type="dxa"/>
            <w:vAlign w:val="bottom"/>
            <w:tcBorders>
              <w:bottom w:val="single" w:sz="8" w:color="auto"/>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11.</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6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5.1%</w:t>
            </w:r>
            <w:r>
              <w:rPr>
                <w:rFonts w:ascii="Arial" w:cs="Arial" w:eastAsia="Arial" w:hAnsi="Arial"/>
                <w:sz w:val="29"/>
                <w:szCs w:val="29"/>
                <w:color w:val="auto"/>
                <w:vertAlign w:val="superscript"/>
              </w:rPr>
              <w:t>3</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87"/>
              </w:rPr>
              <w:t>12.</w:t>
            </w:r>
          </w:p>
        </w:tc>
        <w:tc>
          <w:tcPr>
            <w:tcW w:w="180" w:type="dxa"/>
            <w:vAlign w:val="bottom"/>
            <w:tcBorders>
              <w:right w:val="single" w:sz="8" w:color="auto"/>
            </w:tcBorders>
          </w:tcPr>
          <w:p>
            <w:pPr>
              <w:spacing w:after="0"/>
              <w:rPr>
                <w:sz w:val="20"/>
                <w:szCs w:val="20"/>
                <w:color w:val="auto"/>
              </w:rPr>
            </w:pPr>
          </w:p>
        </w:tc>
        <w:tc>
          <w:tcPr>
            <w:tcW w:w="1062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440" w:type="dxa"/>
            <w:vAlign w:val="bottom"/>
            <w:tcBorders>
              <w:left w:val="single" w:sz="8" w:color="auto"/>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40" w:hanging="332"/>
        <w:spacing w:after="0" w:line="286"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Venrock Healthcare Capital Partners II, L.P., VHCP Co-Investment Holdings II, LLC, Venrock Healthcare Capital Partners III, L.P., VHCP Co-Investment Holdings III, LLC, Venrock Healthcare Capital Partners EG, L.P., VHCP Management II, LLC, VHCP Management III, LLC, VHCP Management EG, LLC, Nimish Shah and Bong Koh are members of a group for the purposes of this Schedule 13G.</w:t>
      </w:r>
    </w:p>
    <w:p>
      <w:pPr>
        <w:spacing w:after="0" w:line="165"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45"/>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600" w:hanging="255"/>
        <w:spacing w:after="0"/>
        <w:tabs>
          <w:tab w:leader="none" w:pos="6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w:t>
      </w:r>
    </w:p>
    <w:p>
      <w:pPr>
        <w:spacing w:after="0" w:line="211" w:lineRule="exact"/>
        <w:rPr>
          <w:sz w:val="20"/>
          <w:szCs w:val="20"/>
          <w:color w:val="auto"/>
        </w:rPr>
      </w:pPr>
    </w:p>
    <w:p>
      <w:pPr>
        <w:ind w:left="340" w:right="38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percentage is calculated based upon 32,485,184 shares of the Issuer’s Common Stock outstanding as of November 9, 2020, as reported in the Issuer’s Quarterly Report on Form 10-Q filed with the Securities and Exchange Commission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11" w:name="page12"/>
    <w:bookmarkEnd w:id="11"/>
    <w:p>
      <w:pPr>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12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Introductory Note: This Schedule 13G is filed on behalf of Venrock Healthcare Capital Partners II, L.P., a limited partnership organized under the laws of the State of Delaware (“VHCP II LP”), VHCP Co-Investment Holdings II, LLC, a limited liability company organized under the laws of the State of Delaware (“VHCP Co-Investment II”), Venrock Healthcare Capital Partners III, L.P., a limited partnership organized under the laws of the State of Delaware (“VHCP III LP”), VHCP Co-Investment Holdings III, LLC, a limited liability company organized under the laws of the State of Delaware (“VHCP Co-Investment III”), Venrock Healthcare Capital Partners EG, L.P., a limited partnership organized under the laws of the State of Delaware (“VHCP EG”), VHCP Management II, LLC, a limited liability company organized under the laws of the State of Delaware (“VHCP Management II”), VHCP Management III, LLC, a limited liability company organized under the laws of the State of Delaware (“VHCP Management III”), VHCP Management EG, LLC, a limited liability company organized under the laws of the State of Delaware (“VHCP Management EG” and collectively with VHCP II LP, VHCP Co-Investment II, VHCP III LP, VHCP Co-Investment III, VHCP EG, VHCP Management II and VHCP Management III, the “Venrock Entities”), Nimish Shah (“Shah”) and Bong Koh (“Koh”) in respect of Common Stock of Athira Pharma,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Issuer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Athira Pharma,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Issuer’s Principal Executive Offices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4000 Mason Road, Suite 300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 98195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Name of Person Filing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III,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Co-Investment Holdings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Venrock Healthcare Capital Partners EG,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III,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VHCP Management EG,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Nimish Shah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Bong Koh</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Address of Principal Business Office or, if none, Residence</w:t>
      </w:r>
    </w:p>
    <w:p>
      <w:pPr>
        <w:spacing w:after="0" w:line="225" w:lineRule="exact"/>
        <w:rPr>
          <w:sz w:val="20"/>
          <w:szCs w:val="20"/>
          <w:color w:val="auto"/>
        </w:rPr>
      </w:pPr>
    </w:p>
    <w:p>
      <w:pPr>
        <w:ind w:left="1480"/>
        <w:spacing w:after="0"/>
        <w:tabs>
          <w:tab w:leader="none" w:pos="5600" w:val="left"/>
        </w:tabs>
        <w:rPr>
          <w:sz w:val="20"/>
          <w:szCs w:val="20"/>
          <w:color w:val="auto"/>
        </w:rPr>
      </w:pPr>
      <w:r>
        <w:rPr>
          <w:rFonts w:ascii="Arial" w:cs="Arial" w:eastAsia="Arial" w:hAnsi="Arial"/>
          <w:sz w:val="18"/>
          <w:szCs w:val="18"/>
          <w:color w:val="auto"/>
        </w:rPr>
        <w:t>New York Office:</w:t>
      </w:r>
      <w:r>
        <w:rPr>
          <w:sz w:val="20"/>
          <w:szCs w:val="20"/>
          <w:color w:val="auto"/>
        </w:rPr>
        <w:tab/>
      </w:r>
      <w:r>
        <w:rPr>
          <w:rFonts w:ascii="Arial" w:cs="Arial" w:eastAsia="Arial" w:hAnsi="Arial"/>
          <w:sz w:val="17"/>
          <w:szCs w:val="17"/>
          <w:color w:val="auto"/>
        </w:rPr>
        <w:t>Palo Alto Office:</w:t>
      </w:r>
    </w:p>
    <w:p>
      <w:pPr>
        <w:spacing w:after="0" w:line="225" w:lineRule="exact"/>
        <w:rPr>
          <w:sz w:val="20"/>
          <w:szCs w:val="20"/>
          <w:color w:val="auto"/>
        </w:rPr>
      </w:pPr>
    </w:p>
    <w:p>
      <w:pPr>
        <w:ind w:left="1480"/>
        <w:spacing w:after="0"/>
        <w:tabs>
          <w:tab w:leader="none" w:pos="5600" w:val="left"/>
        </w:tabs>
        <w:rPr>
          <w:sz w:val="20"/>
          <w:szCs w:val="20"/>
          <w:color w:val="auto"/>
        </w:rPr>
      </w:pPr>
      <w:r>
        <w:rPr>
          <w:rFonts w:ascii="Arial" w:cs="Arial" w:eastAsia="Arial" w:hAnsi="Arial"/>
          <w:sz w:val="18"/>
          <w:szCs w:val="18"/>
          <w:color w:val="auto"/>
        </w:rPr>
        <w:t>7 Bryant Park</w:t>
      </w:r>
      <w:r>
        <w:rPr>
          <w:sz w:val="20"/>
          <w:szCs w:val="20"/>
          <w:color w:val="auto"/>
        </w:rPr>
        <w:tab/>
      </w:r>
      <w:r>
        <w:rPr>
          <w:rFonts w:ascii="Arial" w:cs="Arial" w:eastAsia="Arial" w:hAnsi="Arial"/>
          <w:sz w:val="16"/>
          <w:szCs w:val="16"/>
          <w:color w:val="auto"/>
        </w:rPr>
        <w:t>3340 Hillview Avenue</w:t>
      </w:r>
    </w:p>
    <w:p>
      <w:pPr>
        <w:spacing w:after="0" w:line="23" w:lineRule="exact"/>
        <w:rPr>
          <w:sz w:val="20"/>
          <w:szCs w:val="20"/>
          <w:color w:val="auto"/>
        </w:rPr>
      </w:pPr>
    </w:p>
    <w:p>
      <w:pPr>
        <w:ind w:left="1480"/>
        <w:spacing w:after="0"/>
        <w:tabs>
          <w:tab w:leader="none" w:pos="5600" w:val="left"/>
        </w:tabs>
        <w:rPr>
          <w:sz w:val="20"/>
          <w:szCs w:val="20"/>
          <w:color w:val="auto"/>
        </w:rPr>
      </w:pPr>
      <w:r>
        <w:rPr>
          <w:rFonts w:ascii="Arial" w:cs="Arial" w:eastAsia="Arial" w:hAnsi="Arial"/>
          <w:sz w:val="18"/>
          <w:szCs w:val="18"/>
          <w:color w:val="auto"/>
        </w:rPr>
        <w:t>23rd Floor</w:t>
      </w:r>
      <w:r>
        <w:rPr>
          <w:sz w:val="20"/>
          <w:szCs w:val="20"/>
          <w:color w:val="auto"/>
        </w:rPr>
        <w:tab/>
      </w:r>
      <w:r>
        <w:rPr>
          <w:rFonts w:ascii="Arial" w:cs="Arial" w:eastAsia="Arial" w:hAnsi="Arial"/>
          <w:sz w:val="16"/>
          <w:szCs w:val="16"/>
          <w:color w:val="auto"/>
        </w:rPr>
        <w:t>Palo Alto, CA 94304</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New York, NY 10018</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Citizenship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of the Venrock Entities were organized in Delaware. The individuals are both United States citizens.</w:t>
      </w:r>
    </w:p>
    <w:p>
      <w:pPr>
        <w:spacing w:after="0" w:line="225" w:lineRule="exact"/>
        <w:rPr>
          <w:sz w:val="20"/>
          <w:szCs w:val="20"/>
          <w:color w:val="auto"/>
        </w:rPr>
      </w:pPr>
    </w:p>
    <w:p>
      <w:pPr>
        <w:jc w:val="center"/>
        <w:ind w:right="8020" w:firstLine="345"/>
        <w:spacing w:after="0" w:line="563" w:lineRule="auto"/>
        <w:tabs>
          <w:tab w:leader="none" w:pos="675" w:val="left"/>
        </w:tabs>
        <w:numPr>
          <w:ilvl w:val="0"/>
          <w:numId w:val="48"/>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$0.0001 per share</w:t>
      </w:r>
    </w:p>
    <w:p>
      <w:pPr>
        <w:ind w:left="680" w:hanging="335"/>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04746L104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p>
      <w:pPr>
        <w:spacing w:after="0"/>
        <w:tabs>
          <w:tab w:leader="none" w:pos="7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Not applicable</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Item 4.   Ownership</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ind w:left="340"/>
              <w:spacing w:after="0"/>
              <w:rPr>
                <w:sz w:val="20"/>
                <w:szCs w:val="20"/>
                <w:color w:val="auto"/>
              </w:rPr>
            </w:pPr>
            <w:r>
              <w:rPr>
                <w:rFonts w:ascii="Arial" w:cs="Arial" w:eastAsia="Arial" w:hAnsi="Arial"/>
                <w:sz w:val="18"/>
                <w:szCs w:val="18"/>
                <w:color w:val="auto"/>
              </w:rPr>
              <w:t>(a)  Amount Beneficially Owned as of November 16, 2020:</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2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Bong Koh</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2"/>
          </w:tcPr>
          <w:p>
            <w:pPr>
              <w:ind w:left="340"/>
              <w:spacing w:after="0"/>
              <w:rPr>
                <w:sz w:val="20"/>
                <w:szCs w:val="20"/>
                <w:color w:val="auto"/>
              </w:rPr>
            </w:pPr>
            <w:r>
              <w:rPr>
                <w:rFonts w:ascii="Arial" w:cs="Arial" w:eastAsia="Arial" w:hAnsi="Arial"/>
                <w:sz w:val="18"/>
                <w:szCs w:val="18"/>
                <w:color w:val="auto"/>
              </w:rPr>
              <w:t>(b)  Percent of Class as of November 16, 2020:</w:t>
            </w:r>
          </w:p>
        </w:tc>
        <w:tc>
          <w:tcPr>
            <w:tcW w:w="1840" w:type="dxa"/>
            <w:vAlign w:val="bottom"/>
          </w:tcPr>
          <w:p>
            <w:pPr>
              <w:spacing w:after="0"/>
              <w:rPr>
                <w:sz w:val="20"/>
                <w:szCs w:val="20"/>
                <w:color w:val="auto"/>
              </w:rPr>
            </w:pPr>
          </w:p>
        </w:tc>
        <w:tc>
          <w:tcPr>
            <w:tcW w:w="2100" w:type="dxa"/>
            <w:vAlign w:val="bottom"/>
          </w:tcPr>
          <w:p>
            <w:pPr>
              <w:spacing w:after="0"/>
              <w:rPr>
                <w:sz w:val="20"/>
                <w:szCs w:val="20"/>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8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840" w:type="dxa"/>
            <w:vAlign w:val="bottom"/>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8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840" w:type="dxa"/>
            <w:vAlign w:val="bottom"/>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18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840" w:type="dxa"/>
            <w:vAlign w:val="bottom"/>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18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1840" w:type="dxa"/>
            <w:vAlign w:val="bottom"/>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840" w:type="dxa"/>
            <w:vAlign w:val="bottom"/>
            <w:shd w:val="clear" w:color="auto" w:fill="CCEEFF"/>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Bong Koh</w:t>
            </w:r>
          </w:p>
        </w:tc>
        <w:tc>
          <w:tcPr>
            <w:tcW w:w="1840" w:type="dxa"/>
            <w:vAlign w:val="bottom"/>
          </w:tcPr>
          <w:p>
            <w:pPr>
              <w:jc w:val="center"/>
              <w:ind w:left="1330"/>
              <w:spacing w:after="0"/>
              <w:rPr>
                <w:sz w:val="20"/>
                <w:szCs w:val="20"/>
                <w:color w:val="auto"/>
              </w:rPr>
            </w:pPr>
            <w:r>
              <w:rPr>
                <w:rFonts w:ascii="Arial" w:cs="Arial" w:eastAsia="Arial" w:hAnsi="Arial"/>
                <w:sz w:val="18"/>
                <w:szCs w:val="18"/>
                <w:color w:val="auto"/>
                <w:w w:val="92"/>
              </w:rPr>
              <w:t>5.1%</w:t>
            </w:r>
          </w:p>
        </w:tc>
        <w:tc>
          <w:tcPr>
            <w:tcW w:w="2100" w:type="dxa"/>
            <w:vAlign w:val="bottom"/>
          </w:tcPr>
          <w:p>
            <w:pPr>
              <w:spacing w:after="0"/>
              <w:rPr>
                <w:sz w:val="20"/>
                <w:szCs w:val="20"/>
                <w:color w:val="auto"/>
              </w:rPr>
            </w:pPr>
          </w:p>
        </w:tc>
      </w:tr>
      <w:tr>
        <w:trPr>
          <w:trHeight w:val="418"/>
        </w:trPr>
        <w:tc>
          <w:tcPr>
            <w:tcW w:w="7300" w:type="dxa"/>
            <w:vAlign w:val="bottom"/>
            <w:gridSpan w:val="2"/>
          </w:tcPr>
          <w:p>
            <w:pPr>
              <w:ind w:left="340"/>
              <w:spacing w:after="0"/>
              <w:rPr>
                <w:sz w:val="20"/>
                <w:szCs w:val="20"/>
                <w:color w:val="auto"/>
              </w:rPr>
            </w:pPr>
            <w:r>
              <w:rPr>
                <w:rFonts w:ascii="Arial" w:cs="Arial" w:eastAsia="Arial" w:hAnsi="Arial"/>
                <w:sz w:val="18"/>
                <w:szCs w:val="18"/>
                <w:color w:val="auto"/>
              </w:rPr>
              <w:t>(c)  Number of shares as to which the person has, as of November 16, 2020:</w:t>
            </w: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432"/>
        </w:trPr>
        <w:tc>
          <w:tcPr>
            <w:tcW w:w="7300" w:type="dxa"/>
            <w:vAlign w:val="bottom"/>
            <w:gridSpan w:val="2"/>
          </w:tcPr>
          <w:p>
            <w:pPr>
              <w:ind w:left="340"/>
              <w:spacing w:after="0"/>
              <w:rPr>
                <w:sz w:val="20"/>
                <w:szCs w:val="20"/>
                <w:color w:val="auto"/>
              </w:rPr>
            </w:pPr>
            <w:r>
              <w:rPr>
                <w:rFonts w:ascii="Arial" w:cs="Arial" w:eastAsia="Arial" w:hAnsi="Arial"/>
                <w:sz w:val="18"/>
                <w:szCs w:val="18"/>
                <w:color w:val="auto"/>
              </w:rPr>
              <w:t>(i)  Sole power to vote or to direct the vote</w:t>
            </w:r>
          </w:p>
        </w:tc>
        <w:tc>
          <w:tcPr>
            <w:tcW w:w="184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1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1840" w:type="dxa"/>
            <w:vAlign w:val="bottom"/>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1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1840" w:type="dxa"/>
            <w:vAlign w:val="bottom"/>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1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Management II, LLC</w:t>
            </w:r>
          </w:p>
        </w:tc>
        <w:tc>
          <w:tcPr>
            <w:tcW w:w="1840" w:type="dxa"/>
            <w:vAlign w:val="bottom"/>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1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VHCP Management EG, LLC</w:t>
            </w:r>
          </w:p>
        </w:tc>
        <w:tc>
          <w:tcPr>
            <w:tcW w:w="1840" w:type="dxa"/>
            <w:vAlign w:val="bottom"/>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1840" w:type="dxa"/>
            <w:vAlign w:val="bottom"/>
            <w:shd w:val="clear" w:color="auto" w:fill="CCEEFF"/>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18"/>
                <w:szCs w:val="18"/>
                <w:color w:val="auto"/>
              </w:rPr>
            </w:pPr>
          </w:p>
        </w:tc>
      </w:tr>
      <w:tr>
        <w:trPr>
          <w:trHeight w:val="230"/>
        </w:trPr>
        <w:tc>
          <w:tcPr>
            <w:tcW w:w="19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Bong Koh</w:t>
            </w:r>
          </w:p>
        </w:tc>
        <w:tc>
          <w:tcPr>
            <w:tcW w:w="1840" w:type="dxa"/>
            <w:vAlign w:val="bottom"/>
          </w:tcPr>
          <w:p>
            <w:pPr>
              <w:jc w:val="center"/>
              <w:ind w:left="1370"/>
              <w:spacing w:after="0"/>
              <w:rPr>
                <w:sz w:val="20"/>
                <w:szCs w:val="20"/>
                <w:color w:val="auto"/>
              </w:rPr>
            </w:pPr>
            <w:r>
              <w:rPr>
                <w:rFonts w:ascii="Arial" w:cs="Arial" w:eastAsia="Arial" w:hAnsi="Arial"/>
                <w:sz w:val="18"/>
                <w:szCs w:val="18"/>
                <w:color w:val="auto"/>
                <w:w w:val="99"/>
              </w:rPr>
              <w:t>0</w:t>
            </w:r>
          </w:p>
        </w:tc>
        <w:tc>
          <w:tcPr>
            <w:tcW w:w="2100" w:type="dxa"/>
            <w:vAlign w:val="bottom"/>
          </w:tcPr>
          <w:p>
            <w:pPr>
              <w:spacing w:after="0"/>
              <w:rPr>
                <w:sz w:val="20"/>
                <w:szCs w:val="20"/>
                <w:color w:val="auto"/>
              </w:rPr>
            </w:pPr>
          </w:p>
        </w:tc>
      </w:tr>
      <w:tr>
        <w:trPr>
          <w:trHeight w:val="661"/>
        </w:trPr>
        <w:tc>
          <w:tcPr>
            <w:tcW w:w="19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14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(ii)  Shared power to vote or to direct the vote</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Bong Koh</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(iii)  Sole power to dispose or to direct the disposition of</w:t>
            </w:r>
          </w:p>
        </w:tc>
        <w:tc>
          <w:tcPr>
            <w:tcW w:w="2080" w:type="dxa"/>
            <w:vAlign w:val="bottom"/>
          </w:tcPr>
          <w:p>
            <w:pPr>
              <w:spacing w:after="0"/>
              <w:rPr>
                <w:sz w:val="20"/>
                <w:szCs w:val="20"/>
                <w:color w:val="auto"/>
              </w:rPr>
            </w:pPr>
          </w:p>
        </w:tc>
      </w:tr>
      <w:tr>
        <w:trPr>
          <w:trHeight w:val="216"/>
        </w:trPr>
        <w:tc>
          <w:tcPr>
            <w:tcW w:w="16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0</w:t>
            </w:r>
          </w:p>
        </w:tc>
      </w:tr>
      <w:tr>
        <w:trPr>
          <w:trHeight w:val="216"/>
        </w:trPr>
        <w:tc>
          <w:tcPr>
            <w:tcW w:w="16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w:t>
            </w:r>
          </w:p>
        </w:tc>
      </w:tr>
      <w:tr>
        <w:trPr>
          <w:trHeight w:val="230"/>
        </w:trPr>
        <w:tc>
          <w:tcPr>
            <w:tcW w:w="162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Bong Koh</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46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80" w:type="dxa"/>
            <w:vAlign w:val="bottom"/>
            <w:vMerge w:val="restart"/>
          </w:tcPr>
          <w:p>
            <w:pPr>
              <w:spacing w:after="0"/>
              <w:rPr>
                <w:sz w:val="18"/>
                <w:szCs w:val="18"/>
                <w:color w:val="auto"/>
              </w:rPr>
            </w:pPr>
          </w:p>
        </w:tc>
        <w:tc>
          <w:tcPr>
            <w:tcW w:w="48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III,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Co-Investment Holdings III,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Venrock Healthcare Capital Partners EG, L.P.</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II,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VHCP Management III, LLC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VHCP Management EG, LLC</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Nimish Shah</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Bong Koh</w:t>
            </w:r>
          </w:p>
        </w:tc>
        <w:tc>
          <w:tcPr>
            <w:tcW w:w="2540" w:type="dxa"/>
            <w:vAlign w:val="bottom"/>
          </w:tcPr>
          <w:p>
            <w:pPr>
              <w:jc w:val="right"/>
              <w:spacing w:after="0"/>
              <w:rPr>
                <w:sz w:val="20"/>
                <w:szCs w:val="20"/>
                <w:color w:val="auto"/>
              </w:rPr>
            </w:pPr>
            <w:r>
              <w:rPr>
                <w:rFonts w:ascii="Arial" w:cs="Arial" w:eastAsia="Arial" w:hAnsi="Arial"/>
                <w:sz w:val="18"/>
                <w:szCs w:val="18"/>
                <w:color w:val="auto"/>
              </w:rPr>
              <w:t>1,657,623(1)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Consists of (i) 185,010 shares held by Venrock Healthcare Capital Partners II, L.P., (ii) 74,970 shares held by VHCP Co-Investment Holdings II, LLC,</w:t>
      </w:r>
    </w:p>
    <w:p>
      <w:pPr>
        <w:spacing w:after="0" w:line="46" w:lineRule="exact"/>
        <w:rPr>
          <w:rFonts w:ascii="Arial" w:cs="Arial" w:eastAsia="Arial" w:hAnsi="Arial"/>
          <w:sz w:val="16"/>
          <w:szCs w:val="16"/>
          <w:color w:val="auto"/>
        </w:rPr>
      </w:pPr>
    </w:p>
    <w:p>
      <w:pPr>
        <w:ind w:left="660" w:hanging="315"/>
        <w:spacing w:after="0"/>
        <w:tabs>
          <w:tab w:leader="none" w:pos="660" w:val="left"/>
        </w:tabs>
        <w:numPr>
          <w:ilvl w:val="1"/>
          <w:numId w:val="49"/>
        </w:numPr>
        <w:rPr>
          <w:rFonts w:ascii="Arial" w:cs="Arial" w:eastAsia="Arial" w:hAnsi="Arial"/>
          <w:sz w:val="16"/>
          <w:szCs w:val="16"/>
          <w:color w:val="auto"/>
        </w:rPr>
      </w:pPr>
      <w:r>
        <w:rPr>
          <w:rFonts w:ascii="Arial" w:cs="Arial" w:eastAsia="Arial" w:hAnsi="Arial"/>
          <w:sz w:val="16"/>
          <w:szCs w:val="16"/>
          <w:color w:val="auto"/>
        </w:rPr>
        <w:t>1,208,340 shares held by Venrock Healthcare Capital Partners III, L.P., (iv) 120,783 shares held by VHCP Co-Investment Holdings III, LLC and</w:t>
      </w:r>
    </w:p>
    <w:p>
      <w:pPr>
        <w:spacing w:after="0" w:line="32" w:lineRule="exact"/>
        <w:rPr>
          <w:rFonts w:ascii="Arial" w:cs="Arial" w:eastAsia="Arial" w:hAnsi="Arial"/>
          <w:sz w:val="16"/>
          <w:szCs w:val="16"/>
          <w:color w:val="auto"/>
        </w:rPr>
      </w:pPr>
    </w:p>
    <w:p>
      <w:pPr>
        <w:ind w:left="340" w:right="60" w:firstLine="5"/>
        <w:spacing w:after="0" w:line="253" w:lineRule="auto"/>
        <w:tabs>
          <w:tab w:leader="none" w:pos="595" w:val="left"/>
        </w:tabs>
        <w:numPr>
          <w:ilvl w:val="1"/>
          <w:numId w:val="50"/>
        </w:numPr>
        <w:rPr>
          <w:rFonts w:ascii="Arial" w:cs="Arial" w:eastAsia="Arial" w:hAnsi="Arial"/>
          <w:sz w:val="18"/>
          <w:szCs w:val="18"/>
          <w:color w:val="auto"/>
        </w:rPr>
      </w:pPr>
      <w:r>
        <w:rPr>
          <w:rFonts w:ascii="Arial" w:cs="Arial" w:eastAsia="Arial" w:hAnsi="Arial"/>
          <w:sz w:val="18"/>
          <w:szCs w:val="18"/>
          <w:color w:val="auto"/>
        </w:rPr>
        <w:t>68,520 shares held by Venrock Healthcare Capital Partners EG, L.P. VHCP Management II, LLC is the general partner of Venrock Healthcare Capital Partners II, L.P. and the manager of VHCP Co-Investment Holdings II, LLC. VHCP Management III, LLC is the general partner of Venrock Healthcare Capital Partners III, L.P. and the manager of VHCP Co-Investment Holdings III, LLC. VHCP Management EG, LLC is the general partner of Venrock Healthcare Capital Partners EG, L.P. Messrs. Shah and Koh are the voting members of VHCP Management II, LLC, VHCP Management III, LLC and VHCP Management EG, LLC.</w:t>
      </w:r>
    </w:p>
    <w:p>
      <w:pPr>
        <w:spacing w:after="0" w:line="18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52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4" w:name="page15"/>
    <w:bookmarkEnd w:id="14"/>
    <w:p>
      <w:pPr>
        <w:spacing w:after="0"/>
        <w:tabs>
          <w:tab w:leader="none" w:pos="7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00" w:hanging="795"/>
        <w:spacing w:after="0" w:line="282" w:lineRule="auto"/>
        <w:tabs>
          <w:tab w:leader="none" w:pos="78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a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15" w:name="page16"/>
    <w:bookmarkEnd w:id="15"/>
    <w:p>
      <w:pPr>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16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November 16,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 L.P.</w:t>
            </w:r>
          </w:p>
        </w:tc>
        <w:tc>
          <w:tcPr>
            <w:tcW w:w="560" w:type="dxa"/>
            <w:vAlign w:val="bottom"/>
          </w:tcPr>
          <w:p>
            <w:pPr>
              <w:spacing w:after="0"/>
              <w:rPr>
                <w:sz w:val="20"/>
                <w:szCs w:val="20"/>
                <w:color w:val="auto"/>
              </w:rPr>
            </w:pPr>
          </w:p>
        </w:tc>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III, L.P.</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5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5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78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40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 LLC</w:t>
            </w:r>
          </w:p>
        </w:tc>
        <w:tc>
          <w:tcPr>
            <w:tcW w:w="56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VHCP Co-Investment Holdings III, LLC</w:t>
            </w:r>
          </w:p>
        </w:tc>
        <w:tc>
          <w:tcPr>
            <w:tcW w:w="0" w:type="dxa"/>
            <w:vAlign w:val="bottom"/>
          </w:tcPr>
          <w:p>
            <w:pPr>
              <w:spacing w:after="0"/>
              <w:rPr>
                <w:sz w:val="1"/>
                <w:szCs w:val="1"/>
                <w:color w:val="auto"/>
              </w:rPr>
            </w:pP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spacing w:after="0"/>
              <w:rPr>
                <w:sz w:val="20"/>
                <w:szCs w:val="20"/>
                <w:color w:val="auto"/>
              </w:rPr>
            </w:pPr>
            <w:r>
              <w:rPr>
                <w:rFonts w:ascii="Arial" w:cs="Arial" w:eastAsia="Arial" w:hAnsi="Arial"/>
                <w:sz w:val="18"/>
                <w:szCs w:val="18"/>
                <w:color w:val="auto"/>
              </w:rPr>
              <w:t>VHCP Management II, LLC</w:t>
            </w:r>
          </w:p>
        </w:tc>
        <w:tc>
          <w:tcPr>
            <w:tcW w:w="5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spacing w:after="0"/>
              <w:rPr>
                <w:sz w:val="20"/>
                <w:szCs w:val="20"/>
                <w:color w:val="auto"/>
              </w:rPr>
            </w:pPr>
            <w:r>
              <w:rPr>
                <w:rFonts w:ascii="Arial" w:cs="Arial" w:eastAsia="Arial" w:hAnsi="Arial"/>
                <w:sz w:val="18"/>
                <w:szCs w:val="18"/>
                <w:color w:val="auto"/>
              </w:rPr>
              <w:t>VHCP Management III, LLC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5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78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40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 LLC</w:t>
            </w:r>
          </w:p>
        </w:tc>
        <w:tc>
          <w:tcPr>
            <w:tcW w:w="56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VHCP Management III, LLC</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5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478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920" w:type="dxa"/>
            <w:vAlign w:val="bottom"/>
            <w:gridSpan w:val="2"/>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Its:</w:t>
            </w:r>
          </w:p>
        </w:tc>
        <w:tc>
          <w:tcPr>
            <w:tcW w:w="440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Its:</w:t>
            </w:r>
          </w:p>
        </w:tc>
        <w:tc>
          <w:tcPr>
            <w:tcW w:w="4520" w:type="dxa"/>
            <w:vAlign w:val="bottom"/>
          </w:tcPr>
          <w:p>
            <w:pPr>
              <w:ind w:left="16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32"/>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Venrock Healthcare Capital Partners EG, L.P.</w:t>
            </w:r>
          </w:p>
        </w:tc>
        <w:tc>
          <w:tcPr>
            <w:tcW w:w="56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VHCP Management EG, LLC</w:t>
            </w:r>
          </w:p>
        </w:tc>
        <w:tc>
          <w:tcPr>
            <w:tcW w:w="0" w:type="dxa"/>
            <w:vAlign w:val="bottom"/>
          </w:tcPr>
          <w:p>
            <w:pPr>
              <w:spacing w:after="0"/>
              <w:rPr>
                <w:sz w:val="1"/>
                <w:szCs w:val="1"/>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gridSpan w:val="2"/>
          </w:tcPr>
          <w:p>
            <w:pPr>
              <w:spacing w:after="0"/>
              <w:rPr>
                <w:sz w:val="20"/>
                <w:szCs w:val="20"/>
                <w:color w:val="auto"/>
              </w:rPr>
            </w:pPr>
            <w:r>
              <w:rPr>
                <w:rFonts w:ascii="Arial" w:cs="Arial" w:eastAsia="Arial" w:hAnsi="Arial"/>
                <w:sz w:val="18"/>
                <w:szCs w:val="18"/>
                <w:color w:val="auto"/>
              </w:rPr>
              <w:t>VHCP Management EG, LLC</w:t>
            </w:r>
          </w:p>
        </w:tc>
        <w:tc>
          <w:tcPr>
            <w:tcW w:w="560" w:type="dxa"/>
            <w:vAlign w:val="bottom"/>
          </w:tcPr>
          <w:p>
            <w:pPr>
              <w:spacing w:after="0"/>
              <w:rPr>
                <w:sz w:val="24"/>
                <w:szCs w:val="24"/>
                <w:color w:val="auto"/>
              </w:rPr>
            </w:pPr>
          </w:p>
        </w:tc>
        <w:tc>
          <w:tcPr>
            <w:tcW w:w="54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L. Stepp</w:t>
            </w:r>
          </w:p>
        </w:tc>
        <w:tc>
          <w:tcPr>
            <w:tcW w:w="0" w:type="dxa"/>
            <w:vAlign w:val="bottom"/>
          </w:tcPr>
          <w:p>
            <w:pPr>
              <w:spacing w:after="0"/>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rPr>
              <w:t>Its:</w:t>
            </w:r>
          </w:p>
        </w:tc>
        <w:tc>
          <w:tcPr>
            <w:tcW w:w="4780" w:type="dxa"/>
            <w:vAlign w:val="bottom"/>
            <w:gridSpan w:val="2"/>
          </w:tcPr>
          <w:p>
            <w:pPr>
              <w:spacing w:after="0" w:line="195" w:lineRule="exact"/>
              <w:rPr>
                <w:sz w:val="20"/>
                <w:szCs w:val="20"/>
                <w:color w:val="auto"/>
              </w:rPr>
            </w:pPr>
            <w:r>
              <w:rPr>
                <w:rFonts w:ascii="Arial" w:cs="Arial" w:eastAsia="Arial" w:hAnsi="Arial"/>
                <w:sz w:val="18"/>
                <w:szCs w:val="18"/>
                <w:color w:val="auto"/>
              </w:rPr>
              <w:t>General Partner</w:t>
            </w:r>
          </w:p>
        </w:tc>
        <w:tc>
          <w:tcPr>
            <w:tcW w:w="560" w:type="dxa"/>
            <w:vAlign w:val="bottom"/>
          </w:tcPr>
          <w:p>
            <w:pPr>
              <w:spacing w:after="0"/>
              <w:rPr>
                <w:sz w:val="16"/>
                <w:szCs w:val="16"/>
                <w:color w:val="auto"/>
              </w:rPr>
            </w:pPr>
          </w:p>
        </w:tc>
        <w:tc>
          <w:tcPr>
            <w:tcW w:w="5400" w:type="dxa"/>
            <w:vAlign w:val="bottom"/>
            <w:gridSpan w:val="3"/>
          </w:tcPr>
          <w:p>
            <w:pPr>
              <w:spacing w:after="0" w:line="195" w:lineRule="exact"/>
              <w:rPr>
                <w:sz w:val="20"/>
                <w:szCs w:val="20"/>
                <w:color w:val="auto"/>
              </w:rPr>
            </w:pPr>
            <w:r>
              <w:rPr>
                <w:rFonts w:ascii="Arial" w:cs="Arial" w:eastAsia="Arial" w:hAnsi="Arial"/>
                <w:sz w:val="18"/>
                <w:szCs w:val="18"/>
                <w:color w:val="auto"/>
              </w:rPr>
              <w:t>Name: David L. Stepp</w:t>
            </w:r>
          </w:p>
        </w:tc>
        <w:tc>
          <w:tcPr>
            <w:tcW w:w="0" w:type="dxa"/>
            <w:vAlign w:val="bottom"/>
          </w:tcPr>
          <w:p>
            <w:pPr>
              <w:spacing w:after="0"/>
              <w:rPr>
                <w:sz w:val="1"/>
                <w:szCs w:val="1"/>
                <w:color w:val="auto"/>
              </w:rPr>
            </w:pPr>
          </w:p>
        </w:tc>
      </w:tr>
      <w:tr>
        <w:trPr>
          <w:trHeight w:val="230"/>
        </w:trPr>
        <w:tc>
          <w:tcPr>
            <w:tcW w:w="5280" w:type="dxa"/>
            <w:vAlign w:val="bottom"/>
            <w:gridSpan w:val="3"/>
            <w:vMerge w:val="restart"/>
          </w:tcPr>
          <w:p>
            <w:pPr>
              <w:spacing w:after="0"/>
              <w:rPr>
                <w:sz w:val="20"/>
                <w:szCs w:val="20"/>
                <w:color w:val="auto"/>
              </w:rPr>
            </w:pPr>
            <w:r>
              <w:rPr>
                <w:rFonts w:ascii="Arial" w:cs="Arial" w:eastAsia="Arial" w:hAnsi="Arial"/>
                <w:sz w:val="18"/>
                <w:szCs w:val="18"/>
                <w:color w:val="auto"/>
              </w:rPr>
              <w:t>/s/ David L. Stepp</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Its:</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21"/>
        </w:trPr>
        <w:tc>
          <w:tcPr>
            <w:tcW w:w="5280" w:type="dxa"/>
            <w:vAlign w:val="bottom"/>
            <w:tcBorders>
              <w:bottom w:val="single" w:sz="8" w:color="auto"/>
            </w:tcBorders>
            <w:gridSpan w:val="3"/>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280" w:type="dxa"/>
            <w:vAlign w:val="bottom"/>
            <w:gridSpan w:val="3"/>
          </w:tcPr>
          <w:p>
            <w:pPr>
              <w:spacing w:after="0" w:line="195" w:lineRule="exact"/>
              <w:rPr>
                <w:sz w:val="20"/>
                <w:szCs w:val="20"/>
                <w:color w:val="auto"/>
              </w:rPr>
            </w:pPr>
            <w:r>
              <w:rPr>
                <w:rFonts w:ascii="Arial" w:cs="Arial" w:eastAsia="Arial" w:hAnsi="Arial"/>
                <w:sz w:val="18"/>
                <w:szCs w:val="18"/>
                <w:color w:val="auto"/>
              </w:rPr>
              <w:t>Name: David L. Stepp</w:t>
            </w:r>
          </w:p>
        </w:tc>
        <w:tc>
          <w:tcPr>
            <w:tcW w:w="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Its:</w:t>
            </w:r>
          </w:p>
        </w:tc>
        <w:tc>
          <w:tcPr>
            <w:tcW w:w="4780" w:type="dxa"/>
            <w:vAlign w:val="bottom"/>
            <w:gridSpan w:val="2"/>
          </w:tcPr>
          <w:p>
            <w:pPr>
              <w:ind w:left="80"/>
              <w:spacing w:after="0"/>
              <w:rPr>
                <w:sz w:val="20"/>
                <w:szCs w:val="20"/>
                <w:color w:val="auto"/>
              </w:rPr>
            </w:pPr>
            <w:r>
              <w:rPr>
                <w:rFonts w:ascii="Arial" w:cs="Arial" w:eastAsia="Arial" w:hAnsi="Arial"/>
                <w:sz w:val="18"/>
                <w:szCs w:val="18"/>
                <w:color w:val="auto"/>
              </w:rPr>
              <w:t>Authorized Signatory</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tabs>
          <w:tab w:leader="none" w:pos="10220" w:val="left"/>
        </w:tabs>
        <w:rPr>
          <w:sz w:val="20"/>
          <w:szCs w:val="20"/>
          <w:color w:val="auto"/>
        </w:rPr>
      </w:pPr>
      <w:r>
        <w:rPr>
          <w:rFonts w:ascii="Arial" w:cs="Arial" w:eastAsia="Arial" w:hAnsi="Arial"/>
          <w:sz w:val="18"/>
          <w:szCs w:val="18"/>
          <w:b w:val="1"/>
          <w:bCs w:val="1"/>
          <w:color w:val="auto"/>
        </w:rPr>
        <w:t>CUSIP No. 04746L104</w:t>
      </w:r>
      <w:r>
        <w:rPr>
          <w:sz w:val="20"/>
          <w:szCs w:val="20"/>
          <w:color w:val="auto"/>
        </w:rPr>
        <w:tab/>
      </w:r>
      <w:r>
        <w:rPr>
          <w:rFonts w:ascii="Arial" w:cs="Arial" w:eastAsia="Arial" w:hAnsi="Arial"/>
          <w:sz w:val="16"/>
          <w:szCs w:val="16"/>
          <w:color w:val="auto"/>
        </w:rPr>
        <w:t>Page 17 of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Joint Filing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Power of Attorney for Nimish Shah</w:t>
      </w:r>
    </w:p>
    <w:p>
      <w:pPr>
        <w:spacing w:after="0" w:line="248"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Power of Attorney for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p>
      <w:pPr>
        <w:jc w:val="center"/>
        <w:ind w:right="-7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firstLine="441"/>
        <w:spacing w:after="0" w:line="301"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amendments thereto) with respect to the Common Stock of Athira Pharma, Inc. and further agree that this agreement be included as an exhibit to such filing. Each party to the agreement expressly authorizes each other party to file on its behalf any and all amendments to such statement. Each party to this agreement agrees that this joint filing agreement may be signed in counterparts.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evidence whereof, the undersigned have caused this Agreement to be executed on their behalf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2020.</w:t>
      </w:r>
    </w:p>
    <w:p>
      <w:pPr>
        <w:sectPr>
          <w:pgSz w:w="11900" w:h="16838" w:orient="portrait"/>
          <w:cols w:equalWidth="0" w:num="1">
            <w:col w:w="11160"/>
          </w:cols>
          <w:pgMar w:left="320" w:top="904" w:right="41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Venrock Healthcare Capital Partners II, L.P.</w:t>
      </w:r>
    </w:p>
    <w:p>
      <w:pPr>
        <w:spacing w:after="0" w:line="24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VHCP Management II,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0600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Co-Investment Holdings II,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VHCP Management II,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0600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Management II,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0600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460"/>
        <w:spacing w:after="0"/>
        <w:tabs>
          <w:tab w:leader="none" w:pos="98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Venrock Healthcare Capital Partners EG, L.P.</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VHCP Management EG, LLC</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Its:</w:t>
        <w:tab/>
        <w:t>General Partner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86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Bong Koh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Nimish Shah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L. Stepp, Attorney-in-fact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Venrock Healthcare Capital Partners III, L.P.</w:t>
      </w:r>
    </w:p>
    <w:p>
      <w:pPr>
        <w:spacing w:after="0" w:line="252"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VHCP Management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3128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jc w:val="center"/>
        <w:ind w:right="1760"/>
        <w:spacing w:after="0"/>
        <w:tabs>
          <w:tab w:leader="none" w:pos="30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Co-Investment Holdings III,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VHCP Management III, LLC</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Manager</w:t>
      </w:r>
    </w:p>
    <w:p>
      <w:pPr>
        <w:spacing w:after="0" w:line="21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3128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Management III, LLC</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31286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3" w:lineRule="exact"/>
        <w:rPr>
          <w:sz w:val="20"/>
          <w:szCs w:val="20"/>
          <w:color w:val="auto"/>
        </w:rPr>
      </w:pPr>
    </w:p>
    <w:p>
      <w:pPr>
        <w:ind w:left="500"/>
        <w:spacing w:after="0"/>
        <w:tabs>
          <w:tab w:leader="none" w:pos="11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L. Stepp</w:t>
      </w:r>
    </w:p>
    <w:p>
      <w:pPr>
        <w:spacing w:after="0" w:line="23" w:lineRule="exact"/>
        <w:rPr>
          <w:sz w:val="20"/>
          <w:szCs w:val="20"/>
          <w:color w:val="auto"/>
        </w:rPr>
      </w:pPr>
    </w:p>
    <w:p>
      <w:pPr>
        <w:ind w:left="500"/>
        <w:spacing w:after="0"/>
        <w:tabs>
          <w:tab w:leader="none" w:pos="102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VHCP Management EG,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L. Stepp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34372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David L. Stepp</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2243455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5100" w:space="720"/>
            <w:col w:w="5340"/>
          </w:cols>
          <w:pgMar w:left="320" w:top="904" w:right="41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 FOR NIMISH SHAH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David L. Stepp, Sherman G. Souther and Lisa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Harris signing individually, the undersigned’s true and lawful attorney-in fact and agent to:</w:t>
      </w:r>
    </w:p>
    <w:p>
      <w:pPr>
        <w:spacing w:after="0" w:line="211" w:lineRule="exact"/>
        <w:rPr>
          <w:sz w:val="20"/>
          <w:szCs w:val="20"/>
          <w:color w:val="auto"/>
        </w:rPr>
      </w:pPr>
    </w:p>
    <w:p>
      <w:pPr>
        <w:jc w:val="both"/>
        <w:ind w:left="1460" w:hanging="561"/>
        <w:spacing w:after="0" w:line="272" w:lineRule="auto"/>
        <w:tabs>
          <w:tab w:leader="none" w:pos="1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jc w:val="both"/>
        <w:ind w:left="1460" w:hanging="561"/>
        <w:spacing w:after="0" w:line="279" w:lineRule="auto"/>
        <w:tabs>
          <w:tab w:leader="none" w:pos="1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Nimish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 FOR BONG KOH</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KNOW ALL BY THESE PRESENTS, that the undersigned hereby constitutes and appoints each of David L. Stepp, Sherman G. Souther and Lisa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Harris signing individually, the undersigned’s true and lawful attorney-in fact and agent to:</w:t>
      </w:r>
    </w:p>
    <w:p>
      <w:pPr>
        <w:spacing w:after="0" w:line="211" w:lineRule="exact"/>
        <w:rPr>
          <w:sz w:val="20"/>
          <w:szCs w:val="20"/>
          <w:color w:val="auto"/>
        </w:rPr>
      </w:pPr>
    </w:p>
    <w:p>
      <w:pPr>
        <w:jc w:val="both"/>
        <w:ind w:left="1460" w:hanging="561"/>
        <w:spacing w:after="0" w:line="272" w:lineRule="auto"/>
        <w:tabs>
          <w:tab w:leader="none" w:pos="1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prepare execute and file, for and on behalf of the undersigned, any and all documents and filings that are required or advisable to be made with the United States Securities and Exchange Commission, any stock exchange or similar authority, under the Securities Exchange Act of 1934, as amended (the “Exchange Act”), and the rules and regulations promulgated thereunder, including without limitation (a) any Joint Filing Agreement under Rule 13d-1(k) of the Exchange Act (or any successor provision thereunder), Schedule 13D and Schedule 13G (or any successor schedules or forms adopted under the Exchange Act ) and any amendments thereto in accordance with Section 13 of the Exchange Act and the rules thereunder, and (b) Forms 3, 4 and 5 and any amendments thereto in accordance with Section 16(a) of the Exchange Act and the rules thereunder; and</w:t>
      </w:r>
    </w:p>
    <w:p>
      <w:pPr>
        <w:spacing w:after="0" w:line="177" w:lineRule="exact"/>
        <w:rPr>
          <w:rFonts w:ascii="Arial" w:cs="Arial" w:eastAsia="Arial" w:hAnsi="Arial"/>
          <w:sz w:val="17"/>
          <w:szCs w:val="17"/>
          <w:color w:val="auto"/>
        </w:rPr>
      </w:pPr>
    </w:p>
    <w:p>
      <w:pPr>
        <w:jc w:val="both"/>
        <w:ind w:left="1460" w:hanging="561"/>
        <w:spacing w:after="0" w:line="279" w:lineRule="auto"/>
        <w:tabs>
          <w:tab w:leader="none" w:pos="1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undersigned, is not assuming, nor is Venrock assuming, any of the undersigned’s responsibilities to comply with the Exchange Act, including without limitation Sections 13 and 16 of the Exchange Act.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power of Attorney shall remain in full force and effect until the earliest to occur of (a) the undersigned is no longer required to file any form or document with respect to the undersigned’s holdings of and transactions in securities issued by a company, (b) revocation by the undersigned in a signed writing delivered to the foregoing attorney-in-fact, or (c) until such attorney-in-fact shall no longer be employed by VR Management, LLC (or its successor).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 this Power of Attorney to be executed as of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2020.</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Bong Koh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bullet"/>
      <w:start w:val="1"/>
    </w:lvl>
  </w:abstractNum>
  <w:abstractNum w:abstractNumId="4">
    <w:nsid w:val="2901D82"/>
    <w:multiLevelType w:val="hybridMultilevel"/>
    <w:lvl w:ilvl="0">
      <w:lvlJc w:val="left"/>
      <w:lvlText w:val="2"/>
      <w:numFmt w:val="bullet"/>
      <w:start w:val="1"/>
    </w:lvl>
    <w:lvl w:ilvl="1">
      <w:lvlJc w:val="left"/>
      <w:lvlText w:val="(%2)"/>
      <w:numFmt w:val="lowerRoman"/>
      <w:start w:val="3"/>
    </w:lvl>
  </w:abstractNum>
  <w:abstractNum w:abstractNumId="5">
    <w:nsid w:val="3A95F874"/>
    <w:multiLevelType w:val="hybridMultilevel"/>
    <w:lvl w:ilvl="0">
      <w:lvlJc w:val="left"/>
      <w:lvlText w:val="2"/>
      <w:numFmt w:val="bullet"/>
      <w:start w:val="1"/>
    </w:lvl>
    <w:lvl w:ilvl="1">
      <w:lvlJc w:val="left"/>
      <w:lvlText w:val="(%2)"/>
      <w:numFmt w:val="lowerRoman"/>
      <w:start w:val="5"/>
    </w:lvl>
  </w:abstractNum>
  <w:abstractNum w:abstractNumId="6">
    <w:nsid w:val="8138641"/>
    <w:multiLevelType w:val="hybridMultilevel"/>
    <w:lvl w:ilvl="0">
      <w:lvlJc w:val="left"/>
      <w:lvlText w:val="3"/>
      <w:numFmt w:val="bullet"/>
      <w:start w:val="1"/>
    </w:lvl>
  </w:abstractNum>
  <w:abstractNum w:abstractNumId="7">
    <w:nsid w:val="1E7FF521"/>
    <w:multiLevelType w:val="hybridMultilevel"/>
    <w:lvl w:ilvl="0">
      <w:lvlJc w:val="left"/>
      <w:lvlText w:val="1"/>
      <w:numFmt w:val="bullet"/>
      <w:start w:val="1"/>
    </w:lvl>
  </w:abstractNum>
  <w:abstractNum w:abstractNumId="8">
    <w:nsid w:val="7C3DBD3D"/>
    <w:multiLevelType w:val="hybridMultilevel"/>
    <w:lvl w:ilvl="0">
      <w:lvlJc w:val="left"/>
      <w:lvlText w:val="2"/>
      <w:numFmt w:val="bullet"/>
      <w:start w:val="1"/>
    </w:lvl>
    <w:lvl w:ilvl="1">
      <w:lvlJc w:val="left"/>
      <w:lvlText w:val="(%2)"/>
      <w:numFmt w:val="lowerRoman"/>
      <w:start w:val="3"/>
    </w:lvl>
  </w:abstractNum>
  <w:abstractNum w:abstractNumId="9">
    <w:nsid w:val="737B8DDC"/>
    <w:multiLevelType w:val="hybridMultilevel"/>
    <w:lvl w:ilvl="0">
      <w:lvlJc w:val="left"/>
      <w:lvlText w:val="2"/>
      <w:numFmt w:val="bullet"/>
      <w:start w:val="1"/>
    </w:lvl>
    <w:lvl w:ilvl="1">
      <w:lvlJc w:val="left"/>
      <w:lvlText w:val="(%2)"/>
      <w:numFmt w:val="lowerRoman"/>
      <w:start w:val="5"/>
    </w:lvl>
  </w:abstractNum>
  <w:abstractNum w:abstractNumId="10">
    <w:nsid w:val="6CEAF087"/>
    <w:multiLevelType w:val="hybridMultilevel"/>
    <w:lvl w:ilvl="0">
      <w:lvlJc w:val="left"/>
      <w:lvlText w:val="3"/>
      <w:numFmt w:val="bullet"/>
      <w:start w:val="1"/>
    </w:lvl>
  </w:abstractNum>
  <w:abstractNum w:abstractNumId="11">
    <w:nsid w:val="22221A70"/>
    <w:multiLevelType w:val="hybridMultilevel"/>
    <w:lvl w:ilvl="0">
      <w:lvlJc w:val="left"/>
      <w:lvlText w:val="1"/>
      <w:numFmt w:val="bullet"/>
      <w:start w:val="1"/>
    </w:lvl>
  </w:abstractNum>
  <w:abstractNum w:abstractNumId="12">
    <w:nsid w:val="4516DDE9"/>
    <w:multiLevelType w:val="hybridMultilevel"/>
    <w:lvl w:ilvl="0">
      <w:lvlJc w:val="left"/>
      <w:lvlText w:val="2"/>
      <w:numFmt w:val="bullet"/>
      <w:start w:val="1"/>
    </w:lvl>
    <w:lvl w:ilvl="1">
      <w:lvlJc w:val="left"/>
      <w:lvlText w:val="(%2)"/>
      <w:numFmt w:val="lowerRoman"/>
      <w:start w:val="3"/>
    </w:lvl>
  </w:abstractNum>
  <w:abstractNum w:abstractNumId="13">
    <w:nsid w:val="3006C83E"/>
    <w:multiLevelType w:val="hybridMultilevel"/>
    <w:lvl w:ilvl="0">
      <w:lvlJc w:val="left"/>
      <w:lvlText w:val="2"/>
      <w:numFmt w:val="bullet"/>
      <w:start w:val="1"/>
    </w:lvl>
    <w:lvl w:ilvl="1">
      <w:lvlJc w:val="left"/>
      <w:lvlText w:val="(%2)"/>
      <w:numFmt w:val="lowerRoman"/>
      <w:start w:val="5"/>
    </w:lvl>
  </w:abstractNum>
  <w:abstractNum w:abstractNumId="14">
    <w:nsid w:val="614FD4A1"/>
    <w:multiLevelType w:val="hybridMultilevel"/>
    <w:lvl w:ilvl="0">
      <w:lvlJc w:val="left"/>
      <w:lvlText w:val="3"/>
      <w:numFmt w:val="bullet"/>
      <w:start w:val="1"/>
    </w:lvl>
  </w:abstractNum>
  <w:abstractNum w:abstractNumId="15">
    <w:nsid w:val="419AC241"/>
    <w:multiLevelType w:val="hybridMultilevel"/>
    <w:lvl w:ilvl="0">
      <w:lvlJc w:val="left"/>
      <w:lvlText w:val="1"/>
      <w:numFmt w:val="bullet"/>
      <w:start w:val="1"/>
    </w:lvl>
  </w:abstractNum>
  <w:abstractNum w:abstractNumId="16">
    <w:nsid w:val="5577F8E1"/>
    <w:multiLevelType w:val="hybridMultilevel"/>
    <w:lvl w:ilvl="0">
      <w:lvlJc w:val="left"/>
      <w:lvlText w:val="2"/>
      <w:numFmt w:val="bullet"/>
      <w:start w:val="1"/>
    </w:lvl>
    <w:lvl w:ilvl="1">
      <w:lvlJc w:val="left"/>
      <w:lvlText w:val="(%2)"/>
      <w:numFmt w:val="lowerRoman"/>
      <w:start w:val="3"/>
    </w:lvl>
  </w:abstractNum>
  <w:abstractNum w:abstractNumId="17">
    <w:nsid w:val="440BADFC"/>
    <w:multiLevelType w:val="hybridMultilevel"/>
    <w:lvl w:ilvl="0">
      <w:lvlJc w:val="left"/>
      <w:lvlText w:val="2"/>
      <w:numFmt w:val="bullet"/>
      <w:start w:val="1"/>
    </w:lvl>
    <w:lvl w:ilvl="1">
      <w:lvlJc w:val="left"/>
      <w:lvlText w:val="(%2)"/>
      <w:numFmt w:val="lowerRoman"/>
      <w:start w:val="5"/>
    </w:lvl>
  </w:abstractNum>
  <w:abstractNum w:abstractNumId="18">
    <w:nsid w:val="5072367"/>
    <w:multiLevelType w:val="hybridMultilevel"/>
    <w:lvl w:ilvl="0">
      <w:lvlJc w:val="left"/>
      <w:lvlText w:val="3"/>
      <w:numFmt w:val="bullet"/>
      <w:start w:val="1"/>
    </w:lvl>
  </w:abstractNum>
  <w:abstractNum w:abstractNumId="19">
    <w:nsid w:val="3804823E"/>
    <w:multiLevelType w:val="hybridMultilevel"/>
    <w:lvl w:ilvl="0">
      <w:lvlJc w:val="left"/>
      <w:lvlText w:val="1"/>
      <w:numFmt w:val="bullet"/>
      <w:start w:val="1"/>
    </w:lvl>
  </w:abstractNum>
  <w:abstractNum w:abstractNumId="20">
    <w:nsid w:val="77465F01"/>
    <w:multiLevelType w:val="hybridMultilevel"/>
    <w:lvl w:ilvl="0">
      <w:lvlJc w:val="left"/>
      <w:lvlText w:val="2"/>
      <w:numFmt w:val="bullet"/>
      <w:start w:val="1"/>
    </w:lvl>
    <w:lvl w:ilvl="1">
      <w:lvlJc w:val="left"/>
      <w:lvlText w:val="(%2)"/>
      <w:numFmt w:val="lowerRoman"/>
      <w:start w:val="3"/>
    </w:lvl>
  </w:abstractNum>
  <w:abstractNum w:abstractNumId="21">
    <w:nsid w:val="7724C67E"/>
    <w:multiLevelType w:val="hybridMultilevel"/>
    <w:lvl w:ilvl="0">
      <w:lvlJc w:val="left"/>
      <w:lvlText w:val="2"/>
      <w:numFmt w:val="bullet"/>
      <w:start w:val="1"/>
    </w:lvl>
    <w:lvl w:ilvl="1">
      <w:lvlJc w:val="left"/>
      <w:lvlText w:val="(%2)"/>
      <w:numFmt w:val="lowerRoman"/>
      <w:start w:val="5"/>
    </w:lvl>
  </w:abstractNum>
  <w:abstractNum w:abstractNumId="22">
    <w:nsid w:val="5C482A97"/>
    <w:multiLevelType w:val="hybridMultilevel"/>
    <w:lvl w:ilvl="0">
      <w:lvlJc w:val="left"/>
      <w:lvlText w:val="3"/>
      <w:numFmt w:val="bullet"/>
      <w:start w:val="1"/>
    </w:lvl>
  </w:abstractNum>
  <w:abstractNum w:abstractNumId="23">
    <w:nsid w:val="2463B9EA"/>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24">
    <w:nsid w:val="5E884ADC"/>
    <w:multiLevelType w:val="hybridMultilevel"/>
    <w:lvl w:ilvl="0">
      <w:lvlJc w:val="left"/>
      <w:lvlText w:val="%1."/>
      <w:numFmt w:val="decimal"/>
      <w:start w:val="9"/>
    </w:lvl>
  </w:abstractNum>
  <w:abstractNum w:abstractNumId="25">
    <w:nsid w:val="51EAD36B"/>
    <w:multiLevelType w:val="hybridMultilevel"/>
    <w:lvl w:ilvl="0">
      <w:lvlJc w:val="left"/>
      <w:lvlText w:val="1"/>
      <w:numFmt w:val="bullet"/>
      <w:start w:val="1"/>
    </w:lvl>
  </w:abstractNum>
  <w:abstractNum w:abstractNumId="26">
    <w:nsid w:val="2D517796"/>
    <w:multiLevelType w:val="hybridMultilevel"/>
    <w:lvl w:ilvl="0">
      <w:lvlJc w:val="left"/>
      <w:lvlText w:val="2"/>
      <w:numFmt w:val="bullet"/>
      <w:start w:val="1"/>
    </w:lvl>
    <w:lvl w:ilvl="1">
      <w:lvlJc w:val="left"/>
      <w:lvlText w:val="(%2)"/>
      <w:numFmt w:val="lowerRoman"/>
      <w:start w:val="3"/>
    </w:lvl>
  </w:abstractNum>
  <w:abstractNum w:abstractNumId="27">
    <w:nsid w:val="580BD78F"/>
    <w:multiLevelType w:val="hybridMultilevel"/>
    <w:lvl w:ilvl="0">
      <w:lvlJc w:val="left"/>
      <w:lvlText w:val="2"/>
      <w:numFmt w:val="bullet"/>
      <w:start w:val="1"/>
    </w:lvl>
    <w:lvl w:ilvl="1">
      <w:lvlJc w:val="left"/>
      <w:lvlText w:val="(%2)"/>
      <w:numFmt w:val="lowerRoman"/>
      <w:start w:val="5"/>
    </w:lvl>
  </w:abstractNum>
  <w:abstractNum w:abstractNumId="28">
    <w:nsid w:val="153EA438"/>
    <w:multiLevelType w:val="hybridMultilevel"/>
    <w:lvl w:ilvl="0">
      <w:lvlJc w:val="left"/>
      <w:lvlText w:val="3"/>
      <w:numFmt w:val="bullet"/>
      <w:start w:val="1"/>
    </w:lvl>
  </w:abstractNum>
  <w:abstractNum w:abstractNumId="29">
    <w:nsid w:val="3855585C"/>
    <w:multiLevelType w:val="hybridMultilevel"/>
    <w:lvl w:ilvl="0">
      <w:lvlJc w:val="left"/>
      <w:lvlText w:val="%1."/>
      <w:numFmt w:val="decimal"/>
      <w:start w:val="2"/>
    </w:lvl>
    <w:lvl w:ilvl="1">
      <w:lvlJc w:val="left"/>
      <w:lvlText w:val="(%2)"/>
      <w:numFmt w:val="lowerLetter"/>
      <w:start w:val="1"/>
    </w:lvl>
    <w:lvl w:ilvl="2">
      <w:lvlJc w:val="left"/>
      <w:lvlText w:val="%3."/>
      <w:numFmt w:val="decimal"/>
      <w:start w:val="5"/>
    </w:lvl>
  </w:abstractNum>
  <w:abstractNum w:abstractNumId="30">
    <w:nsid w:val="70A64E2A"/>
    <w:multiLevelType w:val="hybridMultilevel"/>
    <w:lvl w:ilvl="0">
      <w:lvlJc w:val="left"/>
      <w:lvlText w:val="%1."/>
      <w:numFmt w:val="decimal"/>
      <w:start w:val="9"/>
    </w:lvl>
  </w:abstractNum>
  <w:abstractNum w:abstractNumId="31">
    <w:nsid w:val="6A2342EC"/>
    <w:multiLevelType w:val="hybridMultilevel"/>
    <w:lvl w:ilvl="0">
      <w:lvlJc w:val="left"/>
      <w:lvlText w:val="1"/>
      <w:numFmt w:val="bullet"/>
      <w:start w:val="1"/>
    </w:lvl>
  </w:abstractNum>
  <w:abstractNum w:abstractNumId="32">
    <w:nsid w:val="2A487CB0"/>
    <w:multiLevelType w:val="hybridMultilevel"/>
    <w:lvl w:ilvl="0">
      <w:lvlJc w:val="left"/>
      <w:lvlText w:val="2"/>
      <w:numFmt w:val="bullet"/>
      <w:start w:val="1"/>
    </w:lvl>
    <w:lvl w:ilvl="1">
      <w:lvlJc w:val="left"/>
      <w:lvlText w:val="(%2)"/>
      <w:numFmt w:val="lowerRoman"/>
      <w:start w:val="3"/>
    </w:lvl>
  </w:abstractNum>
  <w:abstractNum w:abstractNumId="33">
    <w:nsid w:val="1D4ED43B"/>
    <w:multiLevelType w:val="hybridMultilevel"/>
    <w:lvl w:ilvl="0">
      <w:lvlJc w:val="left"/>
      <w:lvlText w:val="2"/>
      <w:numFmt w:val="bullet"/>
      <w:start w:val="1"/>
    </w:lvl>
    <w:lvl w:ilvl="1">
      <w:lvlJc w:val="left"/>
      <w:lvlText w:val="(%2)"/>
      <w:numFmt w:val="lowerRoman"/>
      <w:start w:val="5"/>
    </w:lvl>
  </w:abstractNum>
  <w:abstractNum w:abstractNumId="34">
    <w:nsid w:val="725A06FB"/>
    <w:multiLevelType w:val="hybridMultilevel"/>
    <w:lvl w:ilvl="0">
      <w:lvlJc w:val="left"/>
      <w:lvlText w:val="3"/>
      <w:numFmt w:val="bullet"/>
      <w:start w:val="1"/>
    </w:lvl>
  </w:abstractNum>
  <w:abstractNum w:abstractNumId="35">
    <w:nsid w:val="2CD89A32"/>
    <w:multiLevelType w:val="hybridMultilevel"/>
    <w:lvl w:ilvl="0">
      <w:lvlJc w:val="left"/>
      <w:lvlText w:val="1"/>
      <w:numFmt w:val="bullet"/>
      <w:start w:val="1"/>
    </w:lvl>
  </w:abstractNum>
  <w:abstractNum w:abstractNumId="36">
    <w:nsid w:val="57E4CCAF"/>
    <w:multiLevelType w:val="hybridMultilevel"/>
    <w:lvl w:ilvl="0">
      <w:lvlJc w:val="left"/>
      <w:lvlText w:val="2"/>
      <w:numFmt w:val="bullet"/>
      <w:start w:val="1"/>
    </w:lvl>
    <w:lvl w:ilvl="1">
      <w:lvlJc w:val="left"/>
      <w:lvlText w:val="(%2)"/>
      <w:numFmt w:val="lowerRoman"/>
      <w:start w:val="3"/>
    </w:lvl>
  </w:abstractNum>
  <w:abstractNum w:abstractNumId="37">
    <w:nsid w:val="7A6D8D3C"/>
    <w:multiLevelType w:val="hybridMultilevel"/>
    <w:lvl w:ilvl="0">
      <w:lvlJc w:val="left"/>
      <w:lvlText w:val="2"/>
      <w:numFmt w:val="bullet"/>
      <w:start w:val="1"/>
    </w:lvl>
    <w:lvl w:ilvl="1">
      <w:lvlJc w:val="left"/>
      <w:lvlText w:val="(%2)"/>
      <w:numFmt w:val="lowerRoman"/>
      <w:start w:val="5"/>
    </w:lvl>
  </w:abstractNum>
  <w:abstractNum w:abstractNumId="38">
    <w:nsid w:val="4B588F54"/>
    <w:multiLevelType w:val="hybridMultilevel"/>
    <w:lvl w:ilvl="0">
      <w:lvlJc w:val="left"/>
      <w:lvlText w:val="3"/>
      <w:numFmt w:val="bullet"/>
      <w:start w:val="1"/>
    </w:lvl>
  </w:abstractNum>
  <w:abstractNum w:abstractNumId="39">
    <w:nsid w:val="542289EC"/>
    <w:multiLevelType w:val="hybridMultilevel"/>
    <w:lvl w:ilvl="0">
      <w:lvlJc w:val="left"/>
      <w:lvlText w:val="1"/>
      <w:numFmt w:val="bullet"/>
      <w:start w:val="1"/>
    </w:lvl>
  </w:abstractNum>
  <w:abstractNum w:abstractNumId="40">
    <w:nsid w:val="6DE91B18"/>
    <w:multiLevelType w:val="hybridMultilevel"/>
    <w:lvl w:ilvl="0">
      <w:lvlJc w:val="left"/>
      <w:lvlText w:val="2"/>
      <w:numFmt w:val="bullet"/>
      <w:start w:val="1"/>
    </w:lvl>
    <w:lvl w:ilvl="1">
      <w:lvlJc w:val="left"/>
      <w:lvlText w:val="(%2)"/>
      <w:numFmt w:val="lowerRoman"/>
      <w:start w:val="3"/>
    </w:lvl>
  </w:abstractNum>
  <w:abstractNum w:abstractNumId="41">
    <w:nsid w:val="38437FDB"/>
    <w:multiLevelType w:val="hybridMultilevel"/>
    <w:lvl w:ilvl="0">
      <w:lvlJc w:val="left"/>
      <w:lvlText w:val="2"/>
      <w:numFmt w:val="bullet"/>
      <w:start w:val="1"/>
    </w:lvl>
    <w:lvl w:ilvl="1">
      <w:lvlJc w:val="left"/>
      <w:lvlText w:val="(%2)"/>
      <w:numFmt w:val="lowerRoman"/>
      <w:start w:val="5"/>
    </w:lvl>
  </w:abstractNum>
  <w:abstractNum w:abstractNumId="42">
    <w:nsid w:val="7644A45C"/>
    <w:multiLevelType w:val="hybridMultilevel"/>
    <w:lvl w:ilvl="0">
      <w:lvlJc w:val="left"/>
      <w:lvlText w:val="3"/>
      <w:numFmt w:val="bullet"/>
      <w:start w:val="1"/>
    </w:lvl>
  </w:abstractNum>
  <w:abstractNum w:abstractNumId="43">
    <w:nsid w:val="32FFF902"/>
    <w:multiLevelType w:val="hybridMultilevel"/>
    <w:lvl w:ilvl="0">
      <w:lvlJc w:val="left"/>
      <w:lvlText w:val="1"/>
      <w:numFmt w:val="bullet"/>
      <w:start w:val="1"/>
    </w:lvl>
  </w:abstractNum>
  <w:abstractNum w:abstractNumId="44">
    <w:nsid w:val="684A481A"/>
    <w:multiLevelType w:val="hybridMultilevel"/>
    <w:lvl w:ilvl="0">
      <w:lvlJc w:val="left"/>
      <w:lvlText w:val="2"/>
      <w:numFmt w:val="bullet"/>
      <w:start w:val="1"/>
    </w:lvl>
    <w:lvl w:ilvl="1">
      <w:lvlJc w:val="left"/>
      <w:lvlText w:val="(%2)"/>
      <w:numFmt w:val="lowerRoman"/>
      <w:start w:val="3"/>
    </w:lvl>
  </w:abstractNum>
  <w:abstractNum w:abstractNumId="45">
    <w:nsid w:val="579478FE"/>
    <w:multiLevelType w:val="hybridMultilevel"/>
    <w:lvl w:ilvl="0">
      <w:lvlJc w:val="left"/>
      <w:lvlText w:val="2"/>
      <w:numFmt w:val="bullet"/>
      <w:start w:val="1"/>
    </w:lvl>
    <w:lvl w:ilvl="1">
      <w:lvlJc w:val="left"/>
      <w:lvlText w:val="(%2)"/>
      <w:numFmt w:val="lowerRoman"/>
      <w:start w:val="5"/>
    </w:lvl>
  </w:abstractNum>
  <w:abstractNum w:abstractNumId="46">
    <w:nsid w:val="749ABB43"/>
    <w:multiLevelType w:val="hybridMultilevel"/>
    <w:lvl w:ilvl="0">
      <w:lvlJc w:val="left"/>
      <w:lvlText w:val="3"/>
      <w:numFmt w:val="bullet"/>
      <w:start w:val="1"/>
    </w:lvl>
  </w:abstractNum>
  <w:abstractNum w:abstractNumId="47">
    <w:nsid w:val="3DC240FB"/>
    <w:multiLevelType w:val="hybridMultilevel"/>
    <w:lvl w:ilvl="0">
      <w:lvlJc w:val="left"/>
      <w:lvlText w:val="(%1)"/>
      <w:numFmt w:val="lowerLetter"/>
      <w:start w:val="4"/>
    </w:lvl>
  </w:abstractNum>
  <w:abstractNum w:abstractNumId="48">
    <w:nsid w:val="1BA026FA"/>
    <w:multiLevelType w:val="hybridMultilevel"/>
    <w:lvl w:ilvl="0">
      <w:lvlJc w:val="left"/>
      <w:lvlText w:val="(%1)"/>
      <w:numFmt w:val="decimal"/>
      <w:start w:val="1"/>
    </w:lvl>
    <w:lvl w:ilvl="1">
      <w:lvlJc w:val="left"/>
      <w:lvlText w:val="(%2)"/>
      <w:numFmt w:val="lowerRoman"/>
      <w:start w:val="3"/>
    </w:lvl>
  </w:abstractNum>
  <w:abstractNum w:abstractNumId="49">
    <w:nsid w:val="79A1DEAA"/>
    <w:multiLevelType w:val="hybridMultilevel"/>
    <w:lvl w:ilvl="0">
      <w:lvlJc w:val="left"/>
      <w:lvlText w:val="%1"/>
      <w:numFmt w:val="decimal"/>
      <w:start w:val="1"/>
    </w:lvl>
    <w:lvl w:ilvl="1">
      <w:lvlJc w:val="left"/>
      <w:lvlText w:val="(%2)"/>
      <w:numFmt w:val="lowerRoman"/>
      <w:start w:val="5"/>
    </w:lvl>
  </w:abstractNum>
  <w:abstractNum w:abstractNumId="50">
    <w:nsid w:val="75C6C33A"/>
    <w:multiLevelType w:val="hybridMultilevel"/>
    <w:lvl w:ilvl="0">
      <w:lvlJc w:val="left"/>
      <w:lvlText w:val="%1:"/>
      <w:numFmt w:val="upperLetter"/>
      <w:start w:val="1"/>
    </w:lvl>
  </w:abstractNum>
  <w:abstractNum w:abstractNumId="51">
    <w:nsid w:val="12E685FB"/>
    <w:multiLevelType w:val="hybridMultilevel"/>
    <w:lvl w:ilvl="0">
      <w:lvlJc w:val="left"/>
      <w:lvlText w:val="(%1)"/>
      <w:numFmt w:val="lowerRoman"/>
      <w:start w:val="1"/>
    </w:lvl>
  </w:abstractNum>
  <w:abstractNum w:abstractNumId="52">
    <w:nsid w:val="70C6A52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2020-11-16T15:18:18Z</dcterms:created>
  <dcterms:modified xsi:type="dcterms:W3CDTF">2020-11-16T15:18:18Z</dcterms:modified>
</cp:coreProperties>
</file>