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20260401.htm"/>
      <w:bookmarkStart w:id="1" w:name="kslona20260401"/>
      <w:bookmarkEnd w:id="0"/>
      <w:bookmarkEnd w:id="1"/>
      <w:r>
        <w:rPr/>
        <w:t> </w:t>
      </w:r>
    </w:p>
    <w:p>
      <w:pPr>
        <w:pStyle w:val="TextBody"/>
        <w:bidi w:val="0"/>
        <w:jc w:val="right"/>
        <w:rPr>
          <w:rFonts w:ascii="Times New Roman" w:hAnsi="Times New Roman"/>
          <w:b/>
          <w:color w:val="000000"/>
          <w:sz w:val="18"/>
        </w:rPr>
      </w:pPr>
      <w:r>
        <w:rPr>
          <w:rFonts w:ascii="Times New Roman" w:hAnsi="Times New Roman"/>
          <w:b/>
          <w:color w:val="000000"/>
          <w:sz w:val="18"/>
        </w:rPr>
        <w:t>As filed with the Securities and Exchange Commission on April 1, 2026</w:t>
      </w:r>
    </w:p>
    <w:p>
      <w:pPr>
        <w:pStyle w:val="TextBody"/>
        <w:bidi w:val="0"/>
        <w:jc w:val="right"/>
        <w:rPr>
          <w:rFonts w:ascii="Times New Roman" w:hAnsi="Times New Roman"/>
          <w:sz w:val="20"/>
        </w:rPr>
      </w:pPr>
      <w:r>
        <w:rPr>
          <w:rFonts w:ascii="Times New Roman" w:hAnsi="Times New Roman"/>
          <w:b/>
          <w:color w:val="000000"/>
          <w:sz w:val="18"/>
        </w:rPr>
        <w:t>Registration No. 333-</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S</w:t>
        <w:noBreakHyphen/>
        <w:t>8</w:t>
      </w:r>
    </w:p>
    <w:p>
      <w:pPr>
        <w:pStyle w:val="TextBody"/>
        <w:bidi w:val="0"/>
        <w:jc w:val="center"/>
        <w:rPr>
          <w:rFonts w:ascii="Times New Roman" w:hAnsi="Times New Roman"/>
          <w:b/>
          <w:color w:val="000000"/>
          <w:sz w:val="22"/>
        </w:rPr>
      </w:pPr>
      <w:r>
        <w:rPr>
          <w:rFonts w:ascii="Times New Roman" w:hAnsi="Times New Roman"/>
          <w:b/>
          <w:color w:val="000000"/>
          <w:sz w:val="22"/>
        </w:rPr>
        <w:t>REGISTRATION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w:t>
      </w:r>
    </w:p>
    <w:p>
      <w:pPr>
        <w:pStyle w:val="TextBody"/>
        <w:bidi w:val="0"/>
        <w:jc w:val="center"/>
        <w:rPr>
          <w:rFonts w:ascii="Times New Roman" w:hAnsi="Times New Roman"/>
          <w:b/>
          <w:color w:val="000000"/>
          <w:sz w:val="22"/>
        </w:rPr>
      </w:pPr>
      <w:r>
        <w:rPr>
          <w:rFonts w:ascii="Times New Roman" w:hAnsi="Times New Roman"/>
          <w:b/>
          <w:color w:val="000000"/>
          <w:sz w:val="22"/>
        </w:rPr>
        <w:t>The Securities Act of 1933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aps/>
          <w:color w:val="000000"/>
          <w:sz w:val="36"/>
        </w:rPr>
      </w:pPr>
      <w:r>
        <w:rPr>
          <w:rFonts w:ascii="Times New Roman" w:hAnsi="Times New Roman"/>
          <w:b/>
          <w:caps/>
          <w:color w:val="000000"/>
          <w:sz w:val="36"/>
        </w:rPr>
        <w:t>LeonaBio,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45-3368487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18706 North Creek Parkway, Suite 104</w:t>
      </w:r>
    </w:p>
    <w:p>
      <w:pPr>
        <w:pStyle w:val="TextBody"/>
        <w:bidi w:val="0"/>
        <w:jc w:val="center"/>
        <w:rPr>
          <w:rFonts w:ascii="Times New Roman" w:hAnsi="Times New Roman"/>
          <w:b/>
          <w:color w:val="000000"/>
          <w:sz w:val="20"/>
        </w:rPr>
      </w:pPr>
      <w:r>
        <w:rPr>
          <w:rFonts w:ascii="Times New Roman" w:hAnsi="Times New Roman"/>
          <w:b/>
          <w:color w:val="000000"/>
          <w:sz w:val="20"/>
        </w:rPr>
        <w:t>Bothell, WA 98011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2026 Equity Incentive Plan</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(Full title of the plan)</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Mark Litton, Ph.D.</w:t>
      </w:r>
    </w:p>
    <w:p>
      <w:pPr>
        <w:pStyle w:val="TextBody"/>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extBody"/>
        <w:bidi w:val="0"/>
        <w:jc w:val="center"/>
        <w:rPr>
          <w:rFonts w:ascii="Times New Roman" w:hAnsi="Times New Roman"/>
          <w:b/>
          <w:color w:val="000000"/>
          <w:sz w:val="18"/>
        </w:rPr>
      </w:pPr>
      <w:r>
        <w:rPr>
          <w:rFonts w:ascii="Times New Roman" w:hAnsi="Times New Roman"/>
          <w:b/>
          <w:color w:val="000000"/>
          <w:sz w:val="18"/>
        </w:rPr>
        <w:t>LeonaBio, Inc.</w:t>
      </w:r>
    </w:p>
    <w:p>
      <w:pPr>
        <w:pStyle w:val="TextBody"/>
        <w:bidi w:val="0"/>
        <w:jc w:val="center"/>
        <w:rPr>
          <w:rFonts w:ascii="Times New Roman" w:hAnsi="Times New Roman"/>
          <w:b/>
          <w:color w:val="000000"/>
          <w:sz w:val="18"/>
        </w:rPr>
      </w:pPr>
      <w:r>
        <w:rPr>
          <w:rFonts w:ascii="Times New Roman" w:hAnsi="Times New Roman"/>
          <w:b/>
          <w:color w:val="000000"/>
          <w:sz w:val="18"/>
        </w:rPr>
        <w:t>18706 North Creek Parkway, Suite 104</w:t>
      </w:r>
    </w:p>
    <w:p>
      <w:pPr>
        <w:pStyle w:val="TextBody"/>
        <w:bidi w:val="0"/>
        <w:jc w:val="center"/>
        <w:rPr>
          <w:rFonts w:ascii="Times New Roman" w:hAnsi="Times New Roman"/>
          <w:b/>
          <w:color w:val="000000"/>
          <w:sz w:val="18"/>
        </w:rPr>
      </w:pPr>
      <w:r>
        <w:rPr>
          <w:rFonts w:ascii="Times New Roman" w:hAnsi="Times New Roman"/>
          <w:b/>
          <w:color w:val="000000"/>
          <w:sz w:val="18"/>
        </w:rPr>
        <w:t>Bothell, WA 98011</w:t>
      </w:r>
    </w:p>
    <w:p>
      <w:pPr>
        <w:pStyle w:val="TextBody"/>
        <w:bidi w:val="0"/>
        <w:jc w:val="center"/>
        <w:rPr>
          <w:rFonts w:ascii="Times New Roman" w:hAnsi="Times New Roman"/>
          <w:sz w:val="20"/>
        </w:rPr>
      </w:pPr>
      <w:r>
        <w:rPr>
          <w:rFonts w:ascii="Times New Roman" w:hAnsi="Times New Roman"/>
          <w:b/>
          <w:color w:val="000000"/>
          <w:sz w:val="18"/>
        </w:rPr>
        <w:t>(425) 620-8501</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(Name, address and telephone number, including area code, of agent for service)</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Copies to:</w:t>
      </w:r>
    </w:p>
    <w:p>
      <w:pPr>
        <w:pStyle w:val="TextBody"/>
        <w:bidi w:val="0"/>
        <w:jc w:val="center"/>
        <w:rPr/>
      </w:pPr>
      <w:r>
        <w:rPr/>
        <w:t> </w:t>
      </w:r>
    </w:p>
    <w:tbl>
      <w:tblPr>
        <w:tblW w:w="7922" w:type="dxa"/>
        <w:jc w:val="left"/>
        <w:tblInd w:w="0" w:type="dxa"/>
        <w:tblLayout w:type="fixed"/>
        <w:tblCellMar>
          <w:top w:w="28" w:type="dxa"/>
          <w:left w:w="28" w:type="dxa"/>
          <w:bottom w:w="28" w:type="dxa"/>
          <w:right w:w="28" w:type="dxa"/>
        </w:tblCellMar>
      </w:tblPr>
      <w:tblGrid>
        <w:gridCol w:w="2656"/>
        <w:gridCol w:w="5266"/>
      </w:tblGrid>
      <w:tr>
        <w:trPr/>
        <w:tc>
          <w:tcPr>
            <w:tcW w:w="265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Michael Nordtvedt</w:t>
            </w:r>
          </w:p>
          <w:p>
            <w:pPr>
              <w:pStyle w:val="TableContents"/>
              <w:bidi w:val="0"/>
              <w:jc w:val="center"/>
              <w:rPr>
                <w:rFonts w:ascii="Times New Roman" w:hAnsi="Times New Roman"/>
                <w:b/>
                <w:color w:val="000000"/>
                <w:sz w:val="18"/>
              </w:rPr>
            </w:pPr>
            <w:r>
              <w:rPr>
                <w:rFonts w:ascii="Times New Roman" w:hAnsi="Times New Roman"/>
                <w:b/>
                <w:color w:val="000000"/>
                <w:sz w:val="18"/>
              </w:rPr>
              <w:t>Bryan D. King</w:t>
            </w:r>
          </w:p>
          <w:p>
            <w:pPr>
              <w:pStyle w:val="TableContents"/>
              <w:bidi w:val="0"/>
              <w:jc w:val="center"/>
              <w:rPr>
                <w:rFonts w:ascii="Times New Roman" w:hAnsi="Times New Roman"/>
                <w:color w:val="000000"/>
                <w:sz w:val="18"/>
              </w:rPr>
            </w:pPr>
            <w:r>
              <w:rPr>
                <w:rFonts w:ascii="Times New Roman" w:hAnsi="Times New Roman"/>
                <w:color w:val="000000"/>
                <w:sz w:val="18"/>
              </w:rPr>
              <w:t>Wilson Sonsini Goodrich &amp; Rosati,</w:t>
            </w:r>
          </w:p>
          <w:p>
            <w:pPr>
              <w:pStyle w:val="TableContents"/>
              <w:bidi w:val="0"/>
              <w:jc w:val="center"/>
              <w:rPr>
                <w:rFonts w:ascii="Times New Roman" w:hAnsi="Times New Roman"/>
                <w:color w:val="000000"/>
                <w:sz w:val="18"/>
              </w:rPr>
            </w:pPr>
            <w:r>
              <w:rPr>
                <w:rFonts w:ascii="Times New Roman" w:hAnsi="Times New Roman"/>
                <w:color w:val="000000"/>
                <w:sz w:val="18"/>
              </w:rPr>
              <w:t>Professional Corporation</w:t>
            </w:r>
          </w:p>
          <w:p>
            <w:pPr>
              <w:pStyle w:val="TableContents"/>
              <w:bidi w:val="0"/>
              <w:jc w:val="center"/>
              <w:rPr>
                <w:rFonts w:ascii="Times New Roman" w:hAnsi="Times New Roman"/>
                <w:color w:val="000000"/>
                <w:sz w:val="18"/>
              </w:rPr>
            </w:pPr>
            <w:r>
              <w:rPr>
                <w:rFonts w:ascii="Times New Roman" w:hAnsi="Times New Roman"/>
                <w:color w:val="000000"/>
                <w:sz w:val="18"/>
              </w:rPr>
              <w:t>701 Fifth Avenue</w:t>
            </w:r>
          </w:p>
          <w:p>
            <w:pPr>
              <w:pStyle w:val="TableContents"/>
              <w:bidi w:val="0"/>
              <w:jc w:val="center"/>
              <w:rPr>
                <w:rFonts w:ascii="Times New Roman" w:hAnsi="Times New Roman"/>
                <w:color w:val="000000"/>
                <w:sz w:val="18"/>
              </w:rPr>
            </w:pPr>
            <w:r>
              <w:rPr>
                <w:rFonts w:ascii="Times New Roman" w:hAnsi="Times New Roman"/>
                <w:color w:val="000000"/>
                <w:sz w:val="18"/>
              </w:rPr>
              <w:t>Suite 5100</w:t>
            </w:r>
          </w:p>
          <w:p>
            <w:pPr>
              <w:pStyle w:val="TableContents"/>
              <w:bidi w:val="0"/>
              <w:jc w:val="center"/>
              <w:rPr>
                <w:rFonts w:ascii="Times New Roman" w:hAnsi="Times New Roman"/>
                <w:color w:val="000000"/>
                <w:sz w:val="18"/>
              </w:rPr>
            </w:pPr>
            <w:r>
              <w:rPr>
                <w:rFonts w:ascii="Times New Roman" w:hAnsi="Times New Roman"/>
                <w:color w:val="000000"/>
                <w:sz w:val="18"/>
              </w:rPr>
              <w:t>Seattle, WA 98104-7036</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(206) 883-2500</w:t>
            </w:r>
          </w:p>
        </w:tc>
        <w:tc>
          <w:tcPr>
            <w:tcW w:w="52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Mark Worthington</w:t>
            </w:r>
          </w:p>
          <w:p>
            <w:pPr>
              <w:pStyle w:val="TableContents"/>
              <w:bidi w:val="0"/>
              <w:jc w:val="center"/>
              <w:rPr>
                <w:rFonts w:ascii="Times New Roman" w:hAnsi="Times New Roman"/>
                <w:b/>
                <w:color w:val="000000"/>
                <w:sz w:val="18"/>
              </w:rPr>
            </w:pPr>
            <w:r>
              <w:rPr>
                <w:rFonts w:ascii="Times New Roman" w:hAnsi="Times New Roman"/>
                <w:b/>
                <w:color w:val="000000"/>
                <w:sz w:val="18"/>
              </w:rPr>
              <w:t>General Counsel, Chief Compliance Officer &amp; Corporate Secretary</w:t>
            </w:r>
          </w:p>
          <w:p>
            <w:pPr>
              <w:pStyle w:val="TableContents"/>
              <w:bidi w:val="0"/>
              <w:jc w:val="center"/>
              <w:rPr>
                <w:rFonts w:ascii="Times New Roman" w:hAnsi="Times New Roman"/>
                <w:color w:val="000000"/>
                <w:sz w:val="18"/>
              </w:rPr>
            </w:pPr>
            <w:r>
              <w:rPr>
                <w:rFonts w:ascii="Times New Roman" w:hAnsi="Times New Roman"/>
                <w:color w:val="000000"/>
                <w:sz w:val="18"/>
              </w:rPr>
              <w:t>LeonaBio, Inc.</w:t>
            </w:r>
          </w:p>
          <w:p>
            <w:pPr>
              <w:pStyle w:val="TableContents"/>
              <w:bidi w:val="0"/>
              <w:jc w:val="center"/>
              <w:rPr>
                <w:rFonts w:ascii="Times New Roman" w:hAnsi="Times New Roman"/>
                <w:color w:val="000000"/>
                <w:sz w:val="18"/>
              </w:rPr>
            </w:pPr>
            <w:r>
              <w:rPr>
                <w:rFonts w:ascii="Times New Roman" w:hAnsi="Times New Roman"/>
                <w:color w:val="000000"/>
                <w:sz w:val="18"/>
              </w:rPr>
              <w:t xml:space="preserve">18706 North Creek Parkway, Suite 104 </w:t>
            </w:r>
          </w:p>
          <w:p>
            <w:pPr>
              <w:pStyle w:val="TableContents"/>
              <w:bidi w:val="0"/>
              <w:jc w:val="center"/>
              <w:rPr>
                <w:rFonts w:ascii="Times New Roman" w:hAnsi="Times New Roman"/>
                <w:color w:val="000000"/>
                <w:sz w:val="18"/>
              </w:rPr>
            </w:pPr>
            <w:r>
              <w:rPr>
                <w:rFonts w:ascii="Times New Roman" w:hAnsi="Times New Roman"/>
                <w:color w:val="000000"/>
                <w:sz w:val="18"/>
              </w:rPr>
              <w:t>Bothell, Washington 98011</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(425) 620-8501</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127" w:type="dxa"/>
        <w:jc w:val="left"/>
        <w:tblInd w:w="0" w:type="dxa"/>
        <w:tblLayout w:type="fixed"/>
        <w:tblCellMar>
          <w:top w:w="28" w:type="dxa"/>
          <w:left w:w="28" w:type="dxa"/>
          <w:bottom w:w="28" w:type="dxa"/>
          <w:right w:w="28" w:type="dxa"/>
        </w:tblCellMar>
      </w:tblPr>
      <w:tblGrid>
        <w:gridCol w:w="186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Smaller reporting company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w:t>
        <w:noBreakHyphen/>
        <w:t>8, taken together, constitute a prospectus that meets the requirements of Section 10(a) of the Securities Act.</w:t>
      </w:r>
    </w:p>
    <w:p>
      <w:pPr>
        <w:pStyle w:val="TextBody"/>
        <w:bidi w:val="0"/>
        <w:spacing w:before="240" w:after="283"/>
        <w:jc w:val="center"/>
        <w:rPr>
          <w:rFonts w:ascii="Times New Roman" w:hAnsi="Times New Roman"/>
          <w:sz w:val="20"/>
        </w:rPr>
      </w:pPr>
      <w:bookmarkStart w:id="2" w:name="part_ii_1"/>
      <w:bookmarkEnd w:id="2"/>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3_incorporation_documents_by_refe_1"/>
      <w:bookmarkEnd w:id="3"/>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Incorporation of Documents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hereby incorporates by reference into this Registration Statement the following documents previously filed with the Securities and Exchange Commission (the “Commission”):</w:t>
      </w:r>
    </w:p>
    <w:p>
      <w:pPr>
        <w:pStyle w:val="TextBody"/>
        <w:bidi w:val="0"/>
        <w:spacing w:before="240" w:after="283"/>
        <w:jc w:val="left"/>
        <w:rPr/>
      </w:pPr>
      <w:r>
        <w:rPr>
          <w:rFonts w:ascii="Times New Roman" w:hAnsi="Times New Roman"/>
          <w:color w:val="000000"/>
          <w:sz w:val="20"/>
        </w:rPr>
        <w:t xml:space="preserve">(1) The Registrant’s Annual Report on Form 10-K for the fiscal year ended December 31, 2025, filed with the Commission on </w:t>
      </w:r>
      <w:hyperlink r:id="rId2">
        <w:r>
          <w:rPr>
            <w:rStyle w:val="InternetLink"/>
            <w:rFonts w:ascii="Times New Roman" w:hAnsi="Times New Roman"/>
            <w:color w:val="0000FF"/>
            <w:sz w:val="20"/>
            <w:u w:val="single"/>
          </w:rPr>
          <w:t>March 31, 2026</w:t>
        </w:r>
      </w:hyperlink>
      <w:r>
        <w:rPr>
          <w:rFonts w:ascii="Times New Roman" w:hAnsi="Times New Roman"/>
          <w:color w:val="000000"/>
          <w:sz w:val="20"/>
        </w:rPr>
        <w:t xml:space="preserve"> (the “2025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All other reports filed with the Commission pursuant to Section 13(a) or 15(d) of the Securities Exchange Act of 1934, as amended (the “Exchange Act”), since the end of the fiscal year covered by the 2025 Form 10-K;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The description of the Registrant’s Common Stock contained in the Registrant’s Registration Statement on Form 8-A (File No. 001-39503) filed with the Commission on September 9, 2020, pursuant to Section 12(b) of the Exchange Act, including any amendment or report filed for the purpose of updating such description.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sz w:val="20"/>
        </w:rPr>
      </w:pPr>
      <w:bookmarkStart w:id="4" w:name="item_4_description_securities"/>
      <w:bookmarkEnd w:id="4"/>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5" w:name="item_5_interests_named_experts_counsel"/>
      <w:bookmarkEnd w:id="5"/>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Interests of Named Experts and Counsel.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validity of the shares of common stock offered hereby will be passed upon for the Registrant by Wilson Sonsini Goodrich &amp; Rosati, Professional Corporation, Seattle, Washington. Investment funds associated with Wilson Sonsini Goodrich &amp; Rosati, Professional Corporation, hold an aggregate of 1,370 shares of the Registrant’s common stock, which represent less than 1% of the Registrant’s outstanding shares of common stock.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6" w:name="item_6_indemnification_directors_ficers"/>
      <w:bookmarkEnd w:id="6"/>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Indemnification of Directors and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bookmarkStart w:id="7" w:name="t0"/>
      <w:bookmarkEnd w:id="7"/>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contains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spacing w:before="240" w:after="283"/>
        <w:jc w:val="left"/>
        <w:rPr>
          <w:rFonts w:ascii="Times New Roman" w:hAnsi="Times New Roman"/>
          <w:sz w:val="20"/>
        </w:rPr>
      </w:pPr>
      <w:bookmarkStart w:id="8" w:name="item_7_exemption_from_registration_claim"/>
      <w:bookmarkEnd w:id="8"/>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color w:val="000000"/>
          <w:sz w:val="20"/>
        </w:rPr>
        <w:t>Exemption from Registration Claimed.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09"/>
        <w:gridCol w:w="5520"/>
        <w:gridCol w:w="109"/>
        <w:gridCol w:w="511"/>
        <w:gridCol w:w="146"/>
        <w:gridCol w:w="954"/>
        <w:gridCol w:w="146"/>
        <w:gridCol w:w="631"/>
        <w:gridCol w:w="146"/>
        <w:gridCol w:w="1227"/>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w:t>
              <w:br/>
              <w:t>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Specimen common stock certificate of the Registrant</w:t>
              </w:r>
            </w:hyperlink>
            <w:hyperlink r:id="rId4">
              <w:r>
                <w:rPr>
                  <w:rStyle w:val="InternetLink"/>
                  <w:rFonts w:ascii="Times New Roman" w:hAnsi="Times New Roman"/>
                  <w:color w:val="0000FF"/>
                  <w:sz w:val="20"/>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333-292826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2026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Stock Option Agreement under the 2026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Restricted Stock Award Agreement under the 2026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RSU Agreement under the 2026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2020 Equity Incentive Plan, as amended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w:anchor="lona-ex5_1.htm">
              <w:r>
                <w:rPr>
                  <w:rStyle w:val="InternetLink"/>
                  <w:rFonts w:ascii="Times New Roman" w:hAnsi="Times New Roman"/>
                  <w:color w:val="0000FF"/>
                  <w:sz w:val="20"/>
                  <w:u w:val="single"/>
                </w:rPr>
                <w:t>Opinion of Wilson Sonsini Goodrich &amp; Rosati, Professional Corporation</w:t>
              </w:r>
            </w:hyperlink>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w:anchor="lona-ex23_1.htm">
              <w:r>
                <w:rPr>
                  <w:rStyle w:val="InternetLink"/>
                  <w:rFonts w:ascii="Times New Roman" w:hAnsi="Times New Roman"/>
                  <w:color w:val="0000FF"/>
                  <w:sz w:val="20"/>
                  <w:u w:val="single"/>
                </w:rPr>
                <w:t>Consent of Independent Registered Public Accounting Firm</w:t>
              </w:r>
            </w:hyperlink>
            <w:r>
              <w:rPr>
                <w:rFonts w:ascii="Times New Roman" w:hAnsi="Times New Roman"/>
                <w:color w:val="0000FF"/>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Wilson Sonsini Goodrich &amp; Rosati, Professional Corporation (contained in Exhibit 5.1 hereto)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Power of Attorney (contained on signature page hereto)</w:t>
            </w:r>
            <w:r>
              <w:rPr>
                <w:rFonts w:ascii="Times New Roman" w:hAnsi="Times New Roman"/>
                <w:color w:val="0000FF"/>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tcBorders/>
            <w:tcMar>
              <w:top w:w="0" w:type="dxa"/>
              <w:left w:w="0" w:type="dxa"/>
              <w:bottom w:w="0" w:type="dxa"/>
              <w:right w:w="0" w:type="dxa"/>
            </w:tcMar>
            <w:vAlign w:val="center"/>
          </w:tcPr>
          <w:p>
            <w:pPr>
              <w:pStyle w:val="TableContents"/>
              <w:bidi w:val="0"/>
              <w:spacing w:before="0" w:after="283"/>
              <w:jc w:val="left"/>
              <w:rPr/>
            </w:pPr>
            <w:hyperlink w:anchor="lona-exfiling_fees.htm">
              <w:r>
                <w:rPr>
                  <w:rStyle w:val="InternetLink"/>
                  <w:rFonts w:ascii="Times New Roman" w:hAnsi="Times New Roman"/>
                  <w:color w:val="0000FF"/>
                  <w:sz w:val="20"/>
                  <w:u w:val="single"/>
                </w:rPr>
                <w:t>Filing Fee Table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pPr>
      <w:r>
        <w:rPr>
          <w:rFonts w:ascii="Times New Roman" w:hAnsi="Times New Roman"/>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April 1, 2026. </w:t>
      </w:r>
    </w:p>
    <w:p>
      <w:pPr>
        <w:pStyle w:val="TextBody"/>
        <w:bidi w:val="0"/>
        <w:jc w:val="left"/>
        <w:rPr/>
      </w:pPr>
      <w:r>
        <w:rPr/>
        <w:t> </w:t>
      </w:r>
    </w:p>
    <w:tbl>
      <w:tblPr>
        <w:tblW w:w="3808" w:type="dxa"/>
        <w:jc w:val="left"/>
        <w:tblInd w:w="0" w:type="dxa"/>
        <w:tblLayout w:type="fixed"/>
        <w:tblCellMar>
          <w:top w:w="28" w:type="dxa"/>
          <w:left w:w="28" w:type="dxa"/>
          <w:bottom w:w="28" w:type="dxa"/>
          <w:right w:w="28" w:type="dxa"/>
        </w:tblCellMar>
      </w:tblPr>
      <w:tblGrid>
        <w:gridCol w:w="421"/>
        <w:gridCol w:w="146"/>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LEONABIO,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Mark Litton,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9" w:name="power_of_attorney"/>
      <w:bookmarkEnd w:id="9"/>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Mark Litton and Robert Renninger,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1816"/>
        <w:gridCol w:w="146"/>
        <w:gridCol w:w="3961"/>
        <w:gridCol w:w="146"/>
        <w:gridCol w:w="12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Litton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and Director </w:t>
              <w:b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Litton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Renninger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b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Renninger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Kelly A. Romano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Kelly A. Romano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Edelman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Edelman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M. Fluke,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M. Fluke, Jr.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A. Johnson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A. Johnson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Barbara Kosacz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Barbara Kosacz</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Panzara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Panzara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Grant Pickering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r>
      <w:tr>
        <w:trPr/>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Grant Pickering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0" w:name="lona-ex5_1.htm"/>
      <w:bookmarkStart w:id="11" w:name="kslonaex5_1"/>
      <w:bookmarkStart w:id="12" w:name="lona-ex5_1.htm"/>
      <w:bookmarkStart w:id="13" w:name="kslonaex5_1"/>
      <w:bookmarkEnd w:id="12"/>
      <w:bookmarkEnd w:id="13"/>
      <w:r>
        <w:br w:type="page"/>
      </w:r>
    </w:p>
    <w:tbl>
      <w:tblPr>
        <w:tblW w:w="8544" w:type="dxa"/>
        <w:jc w:val="left"/>
        <w:tblInd w:w="0" w:type="dxa"/>
        <w:tblLayout w:type="fixed"/>
        <w:tblCellMar>
          <w:top w:w="28" w:type="dxa"/>
          <w:left w:w="28" w:type="dxa"/>
          <w:bottom w:w="28" w:type="dxa"/>
          <w:right w:w="28" w:type="dxa"/>
        </w:tblCellMar>
      </w:tblPr>
      <w:tblGrid>
        <w:gridCol w:w="3962"/>
        <w:gridCol w:w="4582"/>
      </w:tblGrid>
      <w:tr>
        <w:trPr/>
        <w:tc>
          <w:tcPr>
            <w:tcW w:w="3962" w:type="dxa"/>
            <w:tcBorders/>
            <w:vAlign w:val="center"/>
          </w:tcPr>
          <w:p>
            <w:pPr>
              <w:pStyle w:val="TableContents"/>
              <w:bidi w:val="0"/>
              <w:spacing w:before="0" w:after="283"/>
              <w:jc w:val="left"/>
              <w:rPr>
                <w:sz w:val="4"/>
                <w:szCs w:val="4"/>
              </w:rPr>
            </w:pPr>
            <w:r>
              <w:rPr>
                <w:sz w:val="4"/>
                <w:szCs w:val="4"/>
              </w:rPr>
            </w:r>
          </w:p>
        </w:tc>
        <w:tc>
          <w:tcPr>
            <w:tcW w:w="4582" w:type="dxa"/>
            <w:tcBorders/>
            <w:vAlign w:val="center"/>
          </w:tcPr>
          <w:p>
            <w:pPr>
              <w:pStyle w:val="TableContents"/>
              <w:bidi w:val="0"/>
              <w:spacing w:before="0" w:after="283"/>
              <w:jc w:val="left"/>
              <w:rPr>
                <w:sz w:val="4"/>
                <w:szCs w:val="4"/>
              </w:rPr>
            </w:pPr>
            <w:r>
              <w:rPr>
                <w:sz w:val="4"/>
                <w:szCs w:val="4"/>
              </w:rPr>
            </w:r>
          </w:p>
        </w:tc>
      </w:tr>
      <w:tr>
        <w:trPr/>
        <w:tc>
          <w:tcPr>
            <w:tcW w:w="3962" w:type="dxa"/>
            <w:tcBorders/>
            <w:tcMar>
              <w:top w:w="0" w:type="dxa"/>
              <w:left w:w="0" w:type="dxa"/>
              <w:bottom w:w="0" w:type="dxa"/>
              <w:right w:w="0" w:type="dxa"/>
            </w:tcMar>
            <w:vAlign w:val="center"/>
          </w:tcPr>
          <w:p>
            <w:pPr>
              <w:pStyle w:val="TableContents"/>
              <w:bidi w:val="0"/>
              <w:spacing w:before="120" w:after="283"/>
              <w:ind w:left="0" w:right="0" w:firstLine="1941"/>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219200" cy="457200"/>
                          </a:xfrm>
                          <a:prstGeom prst="rect">
                            <a:avLst/>
                          </a:prstGeom>
                        </pic:spPr>
                      </pic:pic>
                    </a:graphicData>
                  </a:graphic>
                </wp:inline>
              </w:drawing>
            </w:r>
          </w:p>
        </w:tc>
        <w:tc>
          <w:tcPr>
            <w:tcW w:w="4582" w:type="dxa"/>
            <w:tcBorders/>
            <w:tcMar>
              <w:top w:w="0" w:type="dxa"/>
              <w:left w:w="0" w:type="dxa"/>
              <w:bottom w:w="0" w:type="dxa"/>
              <w:right w:w="0" w:type="dxa"/>
            </w:tcMar>
            <w:vAlign w:val="center"/>
          </w:tcPr>
          <w:p>
            <w:pPr>
              <w:pStyle w:val="TableContents"/>
              <w:bidi w:val="0"/>
              <w:spacing w:before="120" w:after="283"/>
              <w:ind w:left="0" w:right="0" w:firstLine="1941"/>
              <w:jc w:val="left"/>
              <w:rPr>
                <w:rFonts w:ascii="Georgia;serif" w:hAnsi="Georgia;serif"/>
                <w:color w:val="003D4C"/>
                <w:sz w:val="16"/>
              </w:rPr>
            </w:pPr>
            <w:r>
              <w:rPr>
                <w:rFonts w:ascii="Georgia;serif" w:hAnsi="Georgia;serif"/>
                <w:color w:val="003D4C"/>
                <w:sz w:val="16"/>
              </w:rPr>
              <w:t>Wilson Sonsini Goodrich &amp; Rosati</w:t>
              <w:br/>
              <w:t>Professional Corporation</w:t>
            </w:r>
          </w:p>
          <w:p>
            <w:pPr>
              <w:pStyle w:val="TableContents"/>
              <w:bidi w:val="0"/>
              <w:spacing w:before="80" w:after="283"/>
              <w:ind w:left="0" w:right="0" w:firstLine="1941"/>
              <w:jc w:val="left"/>
              <w:rPr>
                <w:rFonts w:ascii="Georgia;serif" w:hAnsi="Georgia;serif"/>
                <w:color w:val="003D4C"/>
                <w:sz w:val="16"/>
              </w:rPr>
            </w:pPr>
            <w:r>
              <w:rPr>
                <w:rFonts w:ascii="Georgia;serif" w:hAnsi="Georgia;serif"/>
                <w:color w:val="003D4C"/>
                <w:sz w:val="16"/>
              </w:rPr>
              <w:t>701 Fifth Avenue</w:t>
              <w:br/>
              <w:t>Suite 5100</w:t>
              <w:br/>
              <w:t>Seattle, Washington 98104-7036</w:t>
            </w:r>
          </w:p>
          <w:p>
            <w:pPr>
              <w:pStyle w:val="TableContents"/>
              <w:bidi w:val="0"/>
              <w:spacing w:before="80" w:after="283"/>
              <w:ind w:left="0" w:right="0" w:firstLine="1941"/>
              <w:jc w:val="left"/>
              <w:rPr>
                <w:rFonts w:ascii="Times New Roman" w:hAnsi="Times New Roman"/>
                <w:sz w:val="16"/>
              </w:rPr>
            </w:pPr>
            <w:r>
              <w:rPr>
                <w:rFonts w:ascii="Georgia;serif" w:hAnsi="Georgia;serif"/>
                <w:smallCaps/>
                <w:color w:val="003D4C"/>
                <w:sz w:val="16"/>
              </w:rPr>
              <w:t>o</w:t>
            </w:r>
            <w:r>
              <w:rPr>
                <w:rFonts w:ascii="Georgia;serif" w:hAnsi="Georgia;serif"/>
                <w:color w:val="003D4C"/>
                <w:sz w:val="16"/>
              </w:rPr>
              <w:t>: 206.883.2500</w:t>
              <w:br/>
            </w:r>
            <w:r>
              <w:rPr>
                <w:rFonts w:ascii="Times New Roman" w:hAnsi="Times New Roman"/>
                <w:color w:val="003D4C"/>
                <w:sz w:val="16"/>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April 1, 2026</w:t>
      </w:r>
    </w:p>
    <w:p>
      <w:pPr>
        <w:pStyle w:val="TextBody"/>
        <w:bidi w:val="0"/>
        <w:spacing w:before="240" w:after="283"/>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LeonaBio, Inc.</w:t>
        <w:br/>
        <w:t>18706 North Creek Parkway, Suite 104</w:t>
        <w:br/>
        <w:t>Bothell, WA 98011</w:t>
      </w:r>
    </w:p>
    <w:p>
      <w:pPr>
        <w:pStyle w:val="TextBody"/>
        <w:bidi w:val="0"/>
        <w:spacing w:before="240" w:after="283"/>
        <w:jc w:val="left"/>
        <w:rPr/>
      </w:pPr>
      <w:r>
        <w:rPr/>
        <w:t> </w:t>
      </w:r>
    </w:p>
    <w:p>
      <w:pPr>
        <w:pStyle w:val="TextBody"/>
        <w:bidi w:val="0"/>
        <w:jc w:val="both"/>
        <w:rPr>
          <w:rFonts w:ascii="Times New Roman" w:hAnsi="Times New Roman"/>
          <w:sz w:val="20"/>
        </w:rPr>
      </w:pPr>
      <w:r>
        <w:rPr>
          <w:rFonts w:ascii="Times New Roman" w:hAnsi="Times New Roman"/>
          <w:b/>
          <w:color w:val="000000"/>
          <w:sz w:val="22"/>
        </w:rPr>
        <w:t>Re:</w:t>
      </w:r>
      <w:r>
        <w:rPr>
          <w:rFonts w:ascii="Times New Roman" w:hAnsi="Times New Roman"/>
          <w:color w:val="000000"/>
          <w:sz w:val="20"/>
        </w:rPr>
        <w:t xml:space="preserve"> </w:t>
      </w:r>
      <w:r>
        <w:rPr>
          <w:rFonts w:ascii="Times New Roman" w:hAnsi="Times New Roman"/>
          <w:b/>
          <w:color w:val="000000"/>
          <w:sz w:val="22"/>
          <w:u w:val="single"/>
        </w:rPr>
        <w:t>Registration Statement on Form S-8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Ladies and Gentlemen: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have examined the Registration Statement on Form S-8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to be filed by LeonaBio, Inc., a Delaware corporation, with the Securities and Exchange Commission on or about the date hereof, in connection with the registration under the Securities Act of 1933, as amended, of an aggregate of 387,600 shares of your common stock, par value $0.0001 per share (the “</w:t>
      </w:r>
      <w:r>
        <w:rPr>
          <w:rFonts w:ascii="Times New Roman" w:hAnsi="Times New Roman"/>
          <w:b/>
          <w:color w:val="000000"/>
          <w:sz w:val="22"/>
        </w:rPr>
        <w:t>Shares</w:t>
      </w:r>
      <w:r>
        <w:rPr>
          <w:rFonts w:ascii="Times New Roman" w:hAnsi="Times New Roman"/>
          <w:color w:val="000000"/>
          <w:sz w:val="20"/>
        </w:rPr>
        <w:t>”</w:t>
      </w:r>
      <w:r>
        <w:rPr>
          <w:rFonts w:ascii="Times New Roman" w:hAnsi="Times New Roman"/>
          <w:color w:val="000000"/>
          <w:sz w:val="22"/>
        </w:rPr>
        <w:t>), consisting of: (i) 323,000 shares of common stock to be issued under the 2020 Equity Incentive Plan (the “</w:t>
      </w:r>
      <w:r>
        <w:rPr>
          <w:rFonts w:ascii="Times New Roman" w:hAnsi="Times New Roman"/>
          <w:b/>
          <w:color w:val="000000"/>
          <w:sz w:val="22"/>
        </w:rPr>
        <w:t>2020 Plan</w:t>
      </w:r>
      <w:r>
        <w:rPr>
          <w:rFonts w:ascii="Times New Roman" w:hAnsi="Times New Roman"/>
          <w:color w:val="000000"/>
          <w:sz w:val="20"/>
        </w:rPr>
        <w:t>”</w:t>
      </w:r>
      <w:r>
        <w:rPr>
          <w:rFonts w:ascii="Times New Roman" w:hAnsi="Times New Roman"/>
          <w:color w:val="000000"/>
          <w:sz w:val="22"/>
        </w:rPr>
        <w:t>) and (ii) 64,600 shares of common stock to be issued under the 2020 Employee Stock Purchase Plan (the “</w:t>
      </w:r>
      <w:r>
        <w:rPr>
          <w:rFonts w:ascii="Times New Roman" w:hAnsi="Times New Roman"/>
          <w:b/>
          <w:color w:val="000000"/>
          <w:sz w:val="22"/>
        </w:rPr>
        <w:t>2020 ESPP</w:t>
      </w:r>
      <w:r>
        <w:rPr>
          <w:rFonts w:ascii="Times New Roman" w:hAnsi="Times New Roman"/>
          <w:color w:val="000000"/>
          <w:sz w:val="20"/>
        </w:rPr>
        <w:t>”</w:t>
      </w:r>
      <w:r>
        <w:rPr>
          <w:rFonts w:ascii="Times New Roman" w:hAnsi="Times New Roman"/>
          <w:color w:val="000000"/>
          <w:sz w:val="22"/>
        </w:rPr>
        <w:t>, and together with the 2020 Plan, the “</w:t>
      </w:r>
      <w:r>
        <w:rPr>
          <w:rFonts w:ascii="Times New Roman" w:hAnsi="Times New Roman"/>
          <w:b/>
          <w:color w:val="000000"/>
          <w:sz w:val="22"/>
        </w:rPr>
        <w:t>Plans</w:t>
      </w:r>
      <w:r>
        <w:rPr>
          <w:rFonts w:ascii="Times New Roman" w:hAnsi="Times New Roman"/>
          <w:color w:val="000000"/>
          <w:sz w:val="20"/>
        </w:rPr>
        <w:t>”</w:t>
      </w:r>
      <w:r>
        <w:rPr>
          <w:rFonts w:ascii="Times New Roman" w:hAnsi="Times New Roman"/>
          <w:color w:val="000000"/>
          <w:sz w:val="22"/>
        </w:rPr>
        <w:t>). As your legal counsel, we have reviewed the actions proposed to be taken by you in connection with the issuance and sale of the Shares to be issued under the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It is our opinion that the Shares, when issued and sold in the manner referred to in the Plans and pursuant to the agreements that accompany the Plans, will be legally and validly issued, fully paid and nonassessable.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consent to the use of this opinion as an exhibit to the Registration Statement, and further consent to the use of our name wherever appearing in the Registration Statement and any amendments thereto.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spacing w:before="60" w:after="60"/>
        <w:jc w:val="center"/>
        <w:rPr>
          <w:rFonts w:ascii="Times New Roman" w:hAnsi="Times New Roman"/>
          <w:caps/>
          <w:color w:val="003D4C"/>
          <w:sz w:val="14"/>
        </w:rPr>
      </w:pPr>
      <w:r>
        <w:rPr>
          <w:rFonts w:ascii="Times New Roman" w:hAnsi="Times New Roman"/>
          <w:caps/>
          <w:color w:val="003D4C"/>
          <w:sz w:val="14"/>
        </w:rPr>
        <w:t>austin boston BOULDER brussels hong kong london los angeles new york palo alto</w:t>
        <w:br/>
        <w:t>SALT LAKE CITY san diego san francisco seattle shanghai washington, dc wilmington, 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096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609600" cy="2286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April 1, 2026</w:t>
      </w:r>
    </w:p>
    <w:p>
      <w:pPr>
        <w:pStyle w:val="TextBody"/>
        <w:bidi w:val="0"/>
        <w:jc w:val="left"/>
        <w:rPr>
          <w:rFonts w:ascii="Times New Roman" w:hAnsi="Times New Roman"/>
          <w:color w:val="000000"/>
          <w:sz w:val="22"/>
        </w:rPr>
      </w:pPr>
      <w:r>
        <w:rPr>
          <w:rFonts w:ascii="Times New Roman" w:hAnsi="Times New Roman"/>
          <w:color w:val="000000"/>
          <w:sz w:val="22"/>
        </w:rPr>
        <w:t>Page 2</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WILSON SONSINI GOODRICH &amp; ROSATI</w:t>
        <w:br/>
        <w:t>Professional Corporation</w:t>
      </w:r>
    </w:p>
    <w:p>
      <w:pPr>
        <w:pStyle w:val="TextBody"/>
        <w:bidi w:val="0"/>
        <w:spacing w:before="240" w:after="283"/>
        <w:jc w:val="left"/>
        <w:rPr>
          <w:rFonts w:ascii="Georgia;serif" w:hAnsi="Georgia;serif"/>
          <w:color w:val="000000"/>
          <w:sz w:val="22"/>
          <w:u w:val="single"/>
        </w:rPr>
      </w:pPr>
      <w:r>
        <w:rPr>
          <w:rFonts w:ascii="Georgia;serif" w:hAnsi="Georgia;serif"/>
          <w:color w:val="000000"/>
          <w:sz w:val="22"/>
          <w:u w:val="single"/>
        </w:rPr>
        <w:t>/s/ Wilson Sonsini Goodrich &amp; Rosati</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4" w:name="lona-ex23_1.htm"/>
      <w:bookmarkStart w:id="15" w:name="kslonaex23_1"/>
      <w:bookmarkEnd w:id="14"/>
      <w:bookmarkEnd w:id="15"/>
      <w:r>
        <w:rPr>
          <w:rFonts w:ascii="Times New Roman" w:hAnsi="Times New Roman"/>
          <w:b/>
          <w:color w:val="000000"/>
          <w:sz w:val="22"/>
        </w:rPr>
        <w:t>Exhibit 23.1</w:t>
      </w:r>
      <w:r>
        <w:br w:type="page"/>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We consent to the incorporation by reference in the Registration Statement (Form S-8) pertaining to the 2026 Equity Incentive Plan of LeonaBio, Inc. of our report dated March 31, 2026, with respect to the consolidated financial statements of LeonaBio, Inc. included in its Annual Report (Form 10-K) for the year ended December 31, 2025, filed with the Securities and Exchange Commission.</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 Ernst &amp; Young LLP</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Seattle, Washington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April 1, 2026</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6" w:name="lona-exfiling_fees.htm"/>
      <w:bookmarkStart w:id="17" w:name="kslonaexfiling_fees"/>
      <w:bookmarkStart w:id="18" w:name="lona-exfiling_fees.htm"/>
      <w:bookmarkStart w:id="19" w:name="kslonaexfiling_fees"/>
      <w:bookmarkEnd w:id="18"/>
      <w:bookmarkEnd w:id="19"/>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LeonaBio,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3"/>
        <w:gridCol w:w="1088"/>
        <w:gridCol w:w="1288"/>
        <w:gridCol w:w="1197"/>
        <w:gridCol w:w="1199"/>
        <w:gridCol w:w="1692"/>
        <w:gridCol w:w="1126"/>
        <w:gridCol w:w="142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8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8"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7"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9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3" w:type="dxa"/>
            <w:tcBorders/>
            <w:shd w:fill="E7E7E2" w:val="clear"/>
            <w:vAlign w:val="center"/>
          </w:tcPr>
          <w:p>
            <w:pPr>
              <w:pStyle w:val="TableContents"/>
              <w:bidi w:val="0"/>
              <w:spacing w:before="0" w:after="283"/>
              <w:jc w:val="left"/>
              <w:rPr/>
            </w:pPr>
            <w:r>
              <w:rPr/>
              <w:t xml:space="preserve">Equity </w:t>
            </w:r>
          </w:p>
        </w:tc>
        <w:tc>
          <w:tcPr>
            <w:tcW w:w="1088" w:type="dxa"/>
            <w:tcBorders/>
            <w:shd w:fill="E7E7E2" w:val="clear"/>
            <w:vAlign w:val="center"/>
          </w:tcPr>
          <w:p>
            <w:pPr>
              <w:pStyle w:val="TableContents"/>
              <w:bidi w:val="0"/>
              <w:spacing w:before="0" w:after="283"/>
              <w:jc w:val="left"/>
              <w:rPr/>
            </w:pPr>
            <w:r>
              <w:rPr/>
              <w:t xml:space="preserve">Common Stock, par value $0.0001 per share, reserved for issuance pursuant to the 2026 Plan </w:t>
            </w:r>
          </w:p>
        </w:tc>
        <w:tc>
          <w:tcPr>
            <w:tcW w:w="1288" w:type="dxa"/>
            <w:tcBorders/>
            <w:shd w:fill="E7E7E2" w:val="clear"/>
            <w:vAlign w:val="center"/>
          </w:tcPr>
          <w:p>
            <w:pPr>
              <w:pStyle w:val="TableContents"/>
              <w:bidi w:val="0"/>
              <w:spacing w:before="0" w:after="283"/>
              <w:jc w:val="center"/>
              <w:rPr/>
            </w:pPr>
            <w:r>
              <w:rPr/>
              <w:t xml:space="preserve">Other </w:t>
            </w:r>
          </w:p>
        </w:tc>
        <w:tc>
          <w:tcPr>
            <w:tcW w:w="1197" w:type="dxa"/>
            <w:tcBorders/>
            <w:shd w:fill="E7E7E2" w:val="clear"/>
            <w:vAlign w:val="center"/>
          </w:tcPr>
          <w:p>
            <w:pPr>
              <w:pStyle w:val="TableContents"/>
              <w:bidi w:val="0"/>
              <w:spacing w:before="0" w:after="283"/>
              <w:jc w:val="right"/>
              <w:rPr/>
            </w:pPr>
            <w:r>
              <w:rPr/>
              <w:t xml:space="preserve">5,700,000 </w:t>
            </w:r>
          </w:p>
        </w:tc>
        <w:tc>
          <w:tcPr>
            <w:tcW w:w="1199" w:type="dxa"/>
            <w:tcBorders/>
            <w:shd w:fill="E7E7E2" w:val="clear"/>
            <w:vAlign w:val="center"/>
          </w:tcPr>
          <w:p>
            <w:pPr>
              <w:pStyle w:val="TableContents"/>
              <w:bidi w:val="0"/>
              <w:spacing w:before="0" w:after="283"/>
              <w:jc w:val="right"/>
              <w:rPr/>
            </w:pPr>
            <w:r>
              <w:rPr/>
              <w:t xml:space="preserve">$ 9.11 </w:t>
            </w:r>
          </w:p>
        </w:tc>
        <w:tc>
          <w:tcPr>
            <w:tcW w:w="1692" w:type="dxa"/>
            <w:tcBorders/>
            <w:shd w:fill="E7E7E2" w:val="clear"/>
            <w:vAlign w:val="center"/>
          </w:tcPr>
          <w:p>
            <w:pPr>
              <w:pStyle w:val="TableContents"/>
              <w:bidi w:val="0"/>
              <w:spacing w:before="0" w:after="283"/>
              <w:jc w:val="right"/>
              <w:rPr/>
            </w:pPr>
            <w:r>
              <w:rPr/>
              <w:t xml:space="preserve">$ 51,927,000.00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1" w:type="dxa"/>
            <w:tcBorders/>
            <w:shd w:fill="E7E7E2" w:val="clear"/>
            <w:vAlign w:val="center"/>
          </w:tcPr>
          <w:p>
            <w:pPr>
              <w:pStyle w:val="TableContents"/>
              <w:bidi w:val="0"/>
              <w:spacing w:before="0" w:after="283"/>
              <w:jc w:val="right"/>
              <w:rPr/>
            </w:pPr>
            <w:r>
              <w:rPr/>
              <w:t xml:space="preserve">$ 7,171.12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3" w:type="dxa"/>
            <w:tcBorders/>
            <w:shd w:fill="E7E7E2" w:val="clear"/>
            <w:vAlign w:val="center"/>
          </w:tcPr>
          <w:p>
            <w:pPr>
              <w:pStyle w:val="TableContents"/>
              <w:bidi w:val="0"/>
              <w:spacing w:before="0" w:after="283"/>
              <w:jc w:val="left"/>
              <w:rPr/>
            </w:pPr>
            <w:r>
              <w:rPr/>
              <w:t xml:space="preserve">Equity </w:t>
            </w:r>
          </w:p>
        </w:tc>
        <w:tc>
          <w:tcPr>
            <w:tcW w:w="1088" w:type="dxa"/>
            <w:tcBorders/>
            <w:shd w:fill="E7E7E2" w:val="clear"/>
            <w:vAlign w:val="center"/>
          </w:tcPr>
          <w:p>
            <w:pPr>
              <w:pStyle w:val="TableContents"/>
              <w:bidi w:val="0"/>
              <w:spacing w:before="0" w:after="283"/>
              <w:jc w:val="left"/>
              <w:rPr/>
            </w:pPr>
            <w:r>
              <w:rPr/>
              <w:t xml:space="preserve">Common Stock, par value $0.0001 per share, reserved for issuance pursuant to the 2026 Plan </w:t>
            </w:r>
          </w:p>
        </w:tc>
        <w:tc>
          <w:tcPr>
            <w:tcW w:w="1288" w:type="dxa"/>
            <w:tcBorders/>
            <w:shd w:fill="E7E7E2" w:val="clear"/>
            <w:vAlign w:val="center"/>
          </w:tcPr>
          <w:p>
            <w:pPr>
              <w:pStyle w:val="TableContents"/>
              <w:bidi w:val="0"/>
              <w:spacing w:before="0" w:after="283"/>
              <w:jc w:val="center"/>
              <w:rPr/>
            </w:pPr>
            <w:r>
              <w:rPr/>
              <w:t xml:space="preserve">Other </w:t>
            </w:r>
          </w:p>
        </w:tc>
        <w:tc>
          <w:tcPr>
            <w:tcW w:w="1197" w:type="dxa"/>
            <w:tcBorders/>
            <w:shd w:fill="E7E7E2" w:val="clear"/>
            <w:vAlign w:val="center"/>
          </w:tcPr>
          <w:p>
            <w:pPr>
              <w:pStyle w:val="TableContents"/>
              <w:bidi w:val="0"/>
              <w:spacing w:before="0" w:after="283"/>
              <w:jc w:val="right"/>
              <w:rPr/>
            </w:pPr>
            <w:r>
              <w:rPr/>
              <w:t xml:space="preserve">1,300,000 </w:t>
            </w:r>
          </w:p>
        </w:tc>
        <w:tc>
          <w:tcPr>
            <w:tcW w:w="1199" w:type="dxa"/>
            <w:tcBorders/>
            <w:shd w:fill="E7E7E2" w:val="clear"/>
            <w:vAlign w:val="center"/>
          </w:tcPr>
          <w:p>
            <w:pPr>
              <w:pStyle w:val="TableContents"/>
              <w:bidi w:val="0"/>
              <w:spacing w:before="0" w:after="283"/>
              <w:jc w:val="right"/>
              <w:rPr/>
            </w:pPr>
            <w:r>
              <w:rPr/>
              <w:t xml:space="preserve">$ 9.11 </w:t>
            </w:r>
          </w:p>
        </w:tc>
        <w:tc>
          <w:tcPr>
            <w:tcW w:w="1692" w:type="dxa"/>
            <w:tcBorders/>
            <w:shd w:fill="E7E7E2" w:val="clear"/>
            <w:vAlign w:val="center"/>
          </w:tcPr>
          <w:p>
            <w:pPr>
              <w:pStyle w:val="TableContents"/>
              <w:bidi w:val="0"/>
              <w:spacing w:before="0" w:after="283"/>
              <w:jc w:val="right"/>
              <w:rPr/>
            </w:pPr>
            <w:r>
              <w:rPr/>
              <w:t xml:space="preserve">$ 11,843,000.00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1" w:type="dxa"/>
            <w:tcBorders/>
            <w:shd w:fill="E7E7E2" w:val="clear"/>
            <w:vAlign w:val="center"/>
          </w:tcPr>
          <w:p>
            <w:pPr>
              <w:pStyle w:val="TableContents"/>
              <w:bidi w:val="0"/>
              <w:spacing w:before="0" w:after="283"/>
              <w:jc w:val="right"/>
              <w:rPr/>
            </w:pPr>
            <w:r>
              <w:rPr/>
              <w:t xml:space="preserve">$ 1,635.52 </w:t>
            </w:r>
          </w:p>
        </w:tc>
      </w:tr>
      <w:tr>
        <w:trPr/>
        <w:tc>
          <w:tcPr>
            <w:tcW w:w="4767" w:type="dxa"/>
            <w:gridSpan w:val="5"/>
            <w:tcBorders/>
            <w:vAlign w:val="center"/>
          </w:tcPr>
          <w:p>
            <w:pPr>
              <w:pStyle w:val="TableContents"/>
              <w:bidi w:val="0"/>
              <w:spacing w:before="0" w:after="0"/>
              <w:ind w:left="0" w:right="0" w:hanging="0"/>
              <w:jc w:val="right"/>
              <w:rPr/>
            </w:pPr>
            <w:r>
              <w:rPr/>
              <w:t>Total Offering Amounts:</w:t>
            </w:r>
          </w:p>
        </w:tc>
        <w:tc>
          <w:tcPr>
            <w:tcW w:w="119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0"/>
              <w:ind w:left="0" w:right="0" w:hanging="0"/>
              <w:jc w:val="right"/>
              <w:rPr/>
            </w:pPr>
            <w:bookmarkStart w:id="20" w:name="MaxAggtOfferingPrice"/>
            <w:bookmarkEnd w:id="20"/>
            <w:r>
              <w:rPr/>
              <w:t xml:space="preserve">$ 63,770,000.00 </w:t>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 w:name="TotalFeeAmt"/>
            <w:bookmarkEnd w:id="21"/>
            <w:r>
              <w:rPr/>
              <w:t xml:space="preserve">$ 8,806.64 </w:t>
            </w:r>
          </w:p>
        </w:tc>
      </w:tr>
      <w:tr>
        <w:trPr/>
        <w:tc>
          <w:tcPr>
            <w:tcW w:w="4767" w:type="dxa"/>
            <w:gridSpan w:val="5"/>
            <w:tcBorders/>
            <w:vAlign w:val="center"/>
          </w:tcPr>
          <w:p>
            <w:pPr>
              <w:pStyle w:val="TableContents"/>
              <w:bidi w:val="0"/>
              <w:spacing w:before="0" w:after="0"/>
              <w:ind w:left="0" w:right="0" w:hanging="0"/>
              <w:jc w:val="right"/>
              <w:rPr/>
            </w:pPr>
            <w:r>
              <w:rPr/>
              <w:t xml:space="preserve">Total Fee Offsets: </w:t>
            </w:r>
          </w:p>
        </w:tc>
        <w:tc>
          <w:tcPr>
            <w:tcW w:w="119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0"/>
              <w:ind w:left="0" w:right="0" w:hanging="0"/>
              <w:jc w:val="right"/>
              <w:rPr/>
            </w:pPr>
            <w:bookmarkStart w:id="22" w:name="TotalOffsetAmt"/>
            <w:bookmarkEnd w:id="22"/>
            <w:r>
              <w:rPr/>
              <w:t xml:space="preserve">$ 0.00 </w:t>
            </w:r>
          </w:p>
        </w:tc>
      </w:tr>
      <w:tr>
        <w:trPr/>
        <w:tc>
          <w:tcPr>
            <w:tcW w:w="4767" w:type="dxa"/>
            <w:gridSpan w:val="5"/>
            <w:tcBorders/>
            <w:vAlign w:val="center"/>
          </w:tcPr>
          <w:p>
            <w:pPr>
              <w:pStyle w:val="TableContents"/>
              <w:bidi w:val="0"/>
              <w:spacing w:before="0" w:after="0"/>
              <w:ind w:left="0" w:right="0" w:hanging="0"/>
              <w:jc w:val="right"/>
              <w:rPr/>
            </w:pPr>
            <w:r>
              <w:rPr/>
              <w:t xml:space="preserve">Net Fee Due: </w:t>
            </w:r>
          </w:p>
        </w:tc>
        <w:tc>
          <w:tcPr>
            <w:tcW w:w="119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0"/>
              <w:ind w:left="0" w:right="0" w:hanging="0"/>
              <w:jc w:val="right"/>
              <w:rPr/>
            </w:pPr>
            <w:bookmarkStart w:id="23" w:name="NetFeeAmt"/>
            <w:bookmarkEnd w:id="23"/>
            <w:r>
              <w:rPr/>
              <w:t xml:space="preserve">$ 8,806.64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322"/>
        <w:gridCol w:w="8684"/>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on Form S-8 (the "Registration Statement") shall also cover any additional shares of the registrant's common stock, par value $0.0001 per share (the "Common Stock") that become issuable with respect to the securities identified in the above table under the registrant's 2026 Equity Incentive Plan (the "2026 Plan") by reason of any stock dividend, stock split, recapitalization or other similar transaction effected without the registrant's receipt of consideration which results in an increase in the number of outstanding shares of Common Stock. (2) Represents shares of Common Stock reserved for issuance pursuant to future awards under the 2026 Plan. (4) Estimated in accordance with Rules 457(c) and 457(h) of the Securities Act solely for the purpose of calculating the registration fee on the basis of $9.11 per share, which represents the average of the high and low prices of the registrant's Common Stock on March 27, 2026, as reported on The Nasdaq Capital Market.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on Form S-8 (the "Registration Statement") shall also cover any additional shares of the registrant's common stock, par value $0.0001 per share (the "Common Stock") that become issuable with respect to the securities identified in the above table under the registrant's 2026 Equity Incentive Plan (the "2026 Plan") by reason of any stock dividend, stock split, recapitalization or other similar transaction effected without the registrant's receipt of consideration which results in an increase in the number of outstanding shares of Common Stock. (3) Represents up to an additional 1,300,000 shares of Common Stock that may become issuable under the 2026 Plan pursuant to its terms, consisting of shares of Common Stock subject to awards granted under the Company's 2020 Equity Incentive Plan (the "2020 Plan") that on or after the stockholder approval date of the 2026 Plan, are used to pay for tax withholding related to such awards or the exercise price with such awards or, with respect to any options and stock appreciation rights, expire or become unexercisable without having been exercised in full, or with respect to any other types of awards under the 2020 Plan, are forfeited to or repurchased by the registrant due to failure to vest, or are not issued under an award due to the award being paid out in cash rather than shares of Common Stock. (4) Estimated in accordance with Rules 457(c) and 457(h) of the Securities Act solely for the purpose of calculating the registration fee on the basis of $9.11 per share, which represents the average of the high and low prices of the registrant's Common Stock on March 27, 2026, as reported on The Nasdaq Capital Market.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20463/000119312526134565/lona-20251231.htm" TargetMode="External"/><Relationship Id="rId3" Type="http://schemas.openxmlformats.org/officeDocument/2006/relationships/hyperlink" Target="https://www.sec.gov/Archives/edgar/data/1620463/000119312526016629/lona-ex4_1.htm" TargetMode="External"/><Relationship Id="rId4" Type="http://schemas.openxmlformats.org/officeDocument/2006/relationships/hyperlink" Target="https://www.sec.gov/Archives/edgar/data/1620463/000119312526016629/lona-ex4_1.htm" TargetMode="External"/><Relationship Id="rId5" Type="http://schemas.openxmlformats.org/officeDocument/2006/relationships/hyperlink" Target="https://www.sec.gov/Archives/edgar/data/1620463/000119312526116123/lona-ex10_1.htm" TargetMode="External"/><Relationship Id="rId6" Type="http://schemas.openxmlformats.org/officeDocument/2006/relationships/hyperlink" Target="https://www.sec.gov/Archives/edgar/data/1620463/000119312526116123/lona-ex10_2.htm" TargetMode="External"/><Relationship Id="rId7" Type="http://schemas.openxmlformats.org/officeDocument/2006/relationships/hyperlink" Target="https://www.sec.gov/Archives/edgar/data/1620463/000119312526116123/lona-ex10_3.htm" TargetMode="External"/><Relationship Id="rId8" Type="http://schemas.openxmlformats.org/officeDocument/2006/relationships/hyperlink" Target="https://www.sec.gov/Archives/edgar/data/1620463/000119312526116123/lona-ex10_4.htm" TargetMode="External"/><Relationship Id="rId9" Type="http://schemas.openxmlformats.org/officeDocument/2006/relationships/hyperlink" Target="https://www.sec.gov/Archives/edgar/data/1620463/000119312526134565/lona-ex10_3.htm" TargetMode="External"/><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3816</Words>
  <Characters>20466</Characters>
  <CharactersWithSpaces>24252</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